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6859" w14:textId="77777777" w:rsidR="00BE4D4F" w:rsidRPr="00BE4D4F" w:rsidRDefault="00BE4D4F" w:rsidP="00BE4D4F">
      <w:pPr>
        <w:shd w:val="clear" w:color="auto" w:fill="FFFFFF"/>
        <w:spacing w:after="240" w:line="510" w:lineRule="atLeast"/>
        <w:outlineLvl w:val="0"/>
        <w:rPr>
          <w:rFonts w:ascii="Times New Roman" w:eastAsia="Times New Roman" w:hAnsi="Times New Roman" w:cs="Times New Roman"/>
          <w:b/>
          <w:bCs/>
          <w:color w:val="0F1115"/>
          <w:kern w:val="36"/>
          <w:sz w:val="36"/>
          <w:szCs w:val="36"/>
          <w14:ligatures w14:val="none"/>
        </w:rPr>
      </w:pPr>
      <w:r w:rsidRPr="00BE4D4F">
        <w:rPr>
          <w:rFonts w:ascii="Times New Roman" w:eastAsia="Times New Roman" w:hAnsi="Times New Roman" w:cs="Times New Roman"/>
          <w:b/>
          <w:bCs/>
          <w:color w:val="0F1115"/>
          <w:kern w:val="36"/>
          <w:sz w:val="36"/>
          <w:szCs w:val="36"/>
          <w14:ligatures w14:val="none"/>
        </w:rPr>
        <w:t xml:space="preserve">Evaluation of the Management of Newborns at Risk of Bacterial Infection at the </w:t>
      </w:r>
      <w:proofErr w:type="spellStart"/>
      <w:r w:rsidRPr="00BE4D4F">
        <w:rPr>
          <w:rFonts w:ascii="Times New Roman" w:eastAsia="Times New Roman" w:hAnsi="Times New Roman" w:cs="Times New Roman"/>
          <w:b/>
          <w:bCs/>
          <w:color w:val="0F1115"/>
          <w:kern w:val="36"/>
          <w:sz w:val="36"/>
          <w:szCs w:val="36"/>
          <w14:ligatures w14:val="none"/>
        </w:rPr>
        <w:t>Wangata</w:t>
      </w:r>
      <w:proofErr w:type="spellEnd"/>
      <w:r w:rsidRPr="00BE4D4F">
        <w:rPr>
          <w:rFonts w:ascii="Times New Roman" w:eastAsia="Times New Roman" w:hAnsi="Times New Roman" w:cs="Times New Roman"/>
          <w:b/>
          <w:bCs/>
          <w:color w:val="0F1115"/>
          <w:kern w:val="36"/>
          <w:sz w:val="36"/>
          <w:szCs w:val="36"/>
          <w14:ligatures w14:val="none"/>
        </w:rPr>
        <w:t xml:space="preserve"> General Reference Hospital, City of </w:t>
      </w:r>
      <w:proofErr w:type="spellStart"/>
      <w:r w:rsidRPr="00BE4D4F">
        <w:rPr>
          <w:rFonts w:ascii="Times New Roman" w:eastAsia="Times New Roman" w:hAnsi="Times New Roman" w:cs="Times New Roman"/>
          <w:b/>
          <w:bCs/>
          <w:color w:val="0F1115"/>
          <w:kern w:val="36"/>
          <w:sz w:val="36"/>
          <w:szCs w:val="36"/>
          <w14:ligatures w14:val="none"/>
        </w:rPr>
        <w:t>Mbandaka</w:t>
      </w:r>
      <w:proofErr w:type="spellEnd"/>
      <w:r w:rsidRPr="00BE4D4F">
        <w:rPr>
          <w:rFonts w:ascii="Times New Roman" w:eastAsia="Times New Roman" w:hAnsi="Times New Roman" w:cs="Times New Roman"/>
          <w:b/>
          <w:bCs/>
          <w:color w:val="0F1115"/>
          <w:kern w:val="36"/>
          <w:sz w:val="36"/>
          <w:szCs w:val="36"/>
          <w14:ligatures w14:val="none"/>
        </w:rPr>
        <w:t>, DRC</w:t>
      </w:r>
    </w:p>
    <w:p w14:paraId="1289D8B4"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E4D4F">
        <w:rPr>
          <w:rFonts w:ascii="Times New Roman" w:eastAsia="Times New Roman" w:hAnsi="Times New Roman" w:cs="Times New Roman"/>
          <w:b/>
          <w:bCs/>
          <w:color w:val="0F1115"/>
          <w:kern w:val="0"/>
          <w14:ligatures w14:val="none"/>
        </w:rPr>
        <w:t>Bosenge</w:t>
      </w:r>
      <w:proofErr w:type="spellEnd"/>
      <w:r w:rsidRPr="00BE4D4F">
        <w:rPr>
          <w:rFonts w:ascii="Times New Roman" w:eastAsia="Times New Roman" w:hAnsi="Times New Roman" w:cs="Times New Roman"/>
          <w:b/>
          <w:bCs/>
          <w:color w:val="0F1115"/>
          <w:kern w:val="0"/>
          <w14:ligatures w14:val="none"/>
        </w:rPr>
        <w:t xml:space="preserve"> Mokamei Trésor¹, </w:t>
      </w:r>
      <w:proofErr w:type="spellStart"/>
      <w:r w:rsidRPr="00BE4D4F">
        <w:rPr>
          <w:rFonts w:ascii="Times New Roman" w:eastAsia="Times New Roman" w:hAnsi="Times New Roman" w:cs="Times New Roman"/>
          <w:b/>
          <w:bCs/>
          <w:color w:val="0F1115"/>
          <w:kern w:val="0"/>
          <w14:ligatures w14:val="none"/>
        </w:rPr>
        <w:t>Nyafe</w:t>
      </w:r>
      <w:proofErr w:type="spellEnd"/>
      <w:r w:rsidRPr="00BE4D4F">
        <w:rPr>
          <w:rFonts w:ascii="Times New Roman" w:eastAsia="Times New Roman" w:hAnsi="Times New Roman" w:cs="Times New Roman"/>
          <w:b/>
          <w:bCs/>
          <w:color w:val="0F1115"/>
          <w:kern w:val="0"/>
          <w14:ligatures w14:val="none"/>
        </w:rPr>
        <w:t xml:space="preserve"> </w:t>
      </w:r>
      <w:proofErr w:type="spellStart"/>
      <w:r w:rsidRPr="00BE4D4F">
        <w:rPr>
          <w:rFonts w:ascii="Times New Roman" w:eastAsia="Times New Roman" w:hAnsi="Times New Roman" w:cs="Times New Roman"/>
          <w:b/>
          <w:bCs/>
          <w:color w:val="0F1115"/>
          <w:kern w:val="0"/>
          <w14:ligatures w14:val="none"/>
        </w:rPr>
        <w:t>basele</w:t>
      </w:r>
      <w:proofErr w:type="spellEnd"/>
      <w:r w:rsidRPr="00BE4D4F">
        <w:rPr>
          <w:rFonts w:ascii="Times New Roman" w:eastAsia="Times New Roman" w:hAnsi="Times New Roman" w:cs="Times New Roman"/>
          <w:b/>
          <w:bCs/>
          <w:color w:val="0F1115"/>
          <w:kern w:val="0"/>
          <w14:ligatures w14:val="none"/>
        </w:rPr>
        <w:t xml:space="preserve"> Henri Stanley¹, Mukaya Tshibola Jean²</w:t>
      </w:r>
    </w:p>
    <w:p w14:paraId="4D4B37F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¹Institut Supérieur des Techniques </w:t>
      </w:r>
      <w:proofErr w:type="spellStart"/>
      <w:r w:rsidRPr="00BE4D4F">
        <w:rPr>
          <w:rFonts w:ascii="Times New Roman" w:eastAsia="Times New Roman" w:hAnsi="Times New Roman" w:cs="Times New Roman"/>
          <w:color w:val="0F1115"/>
          <w:kern w:val="0"/>
          <w14:ligatures w14:val="none"/>
        </w:rPr>
        <w:t>Médicales</w:t>
      </w:r>
      <w:proofErr w:type="spellEnd"/>
      <w:r w:rsidRPr="00BE4D4F">
        <w:rPr>
          <w:rFonts w:ascii="Times New Roman" w:eastAsia="Times New Roman" w:hAnsi="Times New Roman" w:cs="Times New Roman"/>
          <w:color w:val="0F1115"/>
          <w:kern w:val="0"/>
          <w14:ligatures w14:val="none"/>
        </w:rPr>
        <w:t xml:space="preserve"> de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 xml:space="preserve"> (ISTM/MBKA), Department of Nursing Sciences, Democratic Republic of Congo</w:t>
      </w:r>
      <w:r w:rsidRPr="00BE4D4F">
        <w:rPr>
          <w:rFonts w:ascii="Times New Roman" w:eastAsia="Times New Roman" w:hAnsi="Times New Roman" w:cs="Times New Roman"/>
          <w:color w:val="0F1115"/>
          <w:kern w:val="0"/>
          <w14:ligatures w14:val="none"/>
        </w:rPr>
        <w:br/>
        <w:t>²University of Kinshasa (UNIKIN), Faculty of Medicine, Democratic Republic of Congo</w:t>
      </w:r>
    </w:p>
    <w:p w14:paraId="59AF2957"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Corresponding author:</w:t>
      </w:r>
      <w:r w:rsidRPr="00BE4D4F">
        <w:rPr>
          <w:rFonts w:ascii="Times New Roman" w:eastAsia="Times New Roman" w:hAnsi="Times New Roman" w:cs="Times New Roman"/>
          <w:color w:val="0F1115"/>
          <w:kern w:val="0"/>
          <w14:ligatures w14:val="none"/>
        </w:rPr>
        <w:t> </w:t>
      </w:r>
      <w:proofErr w:type="spellStart"/>
      <w:r w:rsidRPr="00BE4D4F">
        <w:rPr>
          <w:rFonts w:ascii="Times New Roman" w:eastAsia="Times New Roman" w:hAnsi="Times New Roman" w:cs="Times New Roman"/>
          <w:color w:val="0F1115"/>
          <w:kern w:val="0"/>
          <w14:ligatures w14:val="none"/>
        </w:rPr>
        <w:t>Nyafe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basele</w:t>
      </w:r>
      <w:proofErr w:type="spellEnd"/>
      <w:r w:rsidRPr="00BE4D4F">
        <w:rPr>
          <w:rFonts w:ascii="Times New Roman" w:eastAsia="Times New Roman" w:hAnsi="Times New Roman" w:cs="Times New Roman"/>
          <w:color w:val="0F1115"/>
          <w:kern w:val="0"/>
          <w14:ligatures w14:val="none"/>
        </w:rPr>
        <w:t xml:space="preserve"> Henri Stanley, Email: henrinyafe@gmail.com, ORCID: 0009-0008-0979-4653</w:t>
      </w:r>
    </w:p>
    <w:p w14:paraId="217047A5"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ABSTRACT</w:t>
      </w:r>
    </w:p>
    <w:p w14:paraId="6B794108"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Introduction:</w:t>
      </w:r>
      <w:r w:rsidRPr="00BE4D4F">
        <w:rPr>
          <w:rFonts w:ascii="Times New Roman" w:eastAsia="Times New Roman" w:hAnsi="Times New Roman" w:cs="Times New Roman"/>
          <w:color w:val="0F1115"/>
          <w:kern w:val="0"/>
          <w14:ligatures w14:val="none"/>
        </w:rPr>
        <w:t xml:space="preserve"> Early-onset neonatal bacterial infection remains a major cause of morbidity and mortality in the Democratic Republic of Congo, where limited technical resources often mandate empirical management.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in Équateur Province, structural constraints and geographical isolation exacerbate diagnostic and therapeutic challenges.</w:t>
      </w:r>
    </w:p>
    <w:p w14:paraId="25C0C3AC"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Objective:</w:t>
      </w:r>
      <w:r w:rsidRPr="00BE4D4F">
        <w:rPr>
          <w:rFonts w:ascii="Times New Roman" w:eastAsia="Times New Roman" w:hAnsi="Times New Roman" w:cs="Times New Roman"/>
          <w:color w:val="0F1115"/>
          <w:kern w:val="0"/>
          <w14:ligatures w14:val="none"/>
        </w:rPr>
        <w:t> This study aimed to evaluate the compliance of management practices for newborns at risk of bacterial infection against national guidelines at this institution.</w:t>
      </w:r>
    </w:p>
    <w:p w14:paraId="6F1F6962"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Methodology:</w:t>
      </w:r>
      <w:r w:rsidRPr="00BE4D4F">
        <w:rPr>
          <w:rFonts w:ascii="Times New Roman" w:eastAsia="Times New Roman" w:hAnsi="Times New Roman" w:cs="Times New Roman"/>
          <w:color w:val="0F1115"/>
          <w:kern w:val="0"/>
          <w14:ligatures w14:val="none"/>
        </w:rPr>
        <w:t> A descriptive and analytical cross-sectional study was conducted over six months. It included a sample of 214 newborns with suspected infection. Clinical and therapeutic data were collected and analyzed using SPSS software, with a significance threshold set at p &lt; 0.05.</w:t>
      </w:r>
    </w:p>
    <w:p w14:paraId="231AD4E2"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Results:</w:t>
      </w:r>
      <w:r w:rsidRPr="00BE4D4F">
        <w:rPr>
          <w:rFonts w:ascii="Times New Roman" w:eastAsia="Times New Roman" w:hAnsi="Times New Roman" w:cs="Times New Roman"/>
          <w:color w:val="0F1115"/>
          <w:kern w:val="0"/>
          <w14:ligatures w14:val="none"/>
        </w:rPr>
        <w:t xml:space="preserve"> Respiratory distress was the primary reason for admission (45.8%). Although overall compliance with the first-line therapeutic protocol reached 71.9%, notable deviations in the form </w:t>
      </w:r>
      <w:r w:rsidRPr="00BE4D4F">
        <w:rPr>
          <w:rFonts w:ascii="Times New Roman" w:eastAsia="Times New Roman" w:hAnsi="Times New Roman" w:cs="Times New Roman"/>
          <w:color w:val="0F1115"/>
          <w:kern w:val="0"/>
          <w14:ligatures w14:val="none"/>
        </w:rPr>
        <w:lastRenderedPageBreak/>
        <w:t>of inadequate monotherapies were observed. These failures were statistically associated with antibiotic stockouts and night shifts. The case fatality rate was 14.5%.</w:t>
      </w:r>
    </w:p>
    <w:p w14:paraId="57659461"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Discussion:</w:t>
      </w:r>
      <w:r w:rsidRPr="00BE4D4F">
        <w:rPr>
          <w:rFonts w:ascii="Times New Roman" w:eastAsia="Times New Roman" w:hAnsi="Times New Roman" w:cs="Times New Roman"/>
          <w:color w:val="0F1115"/>
          <w:kern w:val="0"/>
          <w14:ligatures w14:val="none"/>
        </w:rPr>
        <w:t> The findings highlight a critical gap between official recommendations and field reality, characterized by the lack of specific biological tests and a reliance on probabilistic treatments.</w:t>
      </w:r>
    </w:p>
    <w:p w14:paraId="6EFA2281"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Conclusion:</w:t>
      </w:r>
      <w:r w:rsidRPr="00BE4D4F">
        <w:rPr>
          <w:rFonts w:ascii="Times New Roman" w:eastAsia="Times New Roman" w:hAnsi="Times New Roman" w:cs="Times New Roman"/>
          <w:color w:val="0F1115"/>
          <w:kern w:val="0"/>
          <w14:ligatures w14:val="none"/>
        </w:rPr>
        <w:t xml:space="preserve"> Improving the prognosis of newborns at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requires securing pharmaceutical supplies and strengthening the skills of on-duty healthcare staff.</w:t>
      </w:r>
    </w:p>
    <w:p w14:paraId="0D0AA3D4"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Keywords:</w:t>
      </w:r>
      <w:r w:rsidRPr="00BE4D4F">
        <w:rPr>
          <w:rFonts w:ascii="Times New Roman" w:eastAsia="Times New Roman" w:hAnsi="Times New Roman" w:cs="Times New Roman"/>
          <w:color w:val="0F1115"/>
          <w:kern w:val="0"/>
          <w14:ligatures w14:val="none"/>
        </w:rPr>
        <w:t> Evaluation, Management, At-risk newborn, Bacterial infection.</w:t>
      </w:r>
    </w:p>
    <w:p w14:paraId="4BE7627E"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1. INTRODUCTION</w:t>
      </w:r>
    </w:p>
    <w:p w14:paraId="06BA5A6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The neonatal period, encompassing the first 28 days of life, represents a phase of extreme vulnerability where the risk of mortality is the highest of all childhood. Globally, the World Health Organization (WHO, 2024) estimates that nearly 2.3 million newborns die each year, with severe bacterial infections such as sepsis and meningitis accounting for nearly one-quarter of these deaths.</w:t>
      </w:r>
    </w:p>
    <w:p w14:paraId="362B316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In sub-Saharan Africa, the burden of neonatal infections is particularly heavy due to limited technical platforms, barriers to accessing quality care, and sometimes precarious delivery conditions (Lawn et al., 2021). The Democratic Republic of Congo (DRC) ranks among the countries paying the heaviest tribute to this health crisis, with a neonatal mortality rate that remains stagnant despite multiple public health interventions (Ministry of Public Health [MSP], 2020).</w:t>
      </w:r>
    </w:p>
    <w:p w14:paraId="32142726"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Early-onset neonatal bacterial infection (EO-NBI), typically occurring within the first 72 hours of life, most often results from vertical contamination of maternal origin occurring before or during labor (</w:t>
      </w:r>
      <w:proofErr w:type="spellStart"/>
      <w:r w:rsidRPr="00BE4D4F">
        <w:rPr>
          <w:rFonts w:ascii="Times New Roman" w:eastAsia="Times New Roman" w:hAnsi="Times New Roman" w:cs="Times New Roman"/>
          <w:color w:val="0F1115"/>
          <w:kern w:val="0"/>
          <w14:ligatures w14:val="none"/>
        </w:rPr>
        <w:t>Tumuhamye</w:t>
      </w:r>
      <w:proofErr w:type="spellEnd"/>
      <w:r w:rsidRPr="00BE4D4F">
        <w:rPr>
          <w:rFonts w:ascii="Times New Roman" w:eastAsia="Times New Roman" w:hAnsi="Times New Roman" w:cs="Times New Roman"/>
          <w:color w:val="0F1115"/>
          <w:kern w:val="0"/>
          <w14:ligatures w14:val="none"/>
        </w:rPr>
        <w:t xml:space="preserve"> et al., 2020). Major risk factors include premature rupture of membranes exceeding 18 hours, maternal intrapartum fever, unexplained prematurity, and untreated maternal urinary tract infection (Polin &amp; Committee on Fetus and Newborn, 2012).</w:t>
      </w:r>
    </w:p>
    <w:p w14:paraId="4A2E9CA5"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The timeliness and appropriateness of clinical and therapeutic management are pivotal to the vital prognosis of the newborn. Empirical probabilistic antibiotic therapy, adapted to local bacteriological profiles, must be initiated without delay upon clinical suspicion, otherwise rapid progression to septic shock may occur (Achan et al., 2022).</w:t>
      </w:r>
    </w:p>
    <w:p w14:paraId="793C367C"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However, in the clinical practice of referral structures in semi-urban or provincial settings in the DRC, the management of newborns at risk of infection faces multiple operational constraints. As highlighted by Mumba et al. (2022), clinicians face a shortage of laboratories equipped to perform routine blood cultures, stockouts of first-line antibiotic molecules, and a deficit of qualified nursing staff to ensure rigorous monitoring of vital signs. Added to this are consultation delays related to family socioeconomic barriers, which worsen the prognosis of newborns admitted to pediatric emergency units (Okomo et al., 2019).</w:t>
      </w:r>
    </w:p>
    <w:p w14:paraId="16033D5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located in Équateur Province, is no exception to these systemic realities. As a referral structure for a low-income population, the neonatology and pediatric department daily receives newborns presenting infectious risk factors or clinical signs suggestive of infection. Yet, few updated local data allow measurement of the conformity of care practices with national and international neonatal management guidelines.</w:t>
      </w:r>
    </w:p>
    <w:p w14:paraId="1555FE77"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This study therefore aimed to evaluate the management of newborns at risk of bacterial infection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to document patient profiles, analyze the relevance of therapeutic decisions, and identify the main obstacles to optimal management. The research question was: To what extent is the management of newborns at risk of bacterial infection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compliant with current national norms and protocols in the Democratic Republic of Congo?</w:t>
      </w:r>
    </w:p>
    <w:p w14:paraId="1F0FE15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The hypothesis was that the management of newborns at risk of bacterial infection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has an overall compliance rate below 70% compared to the guidelines of the National Neonatal Health Program of the DRC, due to structural and procedural constraints.</w:t>
      </w:r>
    </w:p>
    <w:p w14:paraId="696178C3"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2. METHODS</w:t>
      </w:r>
    </w:p>
    <w:p w14:paraId="5B62AF9F"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lastRenderedPageBreak/>
        <w:t>2.1 Study Design</w:t>
      </w:r>
    </w:p>
    <w:p w14:paraId="73F85E58"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This research adopted a cross-sectional study with descriptive and analytical aims. This design allowed a comprehensive evaluation of management practices over a defined period, combining medical record analysis (quantitative approach) with direct observation of care processes. According to Lwanga and </w:t>
      </w:r>
      <w:proofErr w:type="spellStart"/>
      <w:r w:rsidRPr="00BE4D4F">
        <w:rPr>
          <w:rFonts w:ascii="Times New Roman" w:eastAsia="Times New Roman" w:hAnsi="Times New Roman" w:cs="Times New Roman"/>
          <w:color w:val="0F1115"/>
          <w:kern w:val="0"/>
          <w14:ligatures w14:val="none"/>
        </w:rPr>
        <w:t>Lemeshow</w:t>
      </w:r>
      <w:proofErr w:type="spellEnd"/>
      <w:r w:rsidRPr="00BE4D4F">
        <w:rPr>
          <w:rFonts w:ascii="Times New Roman" w:eastAsia="Times New Roman" w:hAnsi="Times New Roman" w:cs="Times New Roman"/>
          <w:color w:val="0F1115"/>
          <w:kern w:val="0"/>
          <w14:ligatures w14:val="none"/>
        </w:rPr>
        <w:t xml:space="preserve"> (1991), this methodology is optimal for hospital performance evaluations in constrained settings.</w:t>
      </w:r>
    </w:p>
    <w:p w14:paraId="1A485247"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2.2 Study Setting</w:t>
      </w:r>
    </w:p>
    <w:p w14:paraId="63892E74"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w:t>
      </w:r>
      <w:proofErr w:type="gramStart"/>
      <w:r w:rsidRPr="00BE4D4F">
        <w:rPr>
          <w:rFonts w:ascii="Times New Roman" w:eastAsia="Times New Roman" w:hAnsi="Times New Roman" w:cs="Times New Roman"/>
          <w:color w:val="0F1115"/>
          <w:kern w:val="0"/>
          <w14:ligatures w14:val="none"/>
        </w:rPr>
        <w:t>is located in</w:t>
      </w:r>
      <w:proofErr w:type="gramEnd"/>
      <w:r w:rsidRPr="00BE4D4F">
        <w:rPr>
          <w:rFonts w:ascii="Times New Roman" w:eastAsia="Times New Roman" w:hAnsi="Times New Roman" w:cs="Times New Roman"/>
          <w:color w:val="0F1115"/>
          <w:kern w:val="0"/>
          <w14:ligatures w14:val="none"/>
        </w:rPr>
        <w:t xml:space="preserve"> the eponymous commune of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 xml:space="preserve"> city, Équateur Province, DRC. Founded initially to meet local health needs, it evolved into a provincial referral structure following the reform of the Congolese health system (</w:t>
      </w:r>
      <w:proofErr w:type="spellStart"/>
      <w:r w:rsidRPr="00BE4D4F">
        <w:rPr>
          <w:rFonts w:ascii="Times New Roman" w:eastAsia="Times New Roman" w:hAnsi="Times New Roman" w:cs="Times New Roman"/>
          <w:color w:val="0F1115"/>
          <w:kern w:val="0"/>
          <w14:ligatures w14:val="none"/>
        </w:rPr>
        <w:t>Mbonze</w:t>
      </w:r>
      <w:proofErr w:type="spellEnd"/>
      <w:r w:rsidRPr="00BE4D4F">
        <w:rPr>
          <w:rFonts w:ascii="Times New Roman" w:eastAsia="Times New Roman" w:hAnsi="Times New Roman" w:cs="Times New Roman"/>
          <w:color w:val="0F1115"/>
          <w:kern w:val="0"/>
          <w14:ligatures w14:val="none"/>
        </w:rPr>
        <w:t xml:space="preserve"> et al., 2021). Its main mission is to provide quality healthcare, train trainees, and manage obstetric and neonatal emergencies. The choice of this hospital was based on three scientific arguments: (1) as a secondary-level structure, it centralizes complex cases from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 xml:space="preserve"> city; (2) referral hospitals in the DRC show the greatest gaps between national protocol and actual practice; (3) the concentration of neonatal care services allows rigorous data collection.</w:t>
      </w:r>
    </w:p>
    <w:p w14:paraId="20C80EFB"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2.3 Population and Sampling</w:t>
      </w:r>
    </w:p>
    <w:p w14:paraId="35F369CF"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The target population comprised all newborns suspected or diagnosed with neonatal bacterial infection in the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 xml:space="preserve"> health zone, while the study population was restricted to newborns hospitalized for this pathology at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during the research period (Fortin &amp; Gagnon, 2022).</w:t>
      </w:r>
    </w:p>
    <w:p w14:paraId="562EEDA2"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Inclusion criteria were newborns aged 0 to 28 days admitted to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with anamnestic risks (such as prolonged rupture of membranes or maternal fever) or clinical manifestations (respiratory or thermal disorders), subject to written consent from guardians. Excluded were infants treated for isolated congenital anomalies without infectious links or those with incomplete medical records.</w:t>
      </w:r>
    </w:p>
    <w:p w14:paraId="615F4BF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Based on sampling rules for logistic regression (Peduzzi et al., 1996</w:t>
      </w:r>
      <w:proofErr w:type="gramStart"/>
      <w:r w:rsidRPr="00BE4D4F">
        <w:rPr>
          <w:rFonts w:ascii="Times New Roman" w:eastAsia="Times New Roman" w:hAnsi="Times New Roman" w:cs="Times New Roman"/>
          <w:color w:val="0F1115"/>
          <w:kern w:val="0"/>
          <w14:ligatures w14:val="none"/>
        </w:rPr>
        <w:t>), and</w:t>
      </w:r>
      <w:proofErr w:type="gramEnd"/>
      <w:r w:rsidRPr="00BE4D4F">
        <w:rPr>
          <w:rFonts w:ascii="Times New Roman" w:eastAsia="Times New Roman" w:hAnsi="Times New Roman" w:cs="Times New Roman"/>
          <w:color w:val="0F1115"/>
          <w:kern w:val="0"/>
          <w14:ligatures w14:val="none"/>
        </w:rPr>
        <w:t xml:space="preserve"> using consecutive non-probabilistic sampling (Grove &amp; Gray, 2022), 214 newborns (n = 214) were definitively included.</w:t>
      </w:r>
    </w:p>
    <w:p w14:paraId="1FF26D6B"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2.4 Data Collection</w:t>
      </w:r>
    </w:p>
    <w:p w14:paraId="325C732B"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Data collection combined systematic documentary analysis of hospital records (nursing records, delivery and pediatric registers) and direct clinical observation of medical decisions in real-time. The operational tool was a standardized individual collection form structured into five sections: infant identity, delivery history, initial clinical presentation, antibiotic therapy details, and patient outcome.</w:t>
      </w:r>
    </w:p>
    <w:p w14:paraId="1FBB158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Content validity was certified by a panel of teachers and pediatric experts, while construct validity was based on harmonization with WHO official recommendations and national health protocols. Reproducibility was tested through a pre-survey on a 10% sample, with a Cohen's Kappa coefficient of 0.87, indicating near-perfect inter-rater agreement (Landis &amp; Koch, 1977).</w:t>
      </w:r>
    </w:p>
    <w:p w14:paraId="6735E53C"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2.5 Variables</w:t>
      </w:r>
    </w:p>
    <w:p w14:paraId="19A81F0B"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Variables were structured into three groups: (1) dependent variables (hospitalization outcome: death vs. survival; compliance of initial antibiotic treatment with clinical guidelines); (2) independent variables (newborn clinical criteria, obstetric risk factors, paraclinical examinations); (3) organizational determinants (stockouts, prescriber qualification, time of care).</w:t>
      </w:r>
    </w:p>
    <w:p w14:paraId="61BBA037"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2.6 Data Analysis</w:t>
      </w:r>
    </w:p>
    <w:p w14:paraId="75FE592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Statistical analysis followed three phases. First, data were entered and cleaned using Microsoft Excel 2019, then transferred to SPSS version 25.0. Second, univariate descriptive analysis characterized the sample of 214 newborns, with qualitative variables expressed as frequencies and percentages, and continuous variables as means and standard deviations. Third, bivariate analysis used Pearson's chi-square test (or Fisher's exact test for expected counts &lt;5) to evaluate </w:t>
      </w:r>
      <w:r w:rsidRPr="00BE4D4F">
        <w:rPr>
          <w:rFonts w:ascii="Times New Roman" w:eastAsia="Times New Roman" w:hAnsi="Times New Roman" w:cs="Times New Roman"/>
          <w:color w:val="0F1115"/>
          <w:kern w:val="0"/>
          <w14:ligatures w14:val="none"/>
        </w:rPr>
        <w:lastRenderedPageBreak/>
        <w:t>associations, with odds ratios (OR) and 95% confidence intervals (CI) calculated. Multivariate binary logistic regression (backward Wald method) isolated the independent effect of each indicator, with variables having p ≤ 0.20 entered, and model fit confirmed by the Hosmer-</w:t>
      </w:r>
      <w:proofErr w:type="spellStart"/>
      <w:r w:rsidRPr="00BE4D4F">
        <w:rPr>
          <w:rFonts w:ascii="Times New Roman" w:eastAsia="Times New Roman" w:hAnsi="Times New Roman" w:cs="Times New Roman"/>
          <w:color w:val="0F1115"/>
          <w:kern w:val="0"/>
          <w14:ligatures w14:val="none"/>
        </w:rPr>
        <w:t>Lemeshow</w:t>
      </w:r>
      <w:proofErr w:type="spellEnd"/>
      <w:r w:rsidRPr="00BE4D4F">
        <w:rPr>
          <w:rFonts w:ascii="Times New Roman" w:eastAsia="Times New Roman" w:hAnsi="Times New Roman" w:cs="Times New Roman"/>
          <w:color w:val="0F1115"/>
          <w:kern w:val="0"/>
          <w14:ligatures w14:val="none"/>
        </w:rPr>
        <w:t xml:space="preserve"> test (p &gt; 0.05).</w:t>
      </w:r>
    </w:p>
    <w:p w14:paraId="39AF6B69"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2.7 Ethical Considerations</w:t>
      </w:r>
    </w:p>
    <w:p w14:paraId="19B87C2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The study complied with the Declaration of Helsinki (World Medical Association, 2013) and the legal framework of the DRC. The principle of autonomy was translated by obtaining free, written informed consent from legal guardians. The imperatives of beneficence and non-maleficence were respected as the study introduced no experimental substances or alteration of required care. The principle of justice ensured uniform inclusion of all eligible newborns. Confidentiality was ensured through complete anonymization of forms via alphanumeric codes.</w:t>
      </w:r>
    </w:p>
    <w:p w14:paraId="4472283D"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3. RESULTS</w:t>
      </w:r>
    </w:p>
    <w:p w14:paraId="6A7E77FC"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3.1 Therapeutic Management</w:t>
      </w:r>
    </w:p>
    <w:p w14:paraId="10CDF7DC"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1. Empirical antibiotic therapy and protocol compliance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23"/>
        <w:gridCol w:w="1691"/>
        <w:gridCol w:w="780"/>
        <w:gridCol w:w="647"/>
      </w:tblGrid>
      <w:tr w:rsidR="00BE4D4F" w:rsidRPr="004674F0" w14:paraId="14E5C15D"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8AA695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Type of antibiotic therapy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C9743A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Status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20C62B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033238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r w:rsidR="00BE4D4F" w:rsidRPr="004674F0" w14:paraId="357FEAE5" w14:textId="77777777" w:rsidTr="004674F0">
        <w:tc>
          <w:tcPr>
            <w:tcW w:w="0" w:type="auto"/>
            <w:tcBorders>
              <w:top w:val="single" w:sz="4" w:space="0" w:color="auto"/>
            </w:tcBorders>
            <w:tcMar>
              <w:top w:w="150" w:type="dxa"/>
              <w:left w:w="0" w:type="dxa"/>
              <w:bottom w:w="150" w:type="dxa"/>
              <w:right w:w="240" w:type="dxa"/>
            </w:tcMar>
            <w:vAlign w:val="center"/>
            <w:hideMark/>
          </w:tcPr>
          <w:p w14:paraId="4D37DAC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Ampicillin + Gentamicin</w:t>
            </w:r>
          </w:p>
        </w:tc>
        <w:tc>
          <w:tcPr>
            <w:tcW w:w="0" w:type="auto"/>
            <w:tcBorders>
              <w:top w:val="single" w:sz="4" w:space="0" w:color="auto"/>
            </w:tcBorders>
            <w:tcMar>
              <w:top w:w="150" w:type="dxa"/>
              <w:left w:w="240" w:type="dxa"/>
              <w:bottom w:w="150" w:type="dxa"/>
              <w:right w:w="240" w:type="dxa"/>
            </w:tcMar>
            <w:vAlign w:val="center"/>
            <w:hideMark/>
          </w:tcPr>
          <w:p w14:paraId="72D12E3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Compliant</w:t>
            </w:r>
          </w:p>
        </w:tc>
        <w:tc>
          <w:tcPr>
            <w:tcW w:w="0" w:type="auto"/>
            <w:tcBorders>
              <w:top w:val="single" w:sz="4" w:space="0" w:color="auto"/>
            </w:tcBorders>
            <w:tcMar>
              <w:top w:w="150" w:type="dxa"/>
              <w:left w:w="240" w:type="dxa"/>
              <w:bottom w:w="150" w:type="dxa"/>
              <w:right w:w="240" w:type="dxa"/>
            </w:tcMar>
            <w:vAlign w:val="center"/>
            <w:hideMark/>
          </w:tcPr>
          <w:p w14:paraId="5DE765C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143</w:t>
            </w:r>
          </w:p>
        </w:tc>
        <w:tc>
          <w:tcPr>
            <w:tcW w:w="0" w:type="auto"/>
            <w:tcBorders>
              <w:top w:val="single" w:sz="4" w:space="0" w:color="auto"/>
            </w:tcBorders>
            <w:tcMar>
              <w:top w:w="150" w:type="dxa"/>
              <w:left w:w="240" w:type="dxa"/>
              <w:bottom w:w="150" w:type="dxa"/>
              <w:right w:w="0" w:type="dxa"/>
            </w:tcMar>
            <w:vAlign w:val="center"/>
            <w:hideMark/>
          </w:tcPr>
          <w:p w14:paraId="11383CC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66.8</w:t>
            </w:r>
          </w:p>
        </w:tc>
      </w:tr>
      <w:tr w:rsidR="00BE4D4F" w:rsidRPr="004674F0" w14:paraId="6DA85DB5" w14:textId="77777777" w:rsidTr="004674F0">
        <w:tc>
          <w:tcPr>
            <w:tcW w:w="0" w:type="auto"/>
            <w:tcMar>
              <w:top w:w="150" w:type="dxa"/>
              <w:left w:w="0" w:type="dxa"/>
              <w:bottom w:w="150" w:type="dxa"/>
              <w:right w:w="240" w:type="dxa"/>
            </w:tcMar>
            <w:vAlign w:val="center"/>
            <w:hideMark/>
          </w:tcPr>
          <w:p w14:paraId="076315C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Ampicillin + Cefotaxime</w:t>
            </w:r>
          </w:p>
        </w:tc>
        <w:tc>
          <w:tcPr>
            <w:tcW w:w="0" w:type="auto"/>
            <w:tcMar>
              <w:top w:w="150" w:type="dxa"/>
              <w:left w:w="240" w:type="dxa"/>
              <w:bottom w:w="150" w:type="dxa"/>
              <w:right w:w="240" w:type="dxa"/>
            </w:tcMar>
            <w:vAlign w:val="center"/>
            <w:hideMark/>
          </w:tcPr>
          <w:p w14:paraId="7F4845A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Compliant</w:t>
            </w:r>
          </w:p>
        </w:tc>
        <w:tc>
          <w:tcPr>
            <w:tcW w:w="0" w:type="auto"/>
            <w:tcMar>
              <w:top w:w="150" w:type="dxa"/>
              <w:left w:w="240" w:type="dxa"/>
              <w:bottom w:w="150" w:type="dxa"/>
              <w:right w:w="240" w:type="dxa"/>
            </w:tcMar>
            <w:vAlign w:val="center"/>
            <w:hideMark/>
          </w:tcPr>
          <w:p w14:paraId="12A5960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w:t>
            </w:r>
          </w:p>
        </w:tc>
        <w:tc>
          <w:tcPr>
            <w:tcW w:w="0" w:type="auto"/>
            <w:tcMar>
              <w:top w:w="150" w:type="dxa"/>
              <w:left w:w="240" w:type="dxa"/>
              <w:bottom w:w="150" w:type="dxa"/>
              <w:right w:w="0" w:type="dxa"/>
            </w:tcMar>
            <w:vAlign w:val="center"/>
            <w:hideMark/>
          </w:tcPr>
          <w:p w14:paraId="757A3DF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5.1</w:t>
            </w:r>
          </w:p>
        </w:tc>
      </w:tr>
      <w:tr w:rsidR="00BE4D4F" w:rsidRPr="004674F0" w14:paraId="2A1DF074" w14:textId="77777777" w:rsidTr="004674F0">
        <w:tc>
          <w:tcPr>
            <w:tcW w:w="0" w:type="auto"/>
            <w:tcMar>
              <w:top w:w="150" w:type="dxa"/>
              <w:left w:w="0" w:type="dxa"/>
              <w:bottom w:w="150" w:type="dxa"/>
              <w:right w:w="240" w:type="dxa"/>
            </w:tcMar>
            <w:vAlign w:val="center"/>
            <w:hideMark/>
          </w:tcPr>
          <w:p w14:paraId="6F1FEA4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Gentamicin alone</w:t>
            </w:r>
          </w:p>
        </w:tc>
        <w:tc>
          <w:tcPr>
            <w:tcW w:w="0" w:type="auto"/>
            <w:tcMar>
              <w:top w:w="150" w:type="dxa"/>
              <w:left w:w="240" w:type="dxa"/>
              <w:bottom w:w="150" w:type="dxa"/>
              <w:right w:w="240" w:type="dxa"/>
            </w:tcMar>
            <w:vAlign w:val="center"/>
            <w:hideMark/>
          </w:tcPr>
          <w:p w14:paraId="366C8E6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Non-compliant</w:t>
            </w:r>
          </w:p>
        </w:tc>
        <w:tc>
          <w:tcPr>
            <w:tcW w:w="0" w:type="auto"/>
            <w:tcMar>
              <w:top w:w="150" w:type="dxa"/>
              <w:left w:w="240" w:type="dxa"/>
              <w:bottom w:w="150" w:type="dxa"/>
              <w:right w:w="240" w:type="dxa"/>
            </w:tcMar>
            <w:vAlign w:val="center"/>
            <w:hideMark/>
          </w:tcPr>
          <w:p w14:paraId="7DA0A83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24</w:t>
            </w:r>
          </w:p>
        </w:tc>
        <w:tc>
          <w:tcPr>
            <w:tcW w:w="0" w:type="auto"/>
            <w:tcMar>
              <w:top w:w="150" w:type="dxa"/>
              <w:left w:w="240" w:type="dxa"/>
              <w:bottom w:w="150" w:type="dxa"/>
              <w:right w:w="0" w:type="dxa"/>
            </w:tcMar>
            <w:vAlign w:val="center"/>
            <w:hideMark/>
          </w:tcPr>
          <w:p w14:paraId="17621DC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11.2</w:t>
            </w:r>
          </w:p>
        </w:tc>
      </w:tr>
      <w:tr w:rsidR="00BE4D4F" w:rsidRPr="004674F0" w14:paraId="132C7F96" w14:textId="77777777" w:rsidTr="004674F0">
        <w:tc>
          <w:tcPr>
            <w:tcW w:w="0" w:type="auto"/>
            <w:tcMar>
              <w:top w:w="150" w:type="dxa"/>
              <w:left w:w="0" w:type="dxa"/>
              <w:bottom w:w="150" w:type="dxa"/>
              <w:right w:w="240" w:type="dxa"/>
            </w:tcMar>
            <w:vAlign w:val="center"/>
            <w:hideMark/>
          </w:tcPr>
          <w:p w14:paraId="599E67B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Ampicillin alone</w:t>
            </w:r>
          </w:p>
        </w:tc>
        <w:tc>
          <w:tcPr>
            <w:tcW w:w="0" w:type="auto"/>
            <w:tcMar>
              <w:top w:w="150" w:type="dxa"/>
              <w:left w:w="240" w:type="dxa"/>
              <w:bottom w:w="150" w:type="dxa"/>
              <w:right w:w="240" w:type="dxa"/>
            </w:tcMar>
            <w:vAlign w:val="center"/>
            <w:hideMark/>
          </w:tcPr>
          <w:p w14:paraId="2CFD753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Non-compliant</w:t>
            </w:r>
          </w:p>
        </w:tc>
        <w:tc>
          <w:tcPr>
            <w:tcW w:w="0" w:type="auto"/>
            <w:tcMar>
              <w:top w:w="150" w:type="dxa"/>
              <w:left w:w="240" w:type="dxa"/>
              <w:bottom w:w="150" w:type="dxa"/>
              <w:right w:w="240" w:type="dxa"/>
            </w:tcMar>
            <w:vAlign w:val="center"/>
            <w:hideMark/>
          </w:tcPr>
          <w:p w14:paraId="1287102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18</w:t>
            </w:r>
          </w:p>
        </w:tc>
        <w:tc>
          <w:tcPr>
            <w:tcW w:w="0" w:type="auto"/>
            <w:tcMar>
              <w:top w:w="150" w:type="dxa"/>
              <w:left w:w="240" w:type="dxa"/>
              <w:bottom w:w="150" w:type="dxa"/>
              <w:right w:w="0" w:type="dxa"/>
            </w:tcMar>
            <w:vAlign w:val="center"/>
            <w:hideMark/>
          </w:tcPr>
          <w:p w14:paraId="628493F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8.4</w:t>
            </w:r>
          </w:p>
        </w:tc>
      </w:tr>
      <w:tr w:rsidR="00BE4D4F" w:rsidRPr="004674F0" w14:paraId="07AE8F24" w14:textId="77777777" w:rsidTr="004674F0">
        <w:tc>
          <w:tcPr>
            <w:tcW w:w="0" w:type="auto"/>
            <w:tcMar>
              <w:top w:w="150" w:type="dxa"/>
              <w:left w:w="0" w:type="dxa"/>
              <w:bottom w:w="150" w:type="dxa"/>
              <w:right w:w="240" w:type="dxa"/>
            </w:tcMar>
            <w:vAlign w:val="center"/>
            <w:hideMark/>
          </w:tcPr>
          <w:p w14:paraId="2D275AB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Cefotaxime alone</w:t>
            </w:r>
          </w:p>
        </w:tc>
        <w:tc>
          <w:tcPr>
            <w:tcW w:w="0" w:type="auto"/>
            <w:tcMar>
              <w:top w:w="150" w:type="dxa"/>
              <w:left w:w="240" w:type="dxa"/>
              <w:bottom w:w="150" w:type="dxa"/>
              <w:right w:w="240" w:type="dxa"/>
            </w:tcMar>
            <w:vAlign w:val="center"/>
            <w:hideMark/>
          </w:tcPr>
          <w:p w14:paraId="59CFBAF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Non-compliant</w:t>
            </w:r>
          </w:p>
        </w:tc>
        <w:tc>
          <w:tcPr>
            <w:tcW w:w="0" w:type="auto"/>
            <w:tcMar>
              <w:top w:w="150" w:type="dxa"/>
              <w:left w:w="240" w:type="dxa"/>
              <w:bottom w:w="150" w:type="dxa"/>
              <w:right w:w="240" w:type="dxa"/>
            </w:tcMar>
            <w:vAlign w:val="center"/>
            <w:hideMark/>
          </w:tcPr>
          <w:p w14:paraId="1143FD6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7</w:t>
            </w:r>
          </w:p>
        </w:tc>
        <w:tc>
          <w:tcPr>
            <w:tcW w:w="0" w:type="auto"/>
            <w:tcMar>
              <w:top w:w="150" w:type="dxa"/>
              <w:left w:w="240" w:type="dxa"/>
              <w:bottom w:w="150" w:type="dxa"/>
              <w:right w:w="0" w:type="dxa"/>
            </w:tcMar>
            <w:vAlign w:val="center"/>
            <w:hideMark/>
          </w:tcPr>
          <w:p w14:paraId="785C4AC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3.3</w:t>
            </w:r>
          </w:p>
        </w:tc>
      </w:tr>
      <w:tr w:rsidR="00BE4D4F" w:rsidRPr="004674F0" w14:paraId="3B4ACAF1" w14:textId="77777777" w:rsidTr="004674F0">
        <w:tc>
          <w:tcPr>
            <w:tcW w:w="0" w:type="auto"/>
            <w:tcMar>
              <w:top w:w="150" w:type="dxa"/>
              <w:left w:w="0" w:type="dxa"/>
              <w:bottom w:w="150" w:type="dxa"/>
              <w:right w:w="240" w:type="dxa"/>
            </w:tcMar>
            <w:vAlign w:val="center"/>
            <w:hideMark/>
          </w:tcPr>
          <w:p w14:paraId="4EB6048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antibiotics</w:t>
            </w:r>
          </w:p>
        </w:tc>
        <w:tc>
          <w:tcPr>
            <w:tcW w:w="0" w:type="auto"/>
            <w:tcMar>
              <w:top w:w="150" w:type="dxa"/>
              <w:left w:w="240" w:type="dxa"/>
              <w:bottom w:w="150" w:type="dxa"/>
              <w:right w:w="240" w:type="dxa"/>
            </w:tcMar>
            <w:vAlign w:val="center"/>
            <w:hideMark/>
          </w:tcPr>
          <w:p w14:paraId="37D7E46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c>
          <w:tcPr>
            <w:tcW w:w="0" w:type="auto"/>
            <w:tcMar>
              <w:top w:w="150" w:type="dxa"/>
              <w:left w:w="240" w:type="dxa"/>
              <w:bottom w:w="150" w:type="dxa"/>
              <w:right w:w="240" w:type="dxa"/>
            </w:tcMar>
            <w:vAlign w:val="center"/>
            <w:hideMark/>
          </w:tcPr>
          <w:p w14:paraId="706293A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w:t>
            </w:r>
          </w:p>
        </w:tc>
        <w:tc>
          <w:tcPr>
            <w:tcW w:w="0" w:type="auto"/>
            <w:tcMar>
              <w:top w:w="150" w:type="dxa"/>
              <w:left w:w="240" w:type="dxa"/>
              <w:bottom w:w="150" w:type="dxa"/>
              <w:right w:w="0" w:type="dxa"/>
            </w:tcMar>
            <w:vAlign w:val="center"/>
            <w:hideMark/>
          </w:tcPr>
          <w:p w14:paraId="10C6F25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5.1</w:t>
            </w:r>
          </w:p>
        </w:tc>
      </w:tr>
    </w:tbl>
    <w:p w14:paraId="3F585E43"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Compliance with the protocol (recommended combinations) reached 71.9%. Deviations consisted mainly of monotherapies (22.9%), often due to stockouts. The absence of antibiotic therapy (5.1%) concerned early deaths or discharges against medical advice.</w:t>
      </w:r>
    </w:p>
    <w:p w14:paraId="3C24FA98"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3.2 Clinical Outcome</w:t>
      </w:r>
    </w:p>
    <w:p w14:paraId="71AE7348"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2. Outcome and final hospitalization result</w:t>
      </w:r>
    </w:p>
    <w:tbl>
      <w:tblPr>
        <w:tblW w:w="562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195"/>
        <w:gridCol w:w="780"/>
        <w:gridCol w:w="647"/>
      </w:tblGrid>
      <w:tr w:rsidR="00BE4D4F" w:rsidRPr="004674F0" w14:paraId="739436F0" w14:textId="77777777" w:rsidTr="004674F0">
        <w:trPr>
          <w:tblHeader/>
        </w:trPr>
        <w:tc>
          <w:tcPr>
            <w:tcW w:w="4584" w:type="dxa"/>
            <w:tcBorders>
              <w:top w:val="single" w:sz="4" w:space="0" w:color="auto"/>
              <w:bottom w:val="single" w:sz="4" w:space="0" w:color="auto"/>
            </w:tcBorders>
            <w:tcMar>
              <w:top w:w="150" w:type="dxa"/>
              <w:left w:w="0" w:type="dxa"/>
              <w:bottom w:w="150" w:type="dxa"/>
              <w:right w:w="240" w:type="dxa"/>
            </w:tcMar>
            <w:vAlign w:val="center"/>
            <w:hideMark/>
          </w:tcPr>
          <w:p w14:paraId="4C8977B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Outcome</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50C3346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6BBE035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r w:rsidR="00BE4D4F" w:rsidRPr="004674F0" w14:paraId="24CAF480" w14:textId="77777777" w:rsidTr="004674F0">
        <w:tc>
          <w:tcPr>
            <w:tcW w:w="4584" w:type="dxa"/>
            <w:tcBorders>
              <w:top w:val="single" w:sz="4" w:space="0" w:color="auto"/>
            </w:tcBorders>
            <w:tcMar>
              <w:top w:w="150" w:type="dxa"/>
              <w:left w:w="0" w:type="dxa"/>
              <w:bottom w:w="150" w:type="dxa"/>
              <w:right w:w="240" w:type="dxa"/>
            </w:tcMar>
            <w:vAlign w:val="center"/>
            <w:hideMark/>
          </w:tcPr>
          <w:p w14:paraId="180C96E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Recovery without sequelae</w:t>
            </w:r>
          </w:p>
        </w:tc>
        <w:tc>
          <w:tcPr>
            <w:tcW w:w="490" w:type="dxa"/>
            <w:tcBorders>
              <w:top w:val="single" w:sz="4" w:space="0" w:color="auto"/>
            </w:tcBorders>
            <w:tcMar>
              <w:top w:w="150" w:type="dxa"/>
              <w:left w:w="240" w:type="dxa"/>
              <w:bottom w:w="150" w:type="dxa"/>
              <w:right w:w="240" w:type="dxa"/>
            </w:tcMar>
            <w:vAlign w:val="center"/>
            <w:hideMark/>
          </w:tcPr>
          <w:p w14:paraId="36056C7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146</w:t>
            </w:r>
          </w:p>
        </w:tc>
        <w:tc>
          <w:tcPr>
            <w:tcW w:w="548" w:type="dxa"/>
            <w:tcBorders>
              <w:top w:val="single" w:sz="4" w:space="0" w:color="auto"/>
            </w:tcBorders>
            <w:tcMar>
              <w:top w:w="150" w:type="dxa"/>
              <w:left w:w="240" w:type="dxa"/>
              <w:bottom w:w="150" w:type="dxa"/>
              <w:right w:w="0" w:type="dxa"/>
            </w:tcMar>
            <w:vAlign w:val="center"/>
            <w:hideMark/>
          </w:tcPr>
          <w:p w14:paraId="091FD21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68.2</w:t>
            </w:r>
          </w:p>
        </w:tc>
      </w:tr>
      <w:tr w:rsidR="00BE4D4F" w:rsidRPr="004674F0" w14:paraId="43608D3A" w14:textId="77777777" w:rsidTr="004674F0">
        <w:tc>
          <w:tcPr>
            <w:tcW w:w="4584" w:type="dxa"/>
            <w:tcMar>
              <w:top w:w="150" w:type="dxa"/>
              <w:left w:w="0" w:type="dxa"/>
              <w:bottom w:w="150" w:type="dxa"/>
              <w:right w:w="240" w:type="dxa"/>
            </w:tcMar>
            <w:vAlign w:val="center"/>
            <w:hideMark/>
          </w:tcPr>
          <w:p w14:paraId="1912A4E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Death</w:t>
            </w:r>
          </w:p>
        </w:tc>
        <w:tc>
          <w:tcPr>
            <w:tcW w:w="490" w:type="dxa"/>
            <w:tcMar>
              <w:top w:w="150" w:type="dxa"/>
              <w:left w:w="240" w:type="dxa"/>
              <w:bottom w:w="150" w:type="dxa"/>
              <w:right w:w="240" w:type="dxa"/>
            </w:tcMar>
            <w:vAlign w:val="center"/>
            <w:hideMark/>
          </w:tcPr>
          <w:p w14:paraId="7B4DC41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31</w:t>
            </w:r>
          </w:p>
        </w:tc>
        <w:tc>
          <w:tcPr>
            <w:tcW w:w="548" w:type="dxa"/>
            <w:tcMar>
              <w:top w:w="150" w:type="dxa"/>
              <w:left w:w="240" w:type="dxa"/>
              <w:bottom w:w="150" w:type="dxa"/>
              <w:right w:w="0" w:type="dxa"/>
            </w:tcMar>
            <w:vAlign w:val="center"/>
            <w:hideMark/>
          </w:tcPr>
          <w:p w14:paraId="7168250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14.5</w:t>
            </w:r>
          </w:p>
        </w:tc>
      </w:tr>
      <w:tr w:rsidR="00BE4D4F" w:rsidRPr="004674F0" w14:paraId="42639A5C" w14:textId="77777777" w:rsidTr="004674F0">
        <w:tc>
          <w:tcPr>
            <w:tcW w:w="4584" w:type="dxa"/>
            <w:tcMar>
              <w:top w:w="150" w:type="dxa"/>
              <w:left w:w="0" w:type="dxa"/>
              <w:bottom w:w="150" w:type="dxa"/>
              <w:right w:w="240" w:type="dxa"/>
            </w:tcMar>
            <w:vAlign w:val="center"/>
            <w:hideMark/>
          </w:tcPr>
          <w:p w14:paraId="6A16B94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Recovery with sequelae (neurological, auditory)</w:t>
            </w:r>
          </w:p>
        </w:tc>
        <w:tc>
          <w:tcPr>
            <w:tcW w:w="490" w:type="dxa"/>
            <w:tcMar>
              <w:top w:w="150" w:type="dxa"/>
              <w:left w:w="240" w:type="dxa"/>
              <w:bottom w:w="150" w:type="dxa"/>
              <w:right w:w="240" w:type="dxa"/>
            </w:tcMar>
            <w:vAlign w:val="center"/>
            <w:hideMark/>
          </w:tcPr>
          <w:p w14:paraId="04CE65A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17</w:t>
            </w:r>
          </w:p>
        </w:tc>
        <w:tc>
          <w:tcPr>
            <w:tcW w:w="548" w:type="dxa"/>
            <w:tcMar>
              <w:top w:w="150" w:type="dxa"/>
              <w:left w:w="240" w:type="dxa"/>
              <w:bottom w:w="150" w:type="dxa"/>
              <w:right w:w="0" w:type="dxa"/>
            </w:tcMar>
            <w:vAlign w:val="center"/>
            <w:hideMark/>
          </w:tcPr>
          <w:p w14:paraId="7D1FA75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7.9</w:t>
            </w:r>
          </w:p>
        </w:tc>
      </w:tr>
      <w:tr w:rsidR="00BE4D4F" w:rsidRPr="004674F0" w14:paraId="37115271" w14:textId="77777777" w:rsidTr="004674F0">
        <w:tc>
          <w:tcPr>
            <w:tcW w:w="4584" w:type="dxa"/>
            <w:tcMar>
              <w:top w:w="150" w:type="dxa"/>
              <w:left w:w="0" w:type="dxa"/>
              <w:bottom w:w="150" w:type="dxa"/>
              <w:right w:w="240" w:type="dxa"/>
            </w:tcMar>
            <w:vAlign w:val="center"/>
            <w:hideMark/>
          </w:tcPr>
          <w:p w14:paraId="0225888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Transfer to another hospital</w:t>
            </w:r>
          </w:p>
        </w:tc>
        <w:tc>
          <w:tcPr>
            <w:tcW w:w="490" w:type="dxa"/>
            <w:tcMar>
              <w:top w:w="150" w:type="dxa"/>
              <w:left w:w="240" w:type="dxa"/>
              <w:bottom w:w="150" w:type="dxa"/>
              <w:right w:w="240" w:type="dxa"/>
            </w:tcMar>
            <w:vAlign w:val="center"/>
            <w:hideMark/>
          </w:tcPr>
          <w:p w14:paraId="74F352F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14</w:t>
            </w:r>
          </w:p>
        </w:tc>
        <w:tc>
          <w:tcPr>
            <w:tcW w:w="548" w:type="dxa"/>
            <w:tcMar>
              <w:top w:w="150" w:type="dxa"/>
              <w:left w:w="240" w:type="dxa"/>
              <w:bottom w:w="150" w:type="dxa"/>
              <w:right w:w="0" w:type="dxa"/>
            </w:tcMar>
            <w:vAlign w:val="center"/>
            <w:hideMark/>
          </w:tcPr>
          <w:p w14:paraId="35C3E41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6.5</w:t>
            </w:r>
          </w:p>
        </w:tc>
      </w:tr>
      <w:tr w:rsidR="00BE4D4F" w:rsidRPr="004674F0" w14:paraId="170E8A42" w14:textId="77777777" w:rsidTr="004674F0">
        <w:tc>
          <w:tcPr>
            <w:tcW w:w="4584" w:type="dxa"/>
            <w:tcMar>
              <w:top w:w="150" w:type="dxa"/>
              <w:left w:w="0" w:type="dxa"/>
              <w:bottom w:w="150" w:type="dxa"/>
              <w:right w:w="240" w:type="dxa"/>
            </w:tcMar>
            <w:vAlign w:val="center"/>
            <w:hideMark/>
          </w:tcPr>
          <w:p w14:paraId="2E9492F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Discharge against medical advice</w:t>
            </w:r>
          </w:p>
        </w:tc>
        <w:tc>
          <w:tcPr>
            <w:tcW w:w="490" w:type="dxa"/>
            <w:tcMar>
              <w:top w:w="150" w:type="dxa"/>
              <w:left w:w="240" w:type="dxa"/>
              <w:bottom w:w="150" w:type="dxa"/>
              <w:right w:w="240" w:type="dxa"/>
            </w:tcMar>
            <w:vAlign w:val="center"/>
            <w:hideMark/>
          </w:tcPr>
          <w:p w14:paraId="14D6E66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6</w:t>
            </w:r>
          </w:p>
        </w:tc>
        <w:tc>
          <w:tcPr>
            <w:tcW w:w="548" w:type="dxa"/>
            <w:tcMar>
              <w:top w:w="150" w:type="dxa"/>
              <w:left w:w="240" w:type="dxa"/>
              <w:bottom w:w="150" w:type="dxa"/>
              <w:right w:w="0" w:type="dxa"/>
            </w:tcMar>
            <w:vAlign w:val="center"/>
            <w:hideMark/>
          </w:tcPr>
          <w:p w14:paraId="13509FC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2.8</w:t>
            </w:r>
          </w:p>
        </w:tc>
      </w:tr>
    </w:tbl>
    <w:p w14:paraId="23DACE36"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The case fatality rate (14.5%) is high but comparable to other sub-Saharan African studies in resource-limited settings. Sequelae (7.9%) are probably underestimated due to lack of long-term follow-up.</w:t>
      </w:r>
    </w:p>
    <w:p w14:paraId="1C25A4FE"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3.3 Bivariate Analysis</w:t>
      </w:r>
    </w:p>
    <w:p w14:paraId="6B3760AA"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3. Association between place of delivery and neonatal infection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68"/>
        <w:gridCol w:w="1898"/>
        <w:gridCol w:w="2082"/>
        <w:gridCol w:w="1780"/>
        <w:gridCol w:w="703"/>
      </w:tblGrid>
      <w:tr w:rsidR="00BE4D4F" w:rsidRPr="004674F0" w14:paraId="6F8CC3BE"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684430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Place of delivery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0C6BB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Infection (n=124)</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68C1A5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infection (n=90)</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7DBB94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35E9BD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75115BD3" w14:textId="77777777" w:rsidTr="004674F0">
        <w:tc>
          <w:tcPr>
            <w:tcW w:w="0" w:type="auto"/>
            <w:tcBorders>
              <w:top w:val="single" w:sz="4" w:space="0" w:color="auto"/>
            </w:tcBorders>
            <w:tcMar>
              <w:top w:w="150" w:type="dxa"/>
              <w:left w:w="0" w:type="dxa"/>
              <w:bottom w:w="150" w:type="dxa"/>
              <w:right w:w="240" w:type="dxa"/>
            </w:tcMar>
            <w:vAlign w:val="center"/>
            <w:hideMark/>
          </w:tcPr>
          <w:p w14:paraId="063E44E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proofErr w:type="spellStart"/>
            <w:r w:rsidRPr="004674F0">
              <w:rPr>
                <w:rFonts w:ascii="Times New Roman" w:eastAsia="Times New Roman" w:hAnsi="Times New Roman" w:cs="Times New Roman"/>
                <w:kern w:val="0"/>
                <w:sz w:val="20"/>
                <w:szCs w:val="20"/>
                <w14:ligatures w14:val="none"/>
              </w:rPr>
              <w:t>Wangata</w:t>
            </w:r>
            <w:proofErr w:type="spellEnd"/>
            <w:r w:rsidRPr="004674F0">
              <w:rPr>
                <w:rFonts w:ascii="Times New Roman" w:eastAsia="Times New Roman" w:hAnsi="Times New Roman" w:cs="Times New Roman"/>
                <w:kern w:val="0"/>
                <w:sz w:val="20"/>
                <w:szCs w:val="20"/>
                <w14:ligatures w14:val="none"/>
              </w:rPr>
              <w:t xml:space="preserve"> maternity</w:t>
            </w:r>
          </w:p>
        </w:tc>
        <w:tc>
          <w:tcPr>
            <w:tcW w:w="0" w:type="auto"/>
            <w:tcBorders>
              <w:top w:val="single" w:sz="4" w:space="0" w:color="auto"/>
            </w:tcBorders>
            <w:tcMar>
              <w:top w:w="150" w:type="dxa"/>
              <w:left w:w="240" w:type="dxa"/>
              <w:bottom w:w="150" w:type="dxa"/>
              <w:right w:w="240" w:type="dxa"/>
            </w:tcMar>
            <w:vAlign w:val="center"/>
            <w:hideMark/>
          </w:tcPr>
          <w:p w14:paraId="1DE6864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48</w:t>
            </w:r>
          </w:p>
        </w:tc>
        <w:tc>
          <w:tcPr>
            <w:tcW w:w="0" w:type="auto"/>
            <w:tcBorders>
              <w:top w:val="single" w:sz="4" w:space="0" w:color="auto"/>
            </w:tcBorders>
            <w:tcMar>
              <w:top w:w="150" w:type="dxa"/>
              <w:left w:w="240" w:type="dxa"/>
              <w:bottom w:w="150" w:type="dxa"/>
              <w:right w:w="240" w:type="dxa"/>
            </w:tcMar>
            <w:vAlign w:val="center"/>
            <w:hideMark/>
          </w:tcPr>
          <w:p w14:paraId="2FB9E6E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50</w:t>
            </w:r>
          </w:p>
        </w:tc>
        <w:tc>
          <w:tcPr>
            <w:tcW w:w="0" w:type="auto"/>
            <w:tcBorders>
              <w:top w:val="single" w:sz="4" w:space="0" w:color="auto"/>
            </w:tcBorders>
            <w:tcMar>
              <w:top w:w="150" w:type="dxa"/>
              <w:left w:w="240" w:type="dxa"/>
              <w:bottom w:w="150" w:type="dxa"/>
              <w:right w:w="240" w:type="dxa"/>
            </w:tcMar>
            <w:vAlign w:val="center"/>
            <w:hideMark/>
          </w:tcPr>
          <w:p w14:paraId="09DCCE1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Borders>
              <w:top w:val="single" w:sz="4" w:space="0" w:color="auto"/>
            </w:tcBorders>
            <w:tcMar>
              <w:top w:w="150" w:type="dxa"/>
              <w:left w:w="240" w:type="dxa"/>
              <w:bottom w:w="150" w:type="dxa"/>
              <w:right w:w="0" w:type="dxa"/>
            </w:tcMar>
            <w:vAlign w:val="center"/>
            <w:hideMark/>
          </w:tcPr>
          <w:p w14:paraId="76DC1B5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r w:rsidR="00BE4D4F" w:rsidRPr="004674F0" w14:paraId="0E177D1B" w14:textId="77777777" w:rsidTr="004674F0">
        <w:tc>
          <w:tcPr>
            <w:tcW w:w="0" w:type="auto"/>
            <w:tcMar>
              <w:top w:w="150" w:type="dxa"/>
              <w:left w:w="0" w:type="dxa"/>
              <w:bottom w:w="150" w:type="dxa"/>
              <w:right w:w="240" w:type="dxa"/>
            </w:tcMar>
            <w:vAlign w:val="center"/>
            <w:hideMark/>
          </w:tcPr>
          <w:p w14:paraId="35FCA6A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proofErr w:type="gramStart"/>
            <w:r w:rsidRPr="004674F0">
              <w:rPr>
                <w:rFonts w:ascii="Times New Roman" w:eastAsia="Times New Roman" w:hAnsi="Times New Roman" w:cs="Times New Roman"/>
                <w:kern w:val="0"/>
                <w:sz w:val="20"/>
                <w:szCs w:val="20"/>
                <w14:ligatures w14:val="none"/>
              </w:rPr>
              <w:t>Other</w:t>
            </w:r>
            <w:proofErr w:type="gramEnd"/>
            <w:r w:rsidRPr="004674F0">
              <w:rPr>
                <w:rFonts w:ascii="Times New Roman" w:eastAsia="Times New Roman" w:hAnsi="Times New Roman" w:cs="Times New Roman"/>
                <w:kern w:val="0"/>
                <w:sz w:val="20"/>
                <w:szCs w:val="20"/>
                <w14:ligatures w14:val="none"/>
              </w:rPr>
              <w:t xml:space="preserve"> center</w:t>
            </w:r>
          </w:p>
        </w:tc>
        <w:tc>
          <w:tcPr>
            <w:tcW w:w="0" w:type="auto"/>
            <w:tcMar>
              <w:top w:w="150" w:type="dxa"/>
              <w:left w:w="240" w:type="dxa"/>
              <w:bottom w:w="150" w:type="dxa"/>
              <w:right w:w="240" w:type="dxa"/>
            </w:tcMar>
            <w:vAlign w:val="center"/>
            <w:hideMark/>
          </w:tcPr>
          <w:p w14:paraId="389288B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31</w:t>
            </w:r>
          </w:p>
        </w:tc>
        <w:tc>
          <w:tcPr>
            <w:tcW w:w="0" w:type="auto"/>
            <w:tcMar>
              <w:top w:w="150" w:type="dxa"/>
              <w:left w:w="240" w:type="dxa"/>
              <w:bottom w:w="150" w:type="dxa"/>
              <w:right w:w="240" w:type="dxa"/>
            </w:tcMar>
            <w:vAlign w:val="center"/>
            <w:hideMark/>
          </w:tcPr>
          <w:p w14:paraId="6893E73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16</w:t>
            </w:r>
          </w:p>
        </w:tc>
        <w:tc>
          <w:tcPr>
            <w:tcW w:w="0" w:type="auto"/>
            <w:tcMar>
              <w:top w:w="150" w:type="dxa"/>
              <w:left w:w="240" w:type="dxa"/>
              <w:bottom w:w="150" w:type="dxa"/>
              <w:right w:w="240" w:type="dxa"/>
            </w:tcMar>
            <w:vAlign w:val="center"/>
            <w:hideMark/>
          </w:tcPr>
          <w:p w14:paraId="0D190F4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2.02 [1.01-4.04]</w:t>
            </w:r>
          </w:p>
        </w:tc>
        <w:tc>
          <w:tcPr>
            <w:tcW w:w="0" w:type="auto"/>
            <w:tcMar>
              <w:top w:w="150" w:type="dxa"/>
              <w:left w:w="240" w:type="dxa"/>
              <w:bottom w:w="150" w:type="dxa"/>
              <w:right w:w="0" w:type="dxa"/>
            </w:tcMar>
            <w:vAlign w:val="center"/>
            <w:hideMark/>
          </w:tcPr>
          <w:p w14:paraId="156CE84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&lt;0.05</w:t>
            </w:r>
          </w:p>
        </w:tc>
      </w:tr>
      <w:tr w:rsidR="00BE4D4F" w:rsidRPr="004674F0" w14:paraId="3B6C5F8D" w14:textId="77777777" w:rsidTr="004674F0">
        <w:tc>
          <w:tcPr>
            <w:tcW w:w="0" w:type="auto"/>
            <w:tcMar>
              <w:top w:w="150" w:type="dxa"/>
              <w:left w:w="0" w:type="dxa"/>
              <w:bottom w:w="150" w:type="dxa"/>
              <w:right w:w="240" w:type="dxa"/>
            </w:tcMar>
            <w:vAlign w:val="center"/>
            <w:hideMark/>
          </w:tcPr>
          <w:p w14:paraId="362726B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Home</w:t>
            </w:r>
          </w:p>
        </w:tc>
        <w:tc>
          <w:tcPr>
            <w:tcW w:w="0" w:type="auto"/>
            <w:tcMar>
              <w:top w:w="150" w:type="dxa"/>
              <w:left w:w="240" w:type="dxa"/>
              <w:bottom w:w="150" w:type="dxa"/>
              <w:right w:w="240" w:type="dxa"/>
            </w:tcMar>
            <w:vAlign w:val="center"/>
            <w:hideMark/>
          </w:tcPr>
          <w:p w14:paraId="1704ECE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45</w:t>
            </w:r>
          </w:p>
        </w:tc>
        <w:tc>
          <w:tcPr>
            <w:tcW w:w="0" w:type="auto"/>
            <w:tcMar>
              <w:top w:w="150" w:type="dxa"/>
              <w:left w:w="240" w:type="dxa"/>
              <w:bottom w:w="150" w:type="dxa"/>
              <w:right w:w="240" w:type="dxa"/>
            </w:tcMar>
            <w:vAlign w:val="center"/>
            <w:hideMark/>
          </w:tcPr>
          <w:p w14:paraId="3301637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16</w:t>
            </w:r>
          </w:p>
        </w:tc>
        <w:tc>
          <w:tcPr>
            <w:tcW w:w="0" w:type="auto"/>
            <w:tcMar>
              <w:top w:w="150" w:type="dxa"/>
              <w:left w:w="240" w:type="dxa"/>
              <w:bottom w:w="150" w:type="dxa"/>
              <w:right w:w="240" w:type="dxa"/>
            </w:tcMar>
            <w:vAlign w:val="center"/>
            <w:hideMark/>
          </w:tcPr>
          <w:p w14:paraId="575278C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2.93 [1.48-5.80]</w:t>
            </w:r>
          </w:p>
        </w:tc>
        <w:tc>
          <w:tcPr>
            <w:tcW w:w="0" w:type="auto"/>
            <w:tcMar>
              <w:top w:w="150" w:type="dxa"/>
              <w:left w:w="240" w:type="dxa"/>
              <w:bottom w:w="150" w:type="dxa"/>
              <w:right w:w="0" w:type="dxa"/>
            </w:tcMar>
            <w:vAlign w:val="center"/>
            <w:hideMark/>
          </w:tcPr>
          <w:p w14:paraId="11EFE68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&lt;0.01</w:t>
            </w:r>
          </w:p>
        </w:tc>
      </w:tr>
      <w:tr w:rsidR="00BE4D4F" w:rsidRPr="004674F0" w14:paraId="4331953D" w14:textId="77777777" w:rsidTr="004674F0">
        <w:tc>
          <w:tcPr>
            <w:tcW w:w="0" w:type="auto"/>
            <w:tcMar>
              <w:top w:w="150" w:type="dxa"/>
              <w:left w:w="0" w:type="dxa"/>
              <w:bottom w:w="150" w:type="dxa"/>
              <w:right w:w="240" w:type="dxa"/>
            </w:tcMar>
            <w:vAlign w:val="center"/>
            <w:hideMark/>
          </w:tcPr>
          <w:p w14:paraId="479A842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Road/Other</w:t>
            </w:r>
          </w:p>
        </w:tc>
        <w:tc>
          <w:tcPr>
            <w:tcW w:w="0" w:type="auto"/>
            <w:tcMar>
              <w:top w:w="150" w:type="dxa"/>
              <w:left w:w="240" w:type="dxa"/>
              <w:bottom w:w="150" w:type="dxa"/>
              <w:right w:w="240" w:type="dxa"/>
            </w:tcMar>
            <w:vAlign w:val="center"/>
            <w:hideMark/>
          </w:tcPr>
          <w:p w14:paraId="0DCBD30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6</w:t>
            </w:r>
          </w:p>
        </w:tc>
        <w:tc>
          <w:tcPr>
            <w:tcW w:w="0" w:type="auto"/>
            <w:tcMar>
              <w:top w:w="150" w:type="dxa"/>
              <w:left w:w="240" w:type="dxa"/>
              <w:bottom w:w="150" w:type="dxa"/>
              <w:right w:w="240" w:type="dxa"/>
            </w:tcMar>
            <w:vAlign w:val="center"/>
            <w:hideMark/>
          </w:tcPr>
          <w:p w14:paraId="5F6AD89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w:t>
            </w:r>
          </w:p>
        </w:tc>
        <w:tc>
          <w:tcPr>
            <w:tcW w:w="0" w:type="auto"/>
            <w:tcMar>
              <w:top w:w="150" w:type="dxa"/>
              <w:left w:w="240" w:type="dxa"/>
              <w:bottom w:w="150" w:type="dxa"/>
              <w:right w:w="240" w:type="dxa"/>
            </w:tcMar>
            <w:vAlign w:val="center"/>
            <w:hideMark/>
          </w:tcPr>
          <w:p w14:paraId="2103925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3.12 [0.61-16.1]</w:t>
            </w:r>
          </w:p>
        </w:tc>
        <w:tc>
          <w:tcPr>
            <w:tcW w:w="0" w:type="auto"/>
            <w:tcMar>
              <w:top w:w="150" w:type="dxa"/>
              <w:left w:w="240" w:type="dxa"/>
              <w:bottom w:w="150" w:type="dxa"/>
              <w:right w:w="0" w:type="dxa"/>
            </w:tcMar>
            <w:vAlign w:val="center"/>
            <w:hideMark/>
          </w:tcPr>
          <w:p w14:paraId="2111CEA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NS</w:t>
            </w:r>
          </w:p>
        </w:tc>
      </w:tr>
    </w:tbl>
    <w:p w14:paraId="60372451"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Deliveries at home or in peripheral structures were associated with approximately three times higher risk of infection, explained by precarious aseptic conditions and absence of intrapartum antibiotic prophylaxis.</w:t>
      </w:r>
    </w:p>
    <w:p w14:paraId="3E792B7D"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4. Influence of prolonged rupture of membranes (&gt;18h)</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48"/>
        <w:gridCol w:w="1965"/>
        <w:gridCol w:w="2326"/>
        <w:gridCol w:w="1780"/>
        <w:gridCol w:w="803"/>
      </w:tblGrid>
      <w:tr w:rsidR="00BE4D4F" w:rsidRPr="004674F0" w14:paraId="125FADF3"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986421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Rupture &gt;18h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A314F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Septicemia (n=48)</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16958E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septicemia (n=166)</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184365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8265A3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26677480" w14:textId="77777777" w:rsidTr="004674F0">
        <w:tc>
          <w:tcPr>
            <w:tcW w:w="0" w:type="auto"/>
            <w:tcBorders>
              <w:top w:val="single" w:sz="4" w:space="0" w:color="auto"/>
            </w:tcBorders>
            <w:tcMar>
              <w:top w:w="150" w:type="dxa"/>
              <w:left w:w="0" w:type="dxa"/>
              <w:bottom w:w="150" w:type="dxa"/>
              <w:right w:w="240" w:type="dxa"/>
            </w:tcMar>
            <w:vAlign w:val="center"/>
            <w:hideMark/>
          </w:tcPr>
          <w:p w14:paraId="7BA0FF1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Yes (n=48)</w:t>
            </w:r>
          </w:p>
        </w:tc>
        <w:tc>
          <w:tcPr>
            <w:tcW w:w="0" w:type="auto"/>
            <w:tcBorders>
              <w:top w:val="single" w:sz="4" w:space="0" w:color="auto"/>
            </w:tcBorders>
            <w:tcMar>
              <w:top w:w="150" w:type="dxa"/>
              <w:left w:w="240" w:type="dxa"/>
              <w:bottom w:w="150" w:type="dxa"/>
              <w:right w:w="240" w:type="dxa"/>
            </w:tcMar>
            <w:vAlign w:val="center"/>
            <w:hideMark/>
          </w:tcPr>
          <w:p w14:paraId="6A662D6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38</w:t>
            </w:r>
          </w:p>
        </w:tc>
        <w:tc>
          <w:tcPr>
            <w:tcW w:w="0" w:type="auto"/>
            <w:tcBorders>
              <w:top w:val="single" w:sz="4" w:space="0" w:color="auto"/>
            </w:tcBorders>
            <w:tcMar>
              <w:top w:w="150" w:type="dxa"/>
              <w:left w:w="240" w:type="dxa"/>
              <w:bottom w:w="150" w:type="dxa"/>
              <w:right w:w="240" w:type="dxa"/>
            </w:tcMar>
            <w:vAlign w:val="center"/>
            <w:hideMark/>
          </w:tcPr>
          <w:p w14:paraId="6CE9B15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10</w:t>
            </w:r>
          </w:p>
        </w:tc>
        <w:tc>
          <w:tcPr>
            <w:tcW w:w="0" w:type="auto"/>
            <w:tcBorders>
              <w:top w:val="single" w:sz="4" w:space="0" w:color="auto"/>
            </w:tcBorders>
            <w:tcMar>
              <w:top w:w="150" w:type="dxa"/>
              <w:left w:w="240" w:type="dxa"/>
              <w:bottom w:w="150" w:type="dxa"/>
              <w:right w:w="240" w:type="dxa"/>
            </w:tcMar>
            <w:vAlign w:val="center"/>
            <w:hideMark/>
          </w:tcPr>
          <w:p w14:paraId="5C457BB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9.51 [4.42-20.5]</w:t>
            </w:r>
          </w:p>
        </w:tc>
        <w:tc>
          <w:tcPr>
            <w:tcW w:w="0" w:type="auto"/>
            <w:tcBorders>
              <w:top w:val="single" w:sz="4" w:space="0" w:color="auto"/>
            </w:tcBorders>
            <w:tcMar>
              <w:top w:w="150" w:type="dxa"/>
              <w:left w:w="240" w:type="dxa"/>
              <w:bottom w:w="150" w:type="dxa"/>
              <w:right w:w="0" w:type="dxa"/>
            </w:tcMar>
            <w:vAlign w:val="center"/>
            <w:hideMark/>
          </w:tcPr>
          <w:p w14:paraId="70A9351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20C28EF1" w14:textId="77777777" w:rsidTr="004674F0">
        <w:tc>
          <w:tcPr>
            <w:tcW w:w="0" w:type="auto"/>
            <w:tcMar>
              <w:top w:w="150" w:type="dxa"/>
              <w:left w:w="0" w:type="dxa"/>
              <w:bottom w:w="150" w:type="dxa"/>
              <w:right w:w="240" w:type="dxa"/>
            </w:tcMar>
            <w:vAlign w:val="center"/>
            <w:hideMark/>
          </w:tcPr>
          <w:p w14:paraId="69ED199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(n=166)</w:t>
            </w:r>
          </w:p>
        </w:tc>
        <w:tc>
          <w:tcPr>
            <w:tcW w:w="0" w:type="auto"/>
            <w:tcMar>
              <w:top w:w="150" w:type="dxa"/>
              <w:left w:w="240" w:type="dxa"/>
              <w:bottom w:w="150" w:type="dxa"/>
              <w:right w:w="240" w:type="dxa"/>
            </w:tcMar>
            <w:vAlign w:val="center"/>
            <w:hideMark/>
          </w:tcPr>
          <w:p w14:paraId="47FC379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49</w:t>
            </w:r>
          </w:p>
        </w:tc>
        <w:tc>
          <w:tcPr>
            <w:tcW w:w="0" w:type="auto"/>
            <w:tcMar>
              <w:top w:w="150" w:type="dxa"/>
              <w:left w:w="240" w:type="dxa"/>
              <w:bottom w:w="150" w:type="dxa"/>
              <w:right w:w="240" w:type="dxa"/>
            </w:tcMar>
            <w:vAlign w:val="center"/>
            <w:hideMark/>
          </w:tcPr>
          <w:p w14:paraId="31EE2F8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117</w:t>
            </w:r>
          </w:p>
        </w:tc>
        <w:tc>
          <w:tcPr>
            <w:tcW w:w="0" w:type="auto"/>
            <w:tcMar>
              <w:top w:w="150" w:type="dxa"/>
              <w:left w:w="240" w:type="dxa"/>
              <w:bottom w:w="150" w:type="dxa"/>
              <w:right w:w="240" w:type="dxa"/>
            </w:tcMar>
            <w:vAlign w:val="center"/>
            <w:hideMark/>
          </w:tcPr>
          <w:p w14:paraId="19A1BE9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Mar>
              <w:top w:w="150" w:type="dxa"/>
              <w:left w:w="240" w:type="dxa"/>
              <w:bottom w:w="150" w:type="dxa"/>
              <w:right w:w="0" w:type="dxa"/>
            </w:tcMar>
            <w:vAlign w:val="center"/>
            <w:hideMark/>
          </w:tcPr>
          <w:p w14:paraId="6D1A307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bl>
    <w:p w14:paraId="62F26620"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Membrane rupture exceeding 18 hours multiplies the risk of early septicemia by nearly 10, making it the most predictive anamnestic criterion at admission.</w:t>
      </w:r>
    </w:p>
    <w:p w14:paraId="0844CAC5"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5. Impact of treatment compliance on recovery</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64"/>
        <w:gridCol w:w="2525"/>
        <w:gridCol w:w="2358"/>
        <w:gridCol w:w="1710"/>
        <w:gridCol w:w="803"/>
      </w:tblGrid>
      <w:tr w:rsidR="00BE4D4F" w:rsidRPr="004674F0" w14:paraId="6361AEE7"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5223A5A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Treatment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C97F44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Recovery without sequelae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C8423F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Failure/Sequelae/Death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465579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EDEC61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6A4461E2" w14:textId="77777777" w:rsidTr="004674F0">
        <w:tc>
          <w:tcPr>
            <w:tcW w:w="0" w:type="auto"/>
            <w:tcBorders>
              <w:top w:val="single" w:sz="4" w:space="0" w:color="auto"/>
            </w:tcBorders>
            <w:tcMar>
              <w:top w:w="150" w:type="dxa"/>
              <w:left w:w="0" w:type="dxa"/>
              <w:bottom w:w="150" w:type="dxa"/>
              <w:right w:w="240" w:type="dxa"/>
            </w:tcMar>
            <w:vAlign w:val="center"/>
            <w:hideMark/>
          </w:tcPr>
          <w:p w14:paraId="357FB24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Compliant (n=154)</w:t>
            </w:r>
          </w:p>
        </w:tc>
        <w:tc>
          <w:tcPr>
            <w:tcW w:w="0" w:type="auto"/>
            <w:tcBorders>
              <w:top w:val="single" w:sz="4" w:space="0" w:color="auto"/>
            </w:tcBorders>
            <w:tcMar>
              <w:top w:w="150" w:type="dxa"/>
              <w:left w:w="240" w:type="dxa"/>
              <w:bottom w:w="150" w:type="dxa"/>
              <w:right w:w="240" w:type="dxa"/>
            </w:tcMar>
            <w:vAlign w:val="center"/>
            <w:hideMark/>
          </w:tcPr>
          <w:p w14:paraId="7EE6356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124</w:t>
            </w:r>
          </w:p>
        </w:tc>
        <w:tc>
          <w:tcPr>
            <w:tcW w:w="0" w:type="auto"/>
            <w:tcBorders>
              <w:top w:val="single" w:sz="4" w:space="0" w:color="auto"/>
            </w:tcBorders>
            <w:tcMar>
              <w:top w:w="150" w:type="dxa"/>
              <w:left w:w="240" w:type="dxa"/>
              <w:bottom w:w="150" w:type="dxa"/>
              <w:right w:w="240" w:type="dxa"/>
            </w:tcMar>
            <w:vAlign w:val="center"/>
            <w:hideMark/>
          </w:tcPr>
          <w:p w14:paraId="609B05A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30</w:t>
            </w:r>
          </w:p>
        </w:tc>
        <w:tc>
          <w:tcPr>
            <w:tcW w:w="0" w:type="auto"/>
            <w:tcBorders>
              <w:top w:val="single" w:sz="4" w:space="0" w:color="auto"/>
            </w:tcBorders>
            <w:tcMar>
              <w:top w:w="150" w:type="dxa"/>
              <w:left w:w="240" w:type="dxa"/>
              <w:bottom w:w="150" w:type="dxa"/>
              <w:right w:w="240" w:type="dxa"/>
            </w:tcMar>
            <w:vAlign w:val="center"/>
            <w:hideMark/>
          </w:tcPr>
          <w:p w14:paraId="3633FCA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4.73 [2.48-9.04]</w:t>
            </w:r>
          </w:p>
        </w:tc>
        <w:tc>
          <w:tcPr>
            <w:tcW w:w="0" w:type="auto"/>
            <w:tcBorders>
              <w:top w:val="single" w:sz="4" w:space="0" w:color="auto"/>
            </w:tcBorders>
            <w:tcMar>
              <w:top w:w="150" w:type="dxa"/>
              <w:left w:w="240" w:type="dxa"/>
              <w:bottom w:w="150" w:type="dxa"/>
              <w:right w:w="0" w:type="dxa"/>
            </w:tcMar>
            <w:vAlign w:val="center"/>
            <w:hideMark/>
          </w:tcPr>
          <w:p w14:paraId="036F921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33272B3A" w14:textId="77777777" w:rsidTr="004674F0">
        <w:tc>
          <w:tcPr>
            <w:tcW w:w="0" w:type="auto"/>
            <w:tcMar>
              <w:top w:w="150" w:type="dxa"/>
              <w:left w:w="0" w:type="dxa"/>
              <w:bottom w:w="150" w:type="dxa"/>
              <w:right w:w="240" w:type="dxa"/>
            </w:tcMar>
            <w:vAlign w:val="center"/>
            <w:hideMark/>
          </w:tcPr>
          <w:p w14:paraId="5C6BF9A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Non-compliant (n=60)</w:t>
            </w:r>
          </w:p>
        </w:tc>
        <w:tc>
          <w:tcPr>
            <w:tcW w:w="0" w:type="auto"/>
            <w:tcMar>
              <w:top w:w="150" w:type="dxa"/>
              <w:left w:w="240" w:type="dxa"/>
              <w:bottom w:w="150" w:type="dxa"/>
              <w:right w:w="240" w:type="dxa"/>
            </w:tcMar>
            <w:vAlign w:val="center"/>
            <w:hideMark/>
          </w:tcPr>
          <w:p w14:paraId="3555AB1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22</w:t>
            </w:r>
          </w:p>
        </w:tc>
        <w:tc>
          <w:tcPr>
            <w:tcW w:w="0" w:type="auto"/>
            <w:tcMar>
              <w:top w:w="150" w:type="dxa"/>
              <w:left w:w="240" w:type="dxa"/>
              <w:bottom w:w="150" w:type="dxa"/>
              <w:right w:w="240" w:type="dxa"/>
            </w:tcMar>
            <w:vAlign w:val="center"/>
            <w:hideMark/>
          </w:tcPr>
          <w:p w14:paraId="3290DA3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38</w:t>
            </w:r>
          </w:p>
        </w:tc>
        <w:tc>
          <w:tcPr>
            <w:tcW w:w="0" w:type="auto"/>
            <w:tcMar>
              <w:top w:w="150" w:type="dxa"/>
              <w:left w:w="240" w:type="dxa"/>
              <w:bottom w:w="150" w:type="dxa"/>
              <w:right w:w="240" w:type="dxa"/>
            </w:tcMar>
            <w:vAlign w:val="center"/>
            <w:hideMark/>
          </w:tcPr>
          <w:p w14:paraId="7A10091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Mar>
              <w:top w:w="150" w:type="dxa"/>
              <w:left w:w="240" w:type="dxa"/>
              <w:bottom w:w="150" w:type="dxa"/>
              <w:right w:w="0" w:type="dxa"/>
            </w:tcMar>
            <w:vAlign w:val="center"/>
            <w:hideMark/>
          </w:tcPr>
          <w:p w14:paraId="54393EB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bl>
    <w:p w14:paraId="00B20D84"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Adherence to the local protocol (</w:t>
      </w:r>
      <w:proofErr w:type="spellStart"/>
      <w:r w:rsidRPr="00BE4D4F">
        <w:rPr>
          <w:rFonts w:ascii="Times New Roman" w:eastAsia="Times New Roman" w:hAnsi="Times New Roman" w:cs="Times New Roman"/>
          <w:color w:val="0F1115"/>
          <w:kern w:val="0"/>
          <w14:ligatures w14:val="none"/>
        </w:rPr>
        <w:t>bitherapy</w:t>
      </w:r>
      <w:proofErr w:type="spellEnd"/>
      <w:r w:rsidRPr="00BE4D4F">
        <w:rPr>
          <w:rFonts w:ascii="Times New Roman" w:eastAsia="Times New Roman" w:hAnsi="Times New Roman" w:cs="Times New Roman"/>
          <w:color w:val="0F1115"/>
          <w:kern w:val="0"/>
          <w14:ligatures w14:val="none"/>
        </w:rPr>
        <w:t>) significantly improved prognosis. Monotherapies (non-compliant) were correlated with a significantly higher risk of therapeutic failure.</w:t>
      </w:r>
    </w:p>
    <w:p w14:paraId="49BD3255"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6. Contribution of CRP to therapeutic adaptation at 48h</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01"/>
        <w:gridCol w:w="2026"/>
        <w:gridCol w:w="1608"/>
        <w:gridCol w:w="1780"/>
        <w:gridCol w:w="703"/>
      </w:tblGrid>
      <w:tr w:rsidR="00BE4D4F" w:rsidRPr="004674F0" w14:paraId="7EE83A1E"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A40B54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CRP performed</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F7663C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Adaptation at &lt;48h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BDE384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adaptation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722197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236E47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30EE05B6" w14:textId="77777777" w:rsidTr="004674F0">
        <w:tc>
          <w:tcPr>
            <w:tcW w:w="0" w:type="auto"/>
            <w:tcBorders>
              <w:top w:val="single" w:sz="4" w:space="0" w:color="auto"/>
            </w:tcBorders>
            <w:tcMar>
              <w:top w:w="150" w:type="dxa"/>
              <w:left w:w="0" w:type="dxa"/>
              <w:bottom w:w="150" w:type="dxa"/>
              <w:right w:w="240" w:type="dxa"/>
            </w:tcMar>
            <w:vAlign w:val="center"/>
            <w:hideMark/>
          </w:tcPr>
          <w:p w14:paraId="2E0A7F4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Yes (n=78)</w:t>
            </w:r>
          </w:p>
        </w:tc>
        <w:tc>
          <w:tcPr>
            <w:tcW w:w="0" w:type="auto"/>
            <w:tcBorders>
              <w:top w:val="single" w:sz="4" w:space="0" w:color="auto"/>
            </w:tcBorders>
            <w:tcMar>
              <w:top w:w="150" w:type="dxa"/>
              <w:left w:w="240" w:type="dxa"/>
              <w:bottom w:w="150" w:type="dxa"/>
              <w:right w:w="240" w:type="dxa"/>
            </w:tcMar>
            <w:vAlign w:val="center"/>
            <w:hideMark/>
          </w:tcPr>
          <w:p w14:paraId="63C142F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28</w:t>
            </w:r>
          </w:p>
        </w:tc>
        <w:tc>
          <w:tcPr>
            <w:tcW w:w="0" w:type="auto"/>
            <w:tcBorders>
              <w:top w:val="single" w:sz="4" w:space="0" w:color="auto"/>
            </w:tcBorders>
            <w:tcMar>
              <w:top w:w="150" w:type="dxa"/>
              <w:left w:w="240" w:type="dxa"/>
              <w:bottom w:w="150" w:type="dxa"/>
              <w:right w:w="240" w:type="dxa"/>
            </w:tcMar>
            <w:vAlign w:val="center"/>
            <w:hideMark/>
          </w:tcPr>
          <w:p w14:paraId="08331A2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50</w:t>
            </w:r>
          </w:p>
        </w:tc>
        <w:tc>
          <w:tcPr>
            <w:tcW w:w="0" w:type="auto"/>
            <w:tcBorders>
              <w:top w:val="single" w:sz="4" w:space="0" w:color="auto"/>
            </w:tcBorders>
            <w:tcMar>
              <w:top w:w="150" w:type="dxa"/>
              <w:left w:w="240" w:type="dxa"/>
              <w:bottom w:w="150" w:type="dxa"/>
              <w:right w:w="240" w:type="dxa"/>
            </w:tcMar>
            <w:vAlign w:val="center"/>
            <w:hideMark/>
          </w:tcPr>
          <w:p w14:paraId="2B803AB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3.44 [1.67-7.07]</w:t>
            </w:r>
          </w:p>
        </w:tc>
        <w:tc>
          <w:tcPr>
            <w:tcW w:w="0" w:type="auto"/>
            <w:tcBorders>
              <w:top w:val="single" w:sz="4" w:space="0" w:color="auto"/>
            </w:tcBorders>
            <w:tcMar>
              <w:top w:w="150" w:type="dxa"/>
              <w:left w:w="240" w:type="dxa"/>
              <w:bottom w:w="150" w:type="dxa"/>
              <w:right w:w="0" w:type="dxa"/>
            </w:tcMar>
            <w:vAlign w:val="center"/>
            <w:hideMark/>
          </w:tcPr>
          <w:p w14:paraId="715A514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&lt;0.01</w:t>
            </w:r>
          </w:p>
        </w:tc>
      </w:tr>
      <w:tr w:rsidR="00BE4D4F" w:rsidRPr="004674F0" w14:paraId="20659C83" w14:textId="77777777" w:rsidTr="004674F0">
        <w:tc>
          <w:tcPr>
            <w:tcW w:w="0" w:type="auto"/>
            <w:tcMar>
              <w:top w:w="150" w:type="dxa"/>
              <w:left w:w="0" w:type="dxa"/>
              <w:bottom w:w="150" w:type="dxa"/>
              <w:right w:w="240" w:type="dxa"/>
            </w:tcMar>
            <w:vAlign w:val="center"/>
            <w:hideMark/>
          </w:tcPr>
          <w:p w14:paraId="365DF20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(n=136)</w:t>
            </w:r>
          </w:p>
        </w:tc>
        <w:tc>
          <w:tcPr>
            <w:tcW w:w="0" w:type="auto"/>
            <w:tcMar>
              <w:top w:w="150" w:type="dxa"/>
              <w:left w:w="240" w:type="dxa"/>
              <w:bottom w:w="150" w:type="dxa"/>
              <w:right w:w="240" w:type="dxa"/>
            </w:tcMar>
            <w:vAlign w:val="center"/>
            <w:hideMark/>
          </w:tcPr>
          <w:p w14:paraId="4D19F6D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13</w:t>
            </w:r>
          </w:p>
        </w:tc>
        <w:tc>
          <w:tcPr>
            <w:tcW w:w="0" w:type="auto"/>
            <w:tcMar>
              <w:top w:w="150" w:type="dxa"/>
              <w:left w:w="240" w:type="dxa"/>
              <w:bottom w:w="150" w:type="dxa"/>
              <w:right w:w="240" w:type="dxa"/>
            </w:tcMar>
            <w:vAlign w:val="center"/>
            <w:hideMark/>
          </w:tcPr>
          <w:p w14:paraId="782068B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123</w:t>
            </w:r>
          </w:p>
        </w:tc>
        <w:tc>
          <w:tcPr>
            <w:tcW w:w="0" w:type="auto"/>
            <w:tcMar>
              <w:top w:w="150" w:type="dxa"/>
              <w:left w:w="240" w:type="dxa"/>
              <w:bottom w:w="150" w:type="dxa"/>
              <w:right w:w="240" w:type="dxa"/>
            </w:tcMar>
            <w:vAlign w:val="center"/>
            <w:hideMark/>
          </w:tcPr>
          <w:p w14:paraId="0E5DBB3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Mar>
              <w:top w:w="150" w:type="dxa"/>
              <w:left w:w="240" w:type="dxa"/>
              <w:bottom w:w="150" w:type="dxa"/>
              <w:right w:w="0" w:type="dxa"/>
            </w:tcMar>
            <w:vAlign w:val="center"/>
            <w:hideMark/>
          </w:tcPr>
          <w:p w14:paraId="3CE460E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bl>
    <w:p w14:paraId="75322255"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CRP testing enabled more agile clinical reassessment (35.9% adaptation vs. 9.6% without testing). Lack of reagents at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constitutes a major barrier to antibiotic therapy adjustment.</w:t>
      </w:r>
    </w:p>
    <w:p w14:paraId="1F5C016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lastRenderedPageBreak/>
        <w:t>Table 7. Relationship between low birth weight and mortality</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96"/>
        <w:gridCol w:w="1554"/>
        <w:gridCol w:w="1954"/>
        <w:gridCol w:w="1780"/>
        <w:gridCol w:w="703"/>
      </w:tblGrid>
      <w:tr w:rsidR="00BE4D4F" w:rsidRPr="004674F0" w14:paraId="560E6CA8"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7AF97A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Birth weight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65AA2F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Death (n=31)</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E2A8C6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Survivors (n=183)</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159783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065377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38A39190" w14:textId="77777777" w:rsidTr="004674F0">
        <w:tc>
          <w:tcPr>
            <w:tcW w:w="0" w:type="auto"/>
            <w:tcBorders>
              <w:top w:val="single" w:sz="4" w:space="0" w:color="auto"/>
            </w:tcBorders>
            <w:tcMar>
              <w:top w:w="150" w:type="dxa"/>
              <w:left w:w="0" w:type="dxa"/>
              <w:bottom w:w="150" w:type="dxa"/>
              <w:right w:w="240" w:type="dxa"/>
            </w:tcMar>
            <w:vAlign w:val="center"/>
            <w:hideMark/>
          </w:tcPr>
          <w:p w14:paraId="026B565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&lt;2500 g (n=78)</w:t>
            </w:r>
          </w:p>
        </w:tc>
        <w:tc>
          <w:tcPr>
            <w:tcW w:w="0" w:type="auto"/>
            <w:tcBorders>
              <w:top w:val="single" w:sz="4" w:space="0" w:color="auto"/>
            </w:tcBorders>
            <w:tcMar>
              <w:top w:w="150" w:type="dxa"/>
              <w:left w:w="240" w:type="dxa"/>
              <w:bottom w:w="150" w:type="dxa"/>
              <w:right w:w="240" w:type="dxa"/>
            </w:tcMar>
            <w:vAlign w:val="center"/>
            <w:hideMark/>
          </w:tcPr>
          <w:p w14:paraId="6ADC950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19</w:t>
            </w:r>
          </w:p>
        </w:tc>
        <w:tc>
          <w:tcPr>
            <w:tcW w:w="0" w:type="auto"/>
            <w:tcBorders>
              <w:top w:val="single" w:sz="4" w:space="0" w:color="auto"/>
            </w:tcBorders>
            <w:tcMar>
              <w:top w:w="150" w:type="dxa"/>
              <w:left w:w="240" w:type="dxa"/>
              <w:bottom w:w="150" w:type="dxa"/>
              <w:right w:w="240" w:type="dxa"/>
            </w:tcMar>
            <w:vAlign w:val="center"/>
            <w:hideMark/>
          </w:tcPr>
          <w:p w14:paraId="2B4F3C8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59</w:t>
            </w:r>
          </w:p>
        </w:tc>
        <w:tc>
          <w:tcPr>
            <w:tcW w:w="0" w:type="auto"/>
            <w:tcBorders>
              <w:top w:val="single" w:sz="4" w:space="0" w:color="auto"/>
            </w:tcBorders>
            <w:tcMar>
              <w:top w:w="150" w:type="dxa"/>
              <w:left w:w="240" w:type="dxa"/>
              <w:bottom w:w="150" w:type="dxa"/>
              <w:right w:w="240" w:type="dxa"/>
            </w:tcMar>
            <w:vAlign w:val="center"/>
            <w:hideMark/>
          </w:tcPr>
          <w:p w14:paraId="19D24DA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2.59 [1.36-4.94]</w:t>
            </w:r>
          </w:p>
        </w:tc>
        <w:tc>
          <w:tcPr>
            <w:tcW w:w="0" w:type="auto"/>
            <w:tcBorders>
              <w:top w:val="single" w:sz="4" w:space="0" w:color="auto"/>
            </w:tcBorders>
            <w:tcMar>
              <w:top w:w="150" w:type="dxa"/>
              <w:left w:w="240" w:type="dxa"/>
              <w:bottom w:w="150" w:type="dxa"/>
              <w:right w:w="0" w:type="dxa"/>
            </w:tcMar>
            <w:vAlign w:val="center"/>
            <w:hideMark/>
          </w:tcPr>
          <w:p w14:paraId="33FAD3F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&lt;0.01</w:t>
            </w:r>
          </w:p>
        </w:tc>
      </w:tr>
      <w:tr w:rsidR="00BE4D4F" w:rsidRPr="004674F0" w14:paraId="6DD3FF18" w14:textId="77777777" w:rsidTr="004674F0">
        <w:tc>
          <w:tcPr>
            <w:tcW w:w="0" w:type="auto"/>
            <w:tcMar>
              <w:top w:w="150" w:type="dxa"/>
              <w:left w:w="0" w:type="dxa"/>
              <w:bottom w:w="150" w:type="dxa"/>
              <w:right w:w="240" w:type="dxa"/>
            </w:tcMar>
            <w:vAlign w:val="center"/>
            <w:hideMark/>
          </w:tcPr>
          <w:p w14:paraId="7614166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≥2500 g (n=136)</w:t>
            </w:r>
          </w:p>
        </w:tc>
        <w:tc>
          <w:tcPr>
            <w:tcW w:w="0" w:type="auto"/>
            <w:tcMar>
              <w:top w:w="150" w:type="dxa"/>
              <w:left w:w="240" w:type="dxa"/>
              <w:bottom w:w="150" w:type="dxa"/>
              <w:right w:w="240" w:type="dxa"/>
            </w:tcMar>
            <w:vAlign w:val="center"/>
            <w:hideMark/>
          </w:tcPr>
          <w:p w14:paraId="7BAD60F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12</w:t>
            </w:r>
          </w:p>
        </w:tc>
        <w:tc>
          <w:tcPr>
            <w:tcW w:w="0" w:type="auto"/>
            <w:tcMar>
              <w:top w:w="150" w:type="dxa"/>
              <w:left w:w="240" w:type="dxa"/>
              <w:bottom w:w="150" w:type="dxa"/>
              <w:right w:w="240" w:type="dxa"/>
            </w:tcMar>
            <w:vAlign w:val="center"/>
            <w:hideMark/>
          </w:tcPr>
          <w:p w14:paraId="456E9A7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124</w:t>
            </w:r>
          </w:p>
        </w:tc>
        <w:tc>
          <w:tcPr>
            <w:tcW w:w="0" w:type="auto"/>
            <w:tcMar>
              <w:top w:w="150" w:type="dxa"/>
              <w:left w:w="240" w:type="dxa"/>
              <w:bottom w:w="150" w:type="dxa"/>
              <w:right w:w="240" w:type="dxa"/>
            </w:tcMar>
            <w:vAlign w:val="center"/>
            <w:hideMark/>
          </w:tcPr>
          <w:p w14:paraId="3F285E89"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Mar>
              <w:top w:w="150" w:type="dxa"/>
              <w:left w:w="240" w:type="dxa"/>
              <w:bottom w:w="150" w:type="dxa"/>
              <w:right w:w="0" w:type="dxa"/>
            </w:tcMar>
            <w:vAlign w:val="center"/>
            <w:hideMark/>
          </w:tcPr>
          <w:p w14:paraId="0ABF740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bl>
    <w:p w14:paraId="78EE3CE4"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Mortality risk was 2.6 times higher among premature and </w:t>
      </w:r>
      <w:proofErr w:type="spellStart"/>
      <w:r w:rsidRPr="00BE4D4F">
        <w:rPr>
          <w:rFonts w:ascii="Times New Roman" w:eastAsia="Times New Roman" w:hAnsi="Times New Roman" w:cs="Times New Roman"/>
          <w:color w:val="0F1115"/>
          <w:kern w:val="0"/>
          <w14:ligatures w14:val="none"/>
        </w:rPr>
        <w:t>hypotrophic</w:t>
      </w:r>
      <w:proofErr w:type="spellEnd"/>
      <w:r w:rsidRPr="00BE4D4F">
        <w:rPr>
          <w:rFonts w:ascii="Times New Roman" w:eastAsia="Times New Roman" w:hAnsi="Times New Roman" w:cs="Times New Roman"/>
          <w:color w:val="0F1115"/>
          <w:kern w:val="0"/>
          <w14:ligatures w14:val="none"/>
        </w:rPr>
        <w:t xml:space="preserve"> newborns, a vulnerability accentuated by immune immaturity and technical failures of thermoregulation equipment at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w:t>
      </w:r>
    </w:p>
    <w:p w14:paraId="66A2FCB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8. Maternal intrapartum fever and documented neonatal infection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23"/>
        <w:gridCol w:w="1798"/>
        <w:gridCol w:w="2182"/>
        <w:gridCol w:w="1780"/>
        <w:gridCol w:w="803"/>
      </w:tblGrid>
      <w:tr w:rsidR="00BE4D4F" w:rsidRPr="004674F0" w14:paraId="12716091" w14:textId="77777777" w:rsidTr="004674F0">
        <w:trPr>
          <w:tblHeader/>
        </w:trPr>
        <w:tc>
          <w:tcPr>
            <w:tcW w:w="0" w:type="auto"/>
            <w:tcMar>
              <w:top w:w="150" w:type="dxa"/>
              <w:left w:w="0" w:type="dxa"/>
              <w:bottom w:w="150" w:type="dxa"/>
              <w:right w:w="240" w:type="dxa"/>
            </w:tcMar>
            <w:vAlign w:val="center"/>
            <w:hideMark/>
          </w:tcPr>
          <w:p w14:paraId="15C635D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Maternal fever</w:t>
            </w:r>
          </w:p>
        </w:tc>
        <w:tc>
          <w:tcPr>
            <w:tcW w:w="0" w:type="auto"/>
            <w:tcMar>
              <w:top w:w="150" w:type="dxa"/>
              <w:left w:w="240" w:type="dxa"/>
              <w:bottom w:w="150" w:type="dxa"/>
              <w:right w:w="240" w:type="dxa"/>
            </w:tcMar>
            <w:vAlign w:val="center"/>
            <w:hideMark/>
          </w:tcPr>
          <w:p w14:paraId="700BB9B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Infection (n=76)</w:t>
            </w:r>
          </w:p>
        </w:tc>
        <w:tc>
          <w:tcPr>
            <w:tcW w:w="0" w:type="auto"/>
            <w:tcMar>
              <w:top w:w="150" w:type="dxa"/>
              <w:left w:w="240" w:type="dxa"/>
              <w:bottom w:w="150" w:type="dxa"/>
              <w:right w:w="240" w:type="dxa"/>
            </w:tcMar>
            <w:vAlign w:val="center"/>
            <w:hideMark/>
          </w:tcPr>
          <w:p w14:paraId="0CE0881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infection (n=138)</w:t>
            </w:r>
          </w:p>
        </w:tc>
        <w:tc>
          <w:tcPr>
            <w:tcW w:w="0" w:type="auto"/>
            <w:tcMar>
              <w:top w:w="150" w:type="dxa"/>
              <w:left w:w="240" w:type="dxa"/>
              <w:bottom w:w="150" w:type="dxa"/>
              <w:right w:w="240" w:type="dxa"/>
            </w:tcMar>
            <w:vAlign w:val="center"/>
            <w:hideMark/>
          </w:tcPr>
          <w:p w14:paraId="1CD0748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OR (95% CI)</w:t>
            </w:r>
          </w:p>
        </w:tc>
        <w:tc>
          <w:tcPr>
            <w:tcW w:w="0" w:type="auto"/>
            <w:tcMar>
              <w:top w:w="150" w:type="dxa"/>
              <w:left w:w="240" w:type="dxa"/>
              <w:bottom w:w="150" w:type="dxa"/>
              <w:right w:w="240" w:type="dxa"/>
            </w:tcMar>
            <w:vAlign w:val="center"/>
            <w:hideMark/>
          </w:tcPr>
          <w:p w14:paraId="04141B8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354BEA55" w14:textId="77777777" w:rsidTr="004674F0">
        <w:tc>
          <w:tcPr>
            <w:tcW w:w="0" w:type="auto"/>
            <w:tcMar>
              <w:top w:w="150" w:type="dxa"/>
              <w:left w:w="0" w:type="dxa"/>
              <w:bottom w:w="150" w:type="dxa"/>
              <w:right w:w="240" w:type="dxa"/>
            </w:tcMar>
            <w:vAlign w:val="center"/>
            <w:hideMark/>
          </w:tcPr>
          <w:p w14:paraId="22924F9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Yes (n=34)</w:t>
            </w:r>
          </w:p>
        </w:tc>
        <w:tc>
          <w:tcPr>
            <w:tcW w:w="0" w:type="auto"/>
            <w:tcMar>
              <w:top w:w="150" w:type="dxa"/>
              <w:left w:w="240" w:type="dxa"/>
              <w:bottom w:w="150" w:type="dxa"/>
              <w:right w:w="240" w:type="dxa"/>
            </w:tcMar>
            <w:vAlign w:val="center"/>
            <w:hideMark/>
          </w:tcPr>
          <w:p w14:paraId="62039D6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27</w:t>
            </w:r>
          </w:p>
        </w:tc>
        <w:tc>
          <w:tcPr>
            <w:tcW w:w="0" w:type="auto"/>
            <w:tcMar>
              <w:top w:w="150" w:type="dxa"/>
              <w:left w:w="240" w:type="dxa"/>
              <w:bottom w:w="150" w:type="dxa"/>
              <w:right w:w="240" w:type="dxa"/>
            </w:tcMar>
            <w:vAlign w:val="center"/>
            <w:hideMark/>
          </w:tcPr>
          <w:p w14:paraId="3FB9906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7</w:t>
            </w:r>
          </w:p>
        </w:tc>
        <w:tc>
          <w:tcPr>
            <w:tcW w:w="0" w:type="auto"/>
            <w:tcMar>
              <w:top w:w="150" w:type="dxa"/>
              <w:left w:w="240" w:type="dxa"/>
              <w:bottom w:w="150" w:type="dxa"/>
              <w:right w:w="240" w:type="dxa"/>
            </w:tcMar>
            <w:vAlign w:val="center"/>
            <w:hideMark/>
          </w:tcPr>
          <w:p w14:paraId="4CE62E3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9.82 [4.05-23.8]</w:t>
            </w:r>
          </w:p>
        </w:tc>
        <w:tc>
          <w:tcPr>
            <w:tcW w:w="0" w:type="auto"/>
            <w:tcMar>
              <w:top w:w="150" w:type="dxa"/>
              <w:left w:w="240" w:type="dxa"/>
              <w:bottom w:w="150" w:type="dxa"/>
              <w:right w:w="0" w:type="dxa"/>
            </w:tcMar>
            <w:vAlign w:val="center"/>
            <w:hideMark/>
          </w:tcPr>
          <w:p w14:paraId="3587C98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7B1A5D03" w14:textId="77777777" w:rsidTr="004674F0">
        <w:tc>
          <w:tcPr>
            <w:tcW w:w="0" w:type="auto"/>
            <w:tcMar>
              <w:top w:w="150" w:type="dxa"/>
              <w:left w:w="0" w:type="dxa"/>
              <w:bottom w:w="150" w:type="dxa"/>
              <w:right w:w="240" w:type="dxa"/>
            </w:tcMar>
            <w:vAlign w:val="center"/>
            <w:hideMark/>
          </w:tcPr>
          <w:p w14:paraId="3C699CF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 (n=168)</w:t>
            </w:r>
          </w:p>
        </w:tc>
        <w:tc>
          <w:tcPr>
            <w:tcW w:w="0" w:type="auto"/>
            <w:tcMar>
              <w:top w:w="150" w:type="dxa"/>
              <w:left w:w="240" w:type="dxa"/>
              <w:bottom w:w="150" w:type="dxa"/>
              <w:right w:w="240" w:type="dxa"/>
            </w:tcMar>
            <w:vAlign w:val="center"/>
            <w:hideMark/>
          </w:tcPr>
          <w:p w14:paraId="3AB8752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49</w:t>
            </w:r>
          </w:p>
        </w:tc>
        <w:tc>
          <w:tcPr>
            <w:tcW w:w="0" w:type="auto"/>
            <w:tcMar>
              <w:top w:w="150" w:type="dxa"/>
              <w:left w:w="240" w:type="dxa"/>
              <w:bottom w:w="150" w:type="dxa"/>
              <w:right w:w="240" w:type="dxa"/>
            </w:tcMar>
            <w:vAlign w:val="center"/>
            <w:hideMark/>
          </w:tcPr>
          <w:p w14:paraId="5172E11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119</w:t>
            </w:r>
          </w:p>
        </w:tc>
        <w:tc>
          <w:tcPr>
            <w:tcW w:w="0" w:type="auto"/>
            <w:tcMar>
              <w:top w:w="150" w:type="dxa"/>
              <w:left w:w="240" w:type="dxa"/>
              <w:bottom w:w="150" w:type="dxa"/>
              <w:right w:w="240" w:type="dxa"/>
            </w:tcMar>
            <w:vAlign w:val="center"/>
            <w:hideMark/>
          </w:tcPr>
          <w:p w14:paraId="3F32D2C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 (Ref.)</w:t>
            </w:r>
          </w:p>
        </w:tc>
        <w:tc>
          <w:tcPr>
            <w:tcW w:w="0" w:type="auto"/>
            <w:tcMar>
              <w:top w:w="150" w:type="dxa"/>
              <w:left w:w="240" w:type="dxa"/>
              <w:bottom w:w="150" w:type="dxa"/>
              <w:right w:w="0" w:type="dxa"/>
            </w:tcMar>
            <w:vAlign w:val="center"/>
            <w:hideMark/>
          </w:tcPr>
          <w:p w14:paraId="1BCBF8F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w:t>
            </w:r>
          </w:p>
        </w:tc>
      </w:tr>
    </w:tbl>
    <w:p w14:paraId="3D6F3B05"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Maternal fever was a very powerful predictor of documented neonatal infection (OR ≈ 10). However, 7 febrile mothers did not have infected newborns, possibly explained by undocumented intrapartum antibiotic therapy or non-bacterial origin of fever.</w:t>
      </w:r>
    </w:p>
    <w:p w14:paraId="6F37FD1D"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3.4 Multivariate Analysis</w:t>
      </w:r>
    </w:p>
    <w:p w14:paraId="51F63A9E"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9. Factors independently associated with neonatal mortality</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84"/>
        <w:gridCol w:w="830"/>
        <w:gridCol w:w="2330"/>
        <w:gridCol w:w="803"/>
      </w:tblGrid>
      <w:tr w:rsidR="00BE4D4F" w:rsidRPr="004674F0" w14:paraId="6420C8DD" w14:textId="77777777" w:rsidTr="004674F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E33AD9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F9867A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β</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4CD690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Adjusted OR (95% CI)</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74318F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58D57824" w14:textId="77777777" w:rsidTr="004674F0">
        <w:tc>
          <w:tcPr>
            <w:tcW w:w="0" w:type="auto"/>
            <w:tcBorders>
              <w:top w:val="single" w:sz="4" w:space="0" w:color="auto"/>
            </w:tcBorders>
            <w:tcMar>
              <w:top w:w="150" w:type="dxa"/>
              <w:left w:w="0" w:type="dxa"/>
              <w:bottom w:w="150" w:type="dxa"/>
              <w:right w:w="240" w:type="dxa"/>
            </w:tcMar>
            <w:vAlign w:val="center"/>
            <w:hideMark/>
          </w:tcPr>
          <w:p w14:paraId="58C6B51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Non-compliance with treatment</w:t>
            </w:r>
          </w:p>
        </w:tc>
        <w:tc>
          <w:tcPr>
            <w:tcW w:w="0" w:type="auto"/>
            <w:tcBorders>
              <w:top w:val="single" w:sz="4" w:space="0" w:color="auto"/>
            </w:tcBorders>
            <w:tcMar>
              <w:top w:w="150" w:type="dxa"/>
              <w:left w:w="240" w:type="dxa"/>
              <w:bottom w:w="150" w:type="dxa"/>
              <w:right w:w="240" w:type="dxa"/>
            </w:tcMar>
            <w:vAlign w:val="center"/>
            <w:hideMark/>
          </w:tcPr>
          <w:p w14:paraId="5A1E991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1.68</w:t>
            </w:r>
          </w:p>
        </w:tc>
        <w:tc>
          <w:tcPr>
            <w:tcW w:w="0" w:type="auto"/>
            <w:tcBorders>
              <w:top w:val="single" w:sz="4" w:space="0" w:color="auto"/>
            </w:tcBorders>
            <w:tcMar>
              <w:top w:w="150" w:type="dxa"/>
              <w:left w:w="240" w:type="dxa"/>
              <w:bottom w:w="150" w:type="dxa"/>
              <w:right w:w="240" w:type="dxa"/>
            </w:tcMar>
            <w:vAlign w:val="center"/>
            <w:hideMark/>
          </w:tcPr>
          <w:p w14:paraId="62E3B76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5.36 [2.35-12.2]</w:t>
            </w:r>
          </w:p>
        </w:tc>
        <w:tc>
          <w:tcPr>
            <w:tcW w:w="0" w:type="auto"/>
            <w:tcBorders>
              <w:top w:val="single" w:sz="4" w:space="0" w:color="auto"/>
            </w:tcBorders>
            <w:tcMar>
              <w:top w:w="150" w:type="dxa"/>
              <w:left w:w="240" w:type="dxa"/>
              <w:bottom w:w="150" w:type="dxa"/>
              <w:right w:w="0" w:type="dxa"/>
            </w:tcMar>
            <w:vAlign w:val="center"/>
            <w:hideMark/>
          </w:tcPr>
          <w:p w14:paraId="54FF150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47F5296A" w14:textId="77777777" w:rsidTr="004674F0">
        <w:tc>
          <w:tcPr>
            <w:tcW w:w="0" w:type="auto"/>
            <w:tcMar>
              <w:top w:w="150" w:type="dxa"/>
              <w:left w:w="0" w:type="dxa"/>
              <w:bottom w:w="150" w:type="dxa"/>
              <w:right w:w="240" w:type="dxa"/>
            </w:tcMar>
            <w:vAlign w:val="center"/>
            <w:hideMark/>
          </w:tcPr>
          <w:p w14:paraId="106EE07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Rupture of membranes &gt;18h</w:t>
            </w:r>
          </w:p>
        </w:tc>
        <w:tc>
          <w:tcPr>
            <w:tcW w:w="0" w:type="auto"/>
            <w:tcMar>
              <w:top w:w="150" w:type="dxa"/>
              <w:left w:w="240" w:type="dxa"/>
              <w:bottom w:w="150" w:type="dxa"/>
              <w:right w:w="240" w:type="dxa"/>
            </w:tcMar>
            <w:vAlign w:val="center"/>
            <w:hideMark/>
          </w:tcPr>
          <w:p w14:paraId="08A4D69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1.45</w:t>
            </w:r>
          </w:p>
        </w:tc>
        <w:tc>
          <w:tcPr>
            <w:tcW w:w="0" w:type="auto"/>
            <w:tcMar>
              <w:top w:w="150" w:type="dxa"/>
              <w:left w:w="240" w:type="dxa"/>
              <w:bottom w:w="150" w:type="dxa"/>
              <w:right w:w="240" w:type="dxa"/>
            </w:tcMar>
            <w:vAlign w:val="center"/>
            <w:hideMark/>
          </w:tcPr>
          <w:p w14:paraId="36CA528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4.26 [1.83-9.92]</w:t>
            </w:r>
          </w:p>
        </w:tc>
        <w:tc>
          <w:tcPr>
            <w:tcW w:w="0" w:type="auto"/>
            <w:tcMar>
              <w:top w:w="150" w:type="dxa"/>
              <w:left w:w="240" w:type="dxa"/>
              <w:bottom w:w="150" w:type="dxa"/>
              <w:right w:w="0" w:type="dxa"/>
            </w:tcMar>
            <w:vAlign w:val="center"/>
            <w:hideMark/>
          </w:tcPr>
          <w:p w14:paraId="0ACBCFF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0D3C3DCD" w14:textId="77777777" w:rsidTr="004674F0">
        <w:tc>
          <w:tcPr>
            <w:tcW w:w="0" w:type="auto"/>
            <w:tcMar>
              <w:top w:w="150" w:type="dxa"/>
              <w:left w:w="0" w:type="dxa"/>
              <w:bottom w:w="150" w:type="dxa"/>
              <w:right w:w="240" w:type="dxa"/>
            </w:tcMar>
            <w:vAlign w:val="center"/>
            <w:hideMark/>
          </w:tcPr>
          <w:p w14:paraId="2342B1A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Birth weight &lt;2500 g</w:t>
            </w:r>
          </w:p>
        </w:tc>
        <w:tc>
          <w:tcPr>
            <w:tcW w:w="0" w:type="auto"/>
            <w:tcMar>
              <w:top w:w="150" w:type="dxa"/>
              <w:left w:w="240" w:type="dxa"/>
              <w:bottom w:w="150" w:type="dxa"/>
              <w:right w:w="240" w:type="dxa"/>
            </w:tcMar>
            <w:vAlign w:val="center"/>
            <w:hideMark/>
          </w:tcPr>
          <w:p w14:paraId="50A748C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1.12</w:t>
            </w:r>
          </w:p>
        </w:tc>
        <w:tc>
          <w:tcPr>
            <w:tcW w:w="0" w:type="auto"/>
            <w:tcMar>
              <w:top w:w="150" w:type="dxa"/>
              <w:left w:w="240" w:type="dxa"/>
              <w:bottom w:w="150" w:type="dxa"/>
              <w:right w:w="240" w:type="dxa"/>
            </w:tcMar>
            <w:vAlign w:val="center"/>
            <w:hideMark/>
          </w:tcPr>
          <w:p w14:paraId="3CA11CE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3.06 [1.32-7.10]</w:t>
            </w:r>
          </w:p>
        </w:tc>
        <w:tc>
          <w:tcPr>
            <w:tcW w:w="0" w:type="auto"/>
            <w:tcMar>
              <w:top w:w="150" w:type="dxa"/>
              <w:left w:w="240" w:type="dxa"/>
              <w:bottom w:w="150" w:type="dxa"/>
              <w:right w:w="0" w:type="dxa"/>
            </w:tcMar>
            <w:vAlign w:val="center"/>
            <w:hideMark/>
          </w:tcPr>
          <w:p w14:paraId="0BDF368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0.009</w:t>
            </w:r>
          </w:p>
        </w:tc>
      </w:tr>
      <w:tr w:rsidR="00BE4D4F" w:rsidRPr="004674F0" w14:paraId="413314C6" w14:textId="77777777" w:rsidTr="004674F0">
        <w:tc>
          <w:tcPr>
            <w:tcW w:w="0" w:type="auto"/>
            <w:tcMar>
              <w:top w:w="150" w:type="dxa"/>
              <w:left w:w="0" w:type="dxa"/>
              <w:bottom w:w="150" w:type="dxa"/>
              <w:right w:w="240" w:type="dxa"/>
            </w:tcMar>
            <w:vAlign w:val="center"/>
            <w:hideMark/>
          </w:tcPr>
          <w:p w14:paraId="5B1BAA0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Home delivery</w:t>
            </w:r>
          </w:p>
        </w:tc>
        <w:tc>
          <w:tcPr>
            <w:tcW w:w="0" w:type="auto"/>
            <w:tcMar>
              <w:top w:w="150" w:type="dxa"/>
              <w:left w:w="240" w:type="dxa"/>
              <w:bottom w:w="150" w:type="dxa"/>
              <w:right w:w="240" w:type="dxa"/>
            </w:tcMar>
            <w:vAlign w:val="center"/>
            <w:hideMark/>
          </w:tcPr>
          <w:p w14:paraId="4F55BB9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1.02</w:t>
            </w:r>
          </w:p>
        </w:tc>
        <w:tc>
          <w:tcPr>
            <w:tcW w:w="0" w:type="auto"/>
            <w:tcMar>
              <w:top w:w="150" w:type="dxa"/>
              <w:left w:w="240" w:type="dxa"/>
              <w:bottom w:w="150" w:type="dxa"/>
              <w:right w:w="240" w:type="dxa"/>
            </w:tcMar>
            <w:vAlign w:val="center"/>
            <w:hideMark/>
          </w:tcPr>
          <w:p w14:paraId="270B21F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2.77 [1.21-6.35]</w:t>
            </w:r>
          </w:p>
        </w:tc>
        <w:tc>
          <w:tcPr>
            <w:tcW w:w="0" w:type="auto"/>
            <w:tcMar>
              <w:top w:w="150" w:type="dxa"/>
              <w:left w:w="240" w:type="dxa"/>
              <w:bottom w:w="150" w:type="dxa"/>
              <w:right w:w="0" w:type="dxa"/>
            </w:tcMar>
            <w:vAlign w:val="center"/>
            <w:hideMark/>
          </w:tcPr>
          <w:p w14:paraId="7122055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0.016</w:t>
            </w:r>
          </w:p>
        </w:tc>
      </w:tr>
      <w:tr w:rsidR="00BE4D4F" w:rsidRPr="004674F0" w14:paraId="1EFAC8EC" w14:textId="77777777" w:rsidTr="004674F0">
        <w:tc>
          <w:tcPr>
            <w:tcW w:w="0" w:type="auto"/>
            <w:tcMar>
              <w:top w:w="150" w:type="dxa"/>
              <w:left w:w="0" w:type="dxa"/>
              <w:bottom w:w="150" w:type="dxa"/>
              <w:right w:w="240" w:type="dxa"/>
            </w:tcMar>
            <w:vAlign w:val="center"/>
            <w:hideMark/>
          </w:tcPr>
          <w:p w14:paraId="5FB0BEA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Absence of blood culture</w:t>
            </w:r>
          </w:p>
        </w:tc>
        <w:tc>
          <w:tcPr>
            <w:tcW w:w="0" w:type="auto"/>
            <w:tcMar>
              <w:top w:w="150" w:type="dxa"/>
              <w:left w:w="240" w:type="dxa"/>
              <w:bottom w:w="150" w:type="dxa"/>
              <w:right w:w="240" w:type="dxa"/>
            </w:tcMar>
            <w:vAlign w:val="center"/>
            <w:hideMark/>
          </w:tcPr>
          <w:p w14:paraId="1A8FEF6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0.87</w:t>
            </w:r>
          </w:p>
        </w:tc>
        <w:tc>
          <w:tcPr>
            <w:tcW w:w="0" w:type="auto"/>
            <w:tcMar>
              <w:top w:w="150" w:type="dxa"/>
              <w:left w:w="240" w:type="dxa"/>
              <w:bottom w:w="150" w:type="dxa"/>
              <w:right w:w="240" w:type="dxa"/>
            </w:tcMar>
            <w:vAlign w:val="center"/>
            <w:hideMark/>
          </w:tcPr>
          <w:p w14:paraId="1EDF31B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2.39 [0.98-5.82]</w:t>
            </w:r>
          </w:p>
        </w:tc>
        <w:tc>
          <w:tcPr>
            <w:tcW w:w="0" w:type="auto"/>
            <w:tcMar>
              <w:top w:w="150" w:type="dxa"/>
              <w:left w:w="240" w:type="dxa"/>
              <w:bottom w:w="150" w:type="dxa"/>
              <w:right w:w="0" w:type="dxa"/>
            </w:tcMar>
            <w:vAlign w:val="center"/>
            <w:hideMark/>
          </w:tcPr>
          <w:p w14:paraId="7383B66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0.055</w:t>
            </w:r>
          </w:p>
        </w:tc>
      </w:tr>
    </w:tbl>
    <w:p w14:paraId="15FABE4F"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*Model adjusted for: sex, age at admission, maternal fever. Nagelkerke pseudo-R² = 0.34.*</w:t>
      </w:r>
    </w:p>
    <w:p w14:paraId="4F63957F"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After adjustment, prolonged membrane rupture and non-compliance with protocol were the two most powerful risk factors for death. Absence of blood culture approached significance, highlighting the impact of diagnostic deficits on survival.</w:t>
      </w:r>
    </w:p>
    <w:p w14:paraId="3A6AF6D7"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10. Determinants of non-compliance with antibiotic protocol</w:t>
      </w:r>
    </w:p>
    <w:tbl>
      <w:tblPr>
        <w:tblW w:w="668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607"/>
        <w:gridCol w:w="2270"/>
        <w:gridCol w:w="803"/>
      </w:tblGrid>
      <w:tr w:rsidR="00BE4D4F" w:rsidRPr="004674F0" w14:paraId="7A5C0905" w14:textId="77777777" w:rsidTr="004674F0">
        <w:trPr>
          <w:tblHeader/>
        </w:trPr>
        <w:tc>
          <w:tcPr>
            <w:tcW w:w="3614" w:type="dxa"/>
            <w:tcBorders>
              <w:top w:val="single" w:sz="4" w:space="0" w:color="auto"/>
              <w:bottom w:val="single" w:sz="4" w:space="0" w:color="auto"/>
            </w:tcBorders>
            <w:tcMar>
              <w:top w:w="150" w:type="dxa"/>
              <w:left w:w="0" w:type="dxa"/>
              <w:bottom w:w="150" w:type="dxa"/>
              <w:right w:w="240" w:type="dxa"/>
            </w:tcMar>
            <w:vAlign w:val="center"/>
            <w:hideMark/>
          </w:tcPr>
          <w:p w14:paraId="348C577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Variable</w:t>
            </w:r>
          </w:p>
        </w:tc>
        <w:tc>
          <w:tcPr>
            <w:tcW w:w="2273" w:type="dxa"/>
            <w:tcBorders>
              <w:top w:val="single" w:sz="4" w:space="0" w:color="auto"/>
              <w:bottom w:val="single" w:sz="4" w:space="0" w:color="auto"/>
            </w:tcBorders>
            <w:tcMar>
              <w:top w:w="150" w:type="dxa"/>
              <w:left w:w="240" w:type="dxa"/>
              <w:bottom w:w="150" w:type="dxa"/>
              <w:right w:w="240" w:type="dxa"/>
            </w:tcMar>
            <w:vAlign w:val="center"/>
            <w:hideMark/>
          </w:tcPr>
          <w:p w14:paraId="070372E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Adjusted OR (95% CI)</w:t>
            </w:r>
          </w:p>
        </w:tc>
        <w:tc>
          <w:tcPr>
            <w:tcW w:w="793" w:type="dxa"/>
            <w:tcBorders>
              <w:top w:val="single" w:sz="4" w:space="0" w:color="auto"/>
              <w:bottom w:val="single" w:sz="4" w:space="0" w:color="auto"/>
            </w:tcBorders>
            <w:tcMar>
              <w:top w:w="150" w:type="dxa"/>
              <w:left w:w="240" w:type="dxa"/>
              <w:bottom w:w="150" w:type="dxa"/>
              <w:right w:w="240" w:type="dxa"/>
            </w:tcMar>
            <w:vAlign w:val="center"/>
            <w:hideMark/>
          </w:tcPr>
          <w:p w14:paraId="2A5AD9A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59FB2867" w14:textId="77777777" w:rsidTr="004674F0">
        <w:tc>
          <w:tcPr>
            <w:tcW w:w="3614" w:type="dxa"/>
            <w:tcBorders>
              <w:top w:val="single" w:sz="4" w:space="0" w:color="auto"/>
            </w:tcBorders>
            <w:tcMar>
              <w:top w:w="150" w:type="dxa"/>
              <w:left w:w="0" w:type="dxa"/>
              <w:bottom w:w="150" w:type="dxa"/>
              <w:right w:w="240" w:type="dxa"/>
            </w:tcMar>
            <w:vAlign w:val="center"/>
            <w:hideMark/>
          </w:tcPr>
          <w:p w14:paraId="37D2F79B"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Gentamicin stockout</w:t>
            </w:r>
          </w:p>
        </w:tc>
        <w:tc>
          <w:tcPr>
            <w:tcW w:w="2273" w:type="dxa"/>
            <w:tcBorders>
              <w:top w:val="single" w:sz="4" w:space="0" w:color="auto"/>
            </w:tcBorders>
            <w:tcMar>
              <w:top w:w="150" w:type="dxa"/>
              <w:left w:w="240" w:type="dxa"/>
              <w:bottom w:w="150" w:type="dxa"/>
              <w:right w:w="240" w:type="dxa"/>
            </w:tcMar>
            <w:vAlign w:val="center"/>
            <w:hideMark/>
          </w:tcPr>
          <w:p w14:paraId="3371D9A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7.21 [3.10-16.8]</w:t>
            </w:r>
          </w:p>
        </w:tc>
        <w:tc>
          <w:tcPr>
            <w:tcW w:w="793" w:type="dxa"/>
            <w:tcBorders>
              <w:top w:val="single" w:sz="4" w:space="0" w:color="auto"/>
            </w:tcBorders>
            <w:tcMar>
              <w:top w:w="150" w:type="dxa"/>
              <w:left w:w="240" w:type="dxa"/>
              <w:bottom w:w="150" w:type="dxa"/>
              <w:right w:w="0" w:type="dxa"/>
            </w:tcMar>
            <w:vAlign w:val="center"/>
            <w:hideMark/>
          </w:tcPr>
          <w:p w14:paraId="31B7245F"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60563894" w14:textId="77777777" w:rsidTr="004674F0">
        <w:tc>
          <w:tcPr>
            <w:tcW w:w="3614" w:type="dxa"/>
            <w:tcMar>
              <w:top w:w="150" w:type="dxa"/>
              <w:left w:w="0" w:type="dxa"/>
              <w:bottom w:w="150" w:type="dxa"/>
              <w:right w:w="240" w:type="dxa"/>
            </w:tcMar>
            <w:vAlign w:val="center"/>
            <w:hideMark/>
          </w:tcPr>
          <w:p w14:paraId="1349D3B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Prescriber level (Nurse vs. Physician)</w:t>
            </w:r>
          </w:p>
        </w:tc>
        <w:tc>
          <w:tcPr>
            <w:tcW w:w="2273" w:type="dxa"/>
            <w:tcMar>
              <w:top w:w="150" w:type="dxa"/>
              <w:left w:w="240" w:type="dxa"/>
              <w:bottom w:w="150" w:type="dxa"/>
              <w:right w:w="240" w:type="dxa"/>
            </w:tcMar>
            <w:vAlign w:val="center"/>
            <w:hideMark/>
          </w:tcPr>
          <w:p w14:paraId="124C7E62"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4.05 [1.88-8.71]</w:t>
            </w:r>
          </w:p>
        </w:tc>
        <w:tc>
          <w:tcPr>
            <w:tcW w:w="793" w:type="dxa"/>
            <w:tcMar>
              <w:top w:w="150" w:type="dxa"/>
              <w:left w:w="240" w:type="dxa"/>
              <w:bottom w:w="150" w:type="dxa"/>
              <w:right w:w="0" w:type="dxa"/>
            </w:tcMar>
            <w:vAlign w:val="center"/>
            <w:hideMark/>
          </w:tcPr>
          <w:p w14:paraId="1B993A1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16970049" w14:textId="77777777" w:rsidTr="004674F0">
        <w:tc>
          <w:tcPr>
            <w:tcW w:w="3614" w:type="dxa"/>
            <w:tcMar>
              <w:top w:w="150" w:type="dxa"/>
              <w:left w:w="0" w:type="dxa"/>
              <w:bottom w:w="150" w:type="dxa"/>
              <w:right w:w="240" w:type="dxa"/>
            </w:tcMar>
            <w:vAlign w:val="center"/>
            <w:hideMark/>
          </w:tcPr>
          <w:p w14:paraId="66C576C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Nighttime care (8pm-8am)</w:t>
            </w:r>
          </w:p>
        </w:tc>
        <w:tc>
          <w:tcPr>
            <w:tcW w:w="2273" w:type="dxa"/>
            <w:tcMar>
              <w:top w:w="150" w:type="dxa"/>
              <w:left w:w="240" w:type="dxa"/>
              <w:bottom w:w="150" w:type="dxa"/>
              <w:right w:w="240" w:type="dxa"/>
            </w:tcMar>
            <w:vAlign w:val="center"/>
            <w:hideMark/>
          </w:tcPr>
          <w:p w14:paraId="4069C705"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3.42 [1.59-7.36]</w:t>
            </w:r>
          </w:p>
        </w:tc>
        <w:tc>
          <w:tcPr>
            <w:tcW w:w="793" w:type="dxa"/>
            <w:tcMar>
              <w:top w:w="150" w:type="dxa"/>
              <w:left w:w="240" w:type="dxa"/>
              <w:bottom w:w="150" w:type="dxa"/>
              <w:right w:w="0" w:type="dxa"/>
            </w:tcMar>
            <w:vAlign w:val="center"/>
            <w:hideMark/>
          </w:tcPr>
          <w:p w14:paraId="3504DCC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0.002</w:t>
            </w:r>
          </w:p>
        </w:tc>
      </w:tr>
      <w:tr w:rsidR="00BE4D4F" w:rsidRPr="004674F0" w14:paraId="6B0D935B" w14:textId="77777777" w:rsidTr="004674F0">
        <w:tc>
          <w:tcPr>
            <w:tcW w:w="3614" w:type="dxa"/>
            <w:tcMar>
              <w:top w:w="150" w:type="dxa"/>
              <w:left w:w="0" w:type="dxa"/>
              <w:bottom w:w="150" w:type="dxa"/>
              <w:right w:w="240" w:type="dxa"/>
            </w:tcMar>
            <w:vAlign w:val="center"/>
            <w:hideMark/>
          </w:tcPr>
          <w:p w14:paraId="39F2AE4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Home delivery</w:t>
            </w:r>
          </w:p>
        </w:tc>
        <w:tc>
          <w:tcPr>
            <w:tcW w:w="2273" w:type="dxa"/>
            <w:tcMar>
              <w:top w:w="150" w:type="dxa"/>
              <w:left w:w="240" w:type="dxa"/>
              <w:bottom w:w="150" w:type="dxa"/>
              <w:right w:w="240" w:type="dxa"/>
            </w:tcMar>
            <w:vAlign w:val="center"/>
            <w:hideMark/>
          </w:tcPr>
          <w:p w14:paraId="2E140D9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2.85 [1.27-6.39]</w:t>
            </w:r>
          </w:p>
        </w:tc>
        <w:tc>
          <w:tcPr>
            <w:tcW w:w="793" w:type="dxa"/>
            <w:tcMar>
              <w:top w:w="150" w:type="dxa"/>
              <w:left w:w="240" w:type="dxa"/>
              <w:bottom w:w="150" w:type="dxa"/>
              <w:right w:w="0" w:type="dxa"/>
            </w:tcMar>
            <w:vAlign w:val="center"/>
            <w:hideMark/>
          </w:tcPr>
          <w:p w14:paraId="525A3E1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0.011</w:t>
            </w:r>
          </w:p>
        </w:tc>
      </w:tr>
    </w:tbl>
    <w:p w14:paraId="02DB0C70"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Non-compliance was essentially linked to logistical factors (stocks, night shifts) and organizational factors (prescriber qualification), arguing for securing the supply chain at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w:t>
      </w:r>
    </w:p>
    <w:p w14:paraId="2878DA43"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b/>
          <w:bCs/>
          <w:color w:val="0F1115"/>
          <w:kern w:val="0"/>
          <w14:ligatures w14:val="none"/>
        </w:rPr>
        <w:t>Table 11. Predictive factors for favorable outcome (recovery without sequelae)</w:t>
      </w:r>
    </w:p>
    <w:tbl>
      <w:tblPr>
        <w:tblW w:w="695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881"/>
        <w:gridCol w:w="2270"/>
        <w:gridCol w:w="803"/>
      </w:tblGrid>
      <w:tr w:rsidR="00BE4D4F" w:rsidRPr="004674F0" w14:paraId="4C3E39D4" w14:textId="77777777" w:rsidTr="004674F0">
        <w:trPr>
          <w:tblHeader/>
        </w:trPr>
        <w:tc>
          <w:tcPr>
            <w:tcW w:w="3888" w:type="dxa"/>
            <w:tcBorders>
              <w:top w:val="single" w:sz="4" w:space="0" w:color="auto"/>
              <w:bottom w:val="single" w:sz="4" w:space="0" w:color="auto"/>
            </w:tcBorders>
            <w:tcMar>
              <w:top w:w="150" w:type="dxa"/>
              <w:left w:w="0" w:type="dxa"/>
              <w:bottom w:w="150" w:type="dxa"/>
              <w:right w:w="240" w:type="dxa"/>
            </w:tcMar>
            <w:vAlign w:val="center"/>
            <w:hideMark/>
          </w:tcPr>
          <w:p w14:paraId="3F5A1150"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Variable</w:t>
            </w:r>
          </w:p>
        </w:tc>
        <w:tc>
          <w:tcPr>
            <w:tcW w:w="2273" w:type="dxa"/>
            <w:tcBorders>
              <w:top w:val="single" w:sz="4" w:space="0" w:color="auto"/>
              <w:bottom w:val="single" w:sz="4" w:space="0" w:color="auto"/>
            </w:tcBorders>
            <w:tcMar>
              <w:top w:w="150" w:type="dxa"/>
              <w:left w:w="240" w:type="dxa"/>
              <w:bottom w:w="150" w:type="dxa"/>
              <w:right w:w="240" w:type="dxa"/>
            </w:tcMar>
            <w:vAlign w:val="center"/>
            <w:hideMark/>
          </w:tcPr>
          <w:p w14:paraId="7D56F3CA"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Adjusted OR (95% CI)</w:t>
            </w:r>
          </w:p>
        </w:tc>
        <w:tc>
          <w:tcPr>
            <w:tcW w:w="793" w:type="dxa"/>
            <w:tcBorders>
              <w:top w:val="single" w:sz="4" w:space="0" w:color="auto"/>
              <w:bottom w:val="single" w:sz="4" w:space="0" w:color="auto"/>
            </w:tcBorders>
            <w:tcMar>
              <w:top w:w="150" w:type="dxa"/>
              <w:left w:w="240" w:type="dxa"/>
              <w:bottom w:w="150" w:type="dxa"/>
              <w:right w:w="240" w:type="dxa"/>
            </w:tcMar>
            <w:vAlign w:val="center"/>
            <w:hideMark/>
          </w:tcPr>
          <w:p w14:paraId="0BD38266"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p</w:t>
            </w:r>
          </w:p>
        </w:tc>
      </w:tr>
      <w:tr w:rsidR="00BE4D4F" w:rsidRPr="004674F0" w14:paraId="5FB48FF7" w14:textId="77777777" w:rsidTr="004674F0">
        <w:tc>
          <w:tcPr>
            <w:tcW w:w="3888" w:type="dxa"/>
            <w:tcBorders>
              <w:top w:val="single" w:sz="4" w:space="0" w:color="auto"/>
            </w:tcBorders>
            <w:tcMar>
              <w:top w:w="150" w:type="dxa"/>
              <w:left w:w="0" w:type="dxa"/>
              <w:bottom w:w="150" w:type="dxa"/>
              <w:right w:w="240" w:type="dxa"/>
            </w:tcMar>
            <w:vAlign w:val="center"/>
            <w:hideMark/>
          </w:tcPr>
          <w:p w14:paraId="0A3D4B6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Treatment compliant with protocol</w:t>
            </w:r>
          </w:p>
        </w:tc>
        <w:tc>
          <w:tcPr>
            <w:tcW w:w="2273" w:type="dxa"/>
            <w:tcBorders>
              <w:top w:val="single" w:sz="4" w:space="0" w:color="auto"/>
            </w:tcBorders>
            <w:tcMar>
              <w:top w:w="150" w:type="dxa"/>
              <w:left w:w="240" w:type="dxa"/>
              <w:bottom w:w="150" w:type="dxa"/>
              <w:right w:w="240" w:type="dxa"/>
            </w:tcMar>
            <w:vAlign w:val="center"/>
            <w:hideMark/>
          </w:tcPr>
          <w:p w14:paraId="6C81F8D8"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5.18 [2.44-11.0]</w:t>
            </w:r>
          </w:p>
        </w:tc>
        <w:tc>
          <w:tcPr>
            <w:tcW w:w="793" w:type="dxa"/>
            <w:tcBorders>
              <w:top w:val="single" w:sz="4" w:space="0" w:color="auto"/>
            </w:tcBorders>
            <w:tcMar>
              <w:top w:w="150" w:type="dxa"/>
              <w:left w:w="240" w:type="dxa"/>
              <w:bottom w:w="150" w:type="dxa"/>
              <w:right w:w="0" w:type="dxa"/>
            </w:tcMar>
            <w:vAlign w:val="center"/>
            <w:hideMark/>
          </w:tcPr>
          <w:p w14:paraId="5134552D"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&lt;0.001</w:t>
            </w:r>
          </w:p>
        </w:tc>
      </w:tr>
      <w:tr w:rsidR="00BE4D4F" w:rsidRPr="004674F0" w14:paraId="7C6D4F0E" w14:textId="77777777" w:rsidTr="004674F0">
        <w:tc>
          <w:tcPr>
            <w:tcW w:w="3888" w:type="dxa"/>
            <w:tcMar>
              <w:top w:w="150" w:type="dxa"/>
              <w:left w:w="0" w:type="dxa"/>
              <w:bottom w:w="150" w:type="dxa"/>
              <w:right w:w="240" w:type="dxa"/>
            </w:tcMar>
            <w:vAlign w:val="center"/>
            <w:hideMark/>
          </w:tcPr>
          <w:p w14:paraId="2D03D0CC"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Absence of initial neurological disorders</w:t>
            </w:r>
          </w:p>
        </w:tc>
        <w:tc>
          <w:tcPr>
            <w:tcW w:w="2273" w:type="dxa"/>
            <w:tcMar>
              <w:top w:w="150" w:type="dxa"/>
              <w:left w:w="240" w:type="dxa"/>
              <w:bottom w:w="150" w:type="dxa"/>
              <w:right w:w="240" w:type="dxa"/>
            </w:tcMar>
            <w:vAlign w:val="center"/>
            <w:hideMark/>
          </w:tcPr>
          <w:p w14:paraId="066DE25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3.66 [1.52-8.80]</w:t>
            </w:r>
          </w:p>
        </w:tc>
        <w:tc>
          <w:tcPr>
            <w:tcW w:w="793" w:type="dxa"/>
            <w:tcMar>
              <w:top w:w="150" w:type="dxa"/>
              <w:left w:w="240" w:type="dxa"/>
              <w:bottom w:w="150" w:type="dxa"/>
              <w:right w:w="0" w:type="dxa"/>
            </w:tcMar>
            <w:vAlign w:val="center"/>
            <w:hideMark/>
          </w:tcPr>
          <w:p w14:paraId="4090572E"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0.004</w:t>
            </w:r>
          </w:p>
        </w:tc>
      </w:tr>
      <w:tr w:rsidR="00BE4D4F" w:rsidRPr="004674F0" w14:paraId="44CC5E27" w14:textId="77777777" w:rsidTr="004674F0">
        <w:tc>
          <w:tcPr>
            <w:tcW w:w="3888" w:type="dxa"/>
            <w:tcMar>
              <w:top w:w="150" w:type="dxa"/>
              <w:left w:w="0" w:type="dxa"/>
              <w:bottom w:w="150" w:type="dxa"/>
              <w:right w:w="240" w:type="dxa"/>
            </w:tcMar>
            <w:vAlign w:val="center"/>
            <w:hideMark/>
          </w:tcPr>
          <w:p w14:paraId="087EDA0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CRP testing at admission</w:t>
            </w:r>
          </w:p>
        </w:tc>
        <w:tc>
          <w:tcPr>
            <w:tcW w:w="2273" w:type="dxa"/>
            <w:tcMar>
              <w:top w:w="150" w:type="dxa"/>
              <w:left w:w="240" w:type="dxa"/>
              <w:bottom w:w="150" w:type="dxa"/>
              <w:right w:w="240" w:type="dxa"/>
            </w:tcMar>
            <w:vAlign w:val="center"/>
            <w:hideMark/>
          </w:tcPr>
          <w:p w14:paraId="057E0CE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2.37 [1.15-4.88]</w:t>
            </w:r>
          </w:p>
        </w:tc>
        <w:tc>
          <w:tcPr>
            <w:tcW w:w="793" w:type="dxa"/>
            <w:tcMar>
              <w:top w:w="150" w:type="dxa"/>
              <w:left w:w="240" w:type="dxa"/>
              <w:bottom w:w="150" w:type="dxa"/>
              <w:right w:w="0" w:type="dxa"/>
            </w:tcMar>
            <w:vAlign w:val="center"/>
            <w:hideMark/>
          </w:tcPr>
          <w:p w14:paraId="4FC146F7"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0.019</w:t>
            </w:r>
          </w:p>
        </w:tc>
      </w:tr>
      <w:tr w:rsidR="00BE4D4F" w:rsidRPr="004674F0" w14:paraId="54994246" w14:textId="77777777" w:rsidTr="004674F0">
        <w:tc>
          <w:tcPr>
            <w:tcW w:w="3888" w:type="dxa"/>
            <w:tcMar>
              <w:top w:w="150" w:type="dxa"/>
              <w:left w:w="0" w:type="dxa"/>
              <w:bottom w:w="150" w:type="dxa"/>
              <w:right w:w="240" w:type="dxa"/>
            </w:tcMar>
            <w:vAlign w:val="center"/>
            <w:hideMark/>
          </w:tcPr>
          <w:p w14:paraId="6F44D1A3"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Birth weight ≥2500 g</w:t>
            </w:r>
          </w:p>
        </w:tc>
        <w:tc>
          <w:tcPr>
            <w:tcW w:w="2273" w:type="dxa"/>
            <w:tcMar>
              <w:top w:w="150" w:type="dxa"/>
              <w:left w:w="240" w:type="dxa"/>
              <w:bottom w:w="150" w:type="dxa"/>
              <w:right w:w="240" w:type="dxa"/>
            </w:tcMar>
            <w:vAlign w:val="center"/>
            <w:hideMark/>
          </w:tcPr>
          <w:p w14:paraId="3E2B4164"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2.01 [0.98-4.12]</w:t>
            </w:r>
          </w:p>
        </w:tc>
        <w:tc>
          <w:tcPr>
            <w:tcW w:w="793" w:type="dxa"/>
            <w:tcMar>
              <w:top w:w="150" w:type="dxa"/>
              <w:left w:w="240" w:type="dxa"/>
              <w:bottom w:w="150" w:type="dxa"/>
              <w:right w:w="0" w:type="dxa"/>
            </w:tcMar>
            <w:vAlign w:val="center"/>
            <w:hideMark/>
          </w:tcPr>
          <w:p w14:paraId="1C7877D1" w14:textId="77777777" w:rsidR="00BE4D4F" w:rsidRPr="004674F0" w:rsidRDefault="00BE4D4F" w:rsidP="004674F0">
            <w:pPr>
              <w:spacing w:after="0" w:line="240" w:lineRule="auto"/>
              <w:rPr>
                <w:rFonts w:ascii="Times New Roman" w:eastAsia="Times New Roman" w:hAnsi="Times New Roman" w:cs="Times New Roman"/>
                <w:kern w:val="0"/>
                <w:sz w:val="20"/>
                <w:szCs w:val="20"/>
                <w14:ligatures w14:val="none"/>
              </w:rPr>
            </w:pPr>
            <w:r w:rsidRPr="004674F0">
              <w:rPr>
                <w:rFonts w:ascii="Times New Roman" w:eastAsia="Times New Roman" w:hAnsi="Times New Roman" w:cs="Times New Roman"/>
                <w:kern w:val="0"/>
                <w:sz w:val="20"/>
                <w:szCs w:val="20"/>
                <w14:ligatures w14:val="none"/>
              </w:rPr>
              <w:t>0.056</w:t>
            </w:r>
          </w:p>
        </w:tc>
      </w:tr>
    </w:tbl>
    <w:p w14:paraId="16905DDC"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Favorable outcome was strongly correlated with therapeutic rigor and access to biological diagnosis (CRP). Conversely, early neurological signs worsened functional prognosis.</w:t>
      </w:r>
    </w:p>
    <w:p w14:paraId="72D4CAAE"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lastRenderedPageBreak/>
        <w:t>4. DISCUSSION</w:t>
      </w:r>
    </w:p>
    <w:p w14:paraId="68705C03"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4.1 Obstetric Context and Delivery Environment</w:t>
      </w:r>
    </w:p>
    <w:p w14:paraId="3986C106"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Analysis of the obstetric context indicated that 45.8% of deliveries took place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maternity unit (n=98). However, a critical proportion occurred at home (28.5%, n=61) and in other peripheral health centers (22.0%, n=47). This forced decentralization of delivery outside referral structures is documented by Cissé et al. (2021) in Senegal and Diallo et al. (2023) in Guinea </w:t>
      </w:r>
      <w:proofErr w:type="gramStart"/>
      <w:r w:rsidRPr="00BE4D4F">
        <w:rPr>
          <w:rFonts w:ascii="Times New Roman" w:eastAsia="Times New Roman" w:hAnsi="Times New Roman" w:cs="Times New Roman"/>
          <w:color w:val="0F1115"/>
          <w:kern w:val="0"/>
          <w14:ligatures w14:val="none"/>
        </w:rPr>
        <w:t>as a consequence of</w:t>
      </w:r>
      <w:proofErr w:type="gramEnd"/>
      <w:r w:rsidRPr="00BE4D4F">
        <w:rPr>
          <w:rFonts w:ascii="Times New Roman" w:eastAsia="Times New Roman" w:hAnsi="Times New Roman" w:cs="Times New Roman"/>
          <w:color w:val="0F1115"/>
          <w:kern w:val="0"/>
          <w14:ligatures w14:val="none"/>
        </w:rPr>
        <w:t xml:space="preserve"> geographical distance, lack of viable communication routes, and financial cost of care. Furthermore, our study highlighted prolonged membrane rupture exceeding 18 hours in 22.4% of </w:t>
      </w:r>
      <w:proofErr w:type="spellStart"/>
      <w:r w:rsidRPr="00BE4D4F">
        <w:rPr>
          <w:rFonts w:ascii="Times New Roman" w:eastAsia="Times New Roman" w:hAnsi="Times New Roman" w:cs="Times New Roman"/>
          <w:color w:val="0F1115"/>
          <w:kern w:val="0"/>
          <w14:ligatures w14:val="none"/>
        </w:rPr>
        <w:t>parturients</w:t>
      </w:r>
      <w:proofErr w:type="spellEnd"/>
      <w:r w:rsidRPr="00BE4D4F">
        <w:rPr>
          <w:rFonts w:ascii="Times New Roman" w:eastAsia="Times New Roman" w:hAnsi="Times New Roman" w:cs="Times New Roman"/>
          <w:color w:val="0F1115"/>
          <w:kern w:val="0"/>
          <w14:ligatures w14:val="none"/>
        </w:rPr>
        <w:t xml:space="preserve"> (n=48). In the literature, Kayange et al. (2022) in Tanzania and Lawn et al. (2021) remind that loss of amniotic barrier integrity beyond 18 hours opens the way to ascending bacterial colonization of amniotic fluid.</w:t>
      </w:r>
    </w:p>
    <w:p w14:paraId="01A7C62B"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4.2 Clinical Profile and Paraclinical Insufficiencies</w:t>
      </w:r>
    </w:p>
    <w:p w14:paraId="1C6A21EF"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Clinically, respiratory distress dominated admission reasons with 45.8% of cases (n=98), followed by refusal to suck or digestive intolerance at 33.2% (n=71). At least one clinical sign was present in 88.3% of newborns (n=189). This predominance of respiratory signs is in perfect agreement with data from </w:t>
      </w:r>
      <w:proofErr w:type="spellStart"/>
      <w:r w:rsidRPr="00BE4D4F">
        <w:rPr>
          <w:rFonts w:ascii="Times New Roman" w:eastAsia="Times New Roman" w:hAnsi="Times New Roman" w:cs="Times New Roman"/>
          <w:color w:val="0F1115"/>
          <w:kern w:val="0"/>
          <w14:ligatures w14:val="none"/>
        </w:rPr>
        <w:t>Zoumanigui</w:t>
      </w:r>
      <w:proofErr w:type="spellEnd"/>
      <w:r w:rsidRPr="00BE4D4F">
        <w:rPr>
          <w:rFonts w:ascii="Times New Roman" w:eastAsia="Times New Roman" w:hAnsi="Times New Roman" w:cs="Times New Roman"/>
          <w:color w:val="0F1115"/>
          <w:kern w:val="0"/>
          <w14:ligatures w14:val="none"/>
        </w:rPr>
        <w:t xml:space="preserve"> et al. (2022) and the WHO (2023), which define respiratory distress as the most frequent systemic expression of neonatal infection. However, the paraclinical work-up suffered from profound deficiencies: while complete blood count was performed in 93.9% of patients (n=201), C-reactive protein (CRP) was accessible to only 36.4% (n=78), and blood culture remained marginal with only 15.0% completion (n=32). Mwamba et al. (2021) in Lubumbashi and Sombie et al. (2024) in Burkina Faso describe </w:t>
      </w:r>
      <w:proofErr w:type="gramStart"/>
      <w:r w:rsidRPr="00BE4D4F">
        <w:rPr>
          <w:rFonts w:ascii="Times New Roman" w:eastAsia="Times New Roman" w:hAnsi="Times New Roman" w:cs="Times New Roman"/>
          <w:color w:val="0F1115"/>
          <w:kern w:val="0"/>
          <w14:ligatures w14:val="none"/>
        </w:rPr>
        <w:t>exactly the same</w:t>
      </w:r>
      <w:proofErr w:type="gramEnd"/>
      <w:r w:rsidRPr="00BE4D4F">
        <w:rPr>
          <w:rFonts w:ascii="Times New Roman" w:eastAsia="Times New Roman" w:hAnsi="Times New Roman" w:cs="Times New Roman"/>
          <w:color w:val="0F1115"/>
          <w:kern w:val="0"/>
          <w14:ligatures w14:val="none"/>
        </w:rPr>
        <w:t xml:space="preserve"> deleterious trajectory.</w:t>
      </w:r>
    </w:p>
    <w:p w14:paraId="2EA49E26"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4.3 Therapeutic Management and Determinants of Non-Compliance</w:t>
      </w:r>
    </w:p>
    <w:p w14:paraId="7C53F25A"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Evaluation of therapeutic practices showed that overall compliance with first-line protocols (Ampicillin + Gentamicin or Ampicillin + Cefotaxime combinations) was 71.9% (n=154). </w:t>
      </w:r>
      <w:r w:rsidRPr="00BE4D4F">
        <w:rPr>
          <w:rFonts w:ascii="Times New Roman" w:eastAsia="Times New Roman" w:hAnsi="Times New Roman" w:cs="Times New Roman"/>
          <w:color w:val="0F1115"/>
          <w:kern w:val="0"/>
          <w14:ligatures w14:val="none"/>
        </w:rPr>
        <w:lastRenderedPageBreak/>
        <w:t>However, 22.9% of newborns received non-compliant monotherapy (Gentamicin, Ampicillin, or Cefotaxime alone). Multivariate analysis revealed that this non-compliance was strongly dictated by gentamicin stockouts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7.21; p &lt; 0.001), prescriber qualification level (Nurse vs. Physician: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4.05; p &lt; 0.001), and the context of night shifts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3.42; p = 0.002). </w:t>
      </w:r>
      <w:proofErr w:type="gramStart"/>
      <w:r w:rsidRPr="00BE4D4F">
        <w:rPr>
          <w:rFonts w:ascii="Times New Roman" w:eastAsia="Times New Roman" w:hAnsi="Times New Roman" w:cs="Times New Roman"/>
          <w:color w:val="0F1115"/>
          <w:kern w:val="0"/>
          <w14:ligatures w14:val="none"/>
        </w:rPr>
        <w:t>These protocol</w:t>
      </w:r>
      <w:proofErr w:type="gramEnd"/>
      <w:r w:rsidRPr="00BE4D4F">
        <w:rPr>
          <w:rFonts w:ascii="Times New Roman" w:eastAsia="Times New Roman" w:hAnsi="Times New Roman" w:cs="Times New Roman"/>
          <w:color w:val="0F1115"/>
          <w:kern w:val="0"/>
          <w14:ligatures w14:val="none"/>
        </w:rPr>
        <w:t xml:space="preserve"> breaches related to the care environment are extensively supported by Kaboré et al. (2022) in Burkina Faso and </w:t>
      </w:r>
      <w:proofErr w:type="spellStart"/>
      <w:r w:rsidRPr="00BE4D4F">
        <w:rPr>
          <w:rFonts w:ascii="Times New Roman" w:eastAsia="Times New Roman" w:hAnsi="Times New Roman" w:cs="Times New Roman"/>
          <w:color w:val="0F1115"/>
          <w:kern w:val="0"/>
          <w14:ligatures w14:val="none"/>
        </w:rPr>
        <w:t>Ayede</w:t>
      </w:r>
      <w:proofErr w:type="spellEnd"/>
      <w:r w:rsidRPr="00BE4D4F">
        <w:rPr>
          <w:rFonts w:ascii="Times New Roman" w:eastAsia="Times New Roman" w:hAnsi="Times New Roman" w:cs="Times New Roman"/>
          <w:color w:val="0F1115"/>
          <w:kern w:val="0"/>
          <w14:ligatures w14:val="none"/>
        </w:rPr>
        <w:t xml:space="preserve"> et al. (2023) in Nigeria. Non-compliance multiplied the risk of newborn death by more than 5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5.36 [2.35-12.2]; p &lt; 0.001).</w:t>
      </w:r>
    </w:p>
    <w:p w14:paraId="3B856763" w14:textId="77777777" w:rsidR="00BE4D4F" w:rsidRPr="00BE4D4F" w:rsidRDefault="00BE4D4F" w:rsidP="00BE4D4F">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E4D4F">
        <w:rPr>
          <w:rFonts w:ascii="Times New Roman" w:eastAsia="Times New Roman" w:hAnsi="Times New Roman" w:cs="Times New Roman"/>
          <w:b/>
          <w:bCs/>
          <w:color w:val="0F1115"/>
          <w:kern w:val="0"/>
          <w:sz w:val="30"/>
          <w:szCs w:val="30"/>
          <w14:ligatures w14:val="none"/>
        </w:rPr>
        <w:t>4.4 Clinical Outcome and Predictive Factors of Mortality</w:t>
      </w:r>
    </w:p>
    <w:p w14:paraId="07DC066D"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The final hospitalization outcome was marked by a recovery rate without sequelae of 68.2% (n=146). Nevertheless, case fatality remained concerning at 14.5% (n=31), while 7.9% of children survived with neurological or auditory sequelae (n=17). Comparable data are reported by Ouedraogo et al. (2021) and </w:t>
      </w:r>
      <w:proofErr w:type="spellStart"/>
      <w:r w:rsidRPr="00BE4D4F">
        <w:rPr>
          <w:rFonts w:ascii="Times New Roman" w:eastAsia="Times New Roman" w:hAnsi="Times New Roman" w:cs="Times New Roman"/>
          <w:color w:val="0F1115"/>
          <w:kern w:val="0"/>
          <w14:ligatures w14:val="none"/>
        </w:rPr>
        <w:t>Tchoua</w:t>
      </w:r>
      <w:proofErr w:type="spellEnd"/>
      <w:r w:rsidRPr="00BE4D4F">
        <w:rPr>
          <w:rFonts w:ascii="Times New Roman" w:eastAsia="Times New Roman" w:hAnsi="Times New Roman" w:cs="Times New Roman"/>
          <w:color w:val="0F1115"/>
          <w:kern w:val="0"/>
          <w14:ligatures w14:val="none"/>
        </w:rPr>
        <w:t xml:space="preserve"> et al. (2024), with mortality rates ranging between 12% and 18% in sub-Saharan referral structures with limited resources. Final logistic regression identified four pillars independently associated with death: treatment non-compliance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5.36), rupture of membranes &gt;18h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4.26), weight &lt;2500 g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3.06), and home delivery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2.77). Conversely, CRP testing at admission emerged as a powerful predictor of favorable outcome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2.37; p = 0.019).</w:t>
      </w:r>
    </w:p>
    <w:p w14:paraId="5C512C5B"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5. CONCLUSION</w:t>
      </w:r>
    </w:p>
    <w:p w14:paraId="311F7A7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This quantitative investigation, conducted from August to October 2025 at the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in </w:t>
      </w:r>
      <w:proofErr w:type="spellStart"/>
      <w:r w:rsidRPr="00BE4D4F">
        <w:rPr>
          <w:rFonts w:ascii="Times New Roman" w:eastAsia="Times New Roman" w:hAnsi="Times New Roman" w:cs="Times New Roman"/>
          <w:color w:val="0F1115"/>
          <w:kern w:val="0"/>
          <w14:ligatures w14:val="none"/>
        </w:rPr>
        <w:t>Mbandaka</w:t>
      </w:r>
      <w:proofErr w:type="spellEnd"/>
      <w:r w:rsidRPr="00BE4D4F">
        <w:rPr>
          <w:rFonts w:ascii="Times New Roman" w:eastAsia="Times New Roman" w:hAnsi="Times New Roman" w:cs="Times New Roman"/>
          <w:color w:val="0F1115"/>
          <w:kern w:val="0"/>
          <w14:ligatures w14:val="none"/>
        </w:rPr>
        <w:t xml:space="preserve">, empirically confirms that mortality related to neonatal bacterial infections, reaching a critical rate of 14.5%, largely depends on systemic and managerial determinism. Logistic regression analysis validates the main hypothesis: although the intrinsic vulnerability of low-birth-weight infants (&lt;2500 g;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3.06) constitutes a real risk, healthcare system failures exponentially multiply case fatality.</w:t>
      </w:r>
    </w:p>
    <w:p w14:paraId="1FAA3E83"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Therapeutic non-compliance with national first-line protocols, observed in 22.9% of patients in the form of ineffective monotherapies, emerges as the main predictive factor for death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w:t>
      </w:r>
      <w:r w:rsidRPr="00BE4D4F">
        <w:rPr>
          <w:rFonts w:ascii="Times New Roman" w:eastAsia="Times New Roman" w:hAnsi="Times New Roman" w:cs="Times New Roman"/>
          <w:color w:val="0F1115"/>
          <w:kern w:val="0"/>
          <w14:ligatures w14:val="none"/>
        </w:rPr>
        <w:lastRenderedPageBreak/>
        <w:t>5.36). This clinical gap is directly produced by logistical and organizational constraints: gentamicin stockouts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7.21), unsupervised nursing prescriptions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4.05), and the operational precariousness of night shifts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3.42). At the community level, home delivery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2.77) and prolonged membrane rupture exceeding 18 hours (</w:t>
      </w:r>
      <w:proofErr w:type="spellStart"/>
      <w:r w:rsidRPr="00BE4D4F">
        <w:rPr>
          <w:rFonts w:ascii="Times New Roman" w:eastAsia="Times New Roman" w:hAnsi="Times New Roman" w:cs="Times New Roman"/>
          <w:color w:val="0F1115"/>
          <w:kern w:val="0"/>
          <w14:ligatures w14:val="none"/>
        </w:rPr>
        <w:t>aOR</w:t>
      </w:r>
      <w:proofErr w:type="spellEnd"/>
      <w:r w:rsidRPr="00BE4D4F">
        <w:rPr>
          <w:rFonts w:ascii="Times New Roman" w:eastAsia="Times New Roman" w:hAnsi="Times New Roman" w:cs="Times New Roman"/>
          <w:color w:val="0F1115"/>
          <w:kern w:val="0"/>
          <w14:ligatures w14:val="none"/>
        </w:rPr>
        <w:t xml:space="preserve"> = 4.26) considerably worsen the vital prognosis due to late recourse to hospital care.</w:t>
      </w:r>
    </w:p>
    <w:p w14:paraId="612CF729"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To sustainably reverse this curve of preventable mortality, concrete managerial measures must be deployed at all levels of the health system. For provincial authorities and partners, securing the supply of first-line pediatric inputs and subsidizing access to CRP diagnosis are imperative. The management of </w:t>
      </w:r>
      <w:proofErr w:type="spellStart"/>
      <w:r w:rsidRPr="00BE4D4F">
        <w:rPr>
          <w:rFonts w:ascii="Times New Roman" w:eastAsia="Times New Roman" w:hAnsi="Times New Roman" w:cs="Times New Roman"/>
          <w:color w:val="0F1115"/>
          <w:kern w:val="0"/>
          <w14:ligatures w14:val="none"/>
        </w:rPr>
        <w:t>Wangata</w:t>
      </w:r>
      <w:proofErr w:type="spellEnd"/>
      <w:r w:rsidRPr="00BE4D4F">
        <w:rPr>
          <w:rFonts w:ascii="Times New Roman" w:eastAsia="Times New Roman" w:hAnsi="Times New Roman" w:cs="Times New Roman"/>
          <w:color w:val="0F1115"/>
          <w:kern w:val="0"/>
          <w14:ligatures w14:val="none"/>
        </w:rPr>
        <w:t xml:space="preserve"> General Reference Hospital must restructure nighttime care permanence by strengthening direct medical supervision, modernize its microbiology laboratory to increase the current blood culture rate (15.0%), and establish a prescription audit committee. For training structures and nursing management, the integration of competency-based approaches in continuing education is essential to standardize care quality. Finally, the health zone level must revitalize prenatal follow-up and sensitize communities to curb home deliveries.</w:t>
      </w:r>
    </w:p>
    <w:p w14:paraId="1512DC5A" w14:textId="77777777" w:rsidR="00BE4D4F" w:rsidRPr="00BE4D4F" w:rsidRDefault="00BE4D4F" w:rsidP="00BE4D4F">
      <w:pPr>
        <w:shd w:val="clear" w:color="auto" w:fill="FFFFFF"/>
        <w:spacing w:before="240" w:after="240" w:line="420" w:lineRule="atLeast"/>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Future microbiological investigations on a large scale are crucial to assess local antibiotic resistance to usual empirical treatments. Qualitative phenomenological studies would allow deciphering of socio-cultural and economic barriers to late recourse to care. Finally, quasi-experimental research projects are necessary to measure the real impact of implementing competency-based approaches and audit committees on the effective reduction of neonatal case fatality.</w:t>
      </w:r>
    </w:p>
    <w:p w14:paraId="76FF46F7" w14:textId="77777777" w:rsidR="00BE4D4F" w:rsidRPr="00BE4D4F" w:rsidRDefault="00BE4D4F" w:rsidP="00BE4D4F">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E4D4F">
        <w:rPr>
          <w:rFonts w:ascii="Times New Roman" w:eastAsia="Times New Roman" w:hAnsi="Times New Roman" w:cs="Times New Roman"/>
          <w:b/>
          <w:bCs/>
          <w:color w:val="0F1115"/>
          <w:kern w:val="0"/>
          <w:sz w:val="33"/>
          <w:szCs w:val="33"/>
          <w14:ligatures w14:val="none"/>
        </w:rPr>
        <w:t>REFERENCES</w:t>
      </w:r>
    </w:p>
    <w:p w14:paraId="3A5279F3"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Achan, J., </w:t>
      </w:r>
      <w:proofErr w:type="spellStart"/>
      <w:r w:rsidRPr="00BE4D4F">
        <w:rPr>
          <w:rFonts w:ascii="Times New Roman" w:eastAsia="Times New Roman" w:hAnsi="Times New Roman" w:cs="Times New Roman"/>
          <w:color w:val="0F1115"/>
          <w:kern w:val="0"/>
          <w14:ligatures w14:val="none"/>
        </w:rPr>
        <w:t>Serwadda</w:t>
      </w:r>
      <w:proofErr w:type="spellEnd"/>
      <w:r w:rsidRPr="00BE4D4F">
        <w:rPr>
          <w:rFonts w:ascii="Times New Roman" w:eastAsia="Times New Roman" w:hAnsi="Times New Roman" w:cs="Times New Roman"/>
          <w:color w:val="0F1115"/>
          <w:kern w:val="0"/>
          <w14:ligatures w14:val="none"/>
        </w:rPr>
        <w:t xml:space="preserve">, D., &amp; </w:t>
      </w:r>
      <w:proofErr w:type="spellStart"/>
      <w:r w:rsidRPr="00BE4D4F">
        <w:rPr>
          <w:rFonts w:ascii="Times New Roman" w:eastAsia="Times New Roman" w:hAnsi="Times New Roman" w:cs="Times New Roman"/>
          <w:color w:val="0F1115"/>
          <w:kern w:val="0"/>
          <w14:ligatures w14:val="none"/>
        </w:rPr>
        <w:t>Kiguli</w:t>
      </w:r>
      <w:proofErr w:type="spellEnd"/>
      <w:r w:rsidRPr="00BE4D4F">
        <w:rPr>
          <w:rFonts w:ascii="Times New Roman" w:eastAsia="Times New Roman" w:hAnsi="Times New Roman" w:cs="Times New Roman"/>
          <w:color w:val="0F1115"/>
          <w:kern w:val="0"/>
          <w14:ligatures w14:val="none"/>
        </w:rPr>
        <w:t>, S. (2022). Neonatal sepsis in low-resource settings: Challenges in diagnosis and management. </w:t>
      </w:r>
      <w:r w:rsidRPr="00BE4D4F">
        <w:rPr>
          <w:rFonts w:ascii="Times New Roman" w:eastAsia="Times New Roman" w:hAnsi="Times New Roman" w:cs="Times New Roman"/>
          <w:i/>
          <w:iCs/>
          <w:color w:val="0F1115"/>
          <w:kern w:val="0"/>
          <w14:ligatures w14:val="none"/>
        </w:rPr>
        <w:t>African Health Sciences</w:t>
      </w:r>
      <w:r w:rsidRPr="00BE4D4F">
        <w:rPr>
          <w:rFonts w:ascii="Times New Roman" w:eastAsia="Times New Roman" w:hAnsi="Times New Roman" w:cs="Times New Roman"/>
          <w:color w:val="0F1115"/>
          <w:kern w:val="0"/>
          <w14:ligatures w14:val="none"/>
        </w:rPr>
        <w:t>, 22(3), 412-421.</w:t>
      </w:r>
    </w:p>
    <w:p w14:paraId="091D41A9"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Cissé, A. C., Ndiaye, O., &amp; Diouf, F. N. (2021). </w:t>
      </w:r>
      <w:proofErr w:type="spellStart"/>
      <w:r w:rsidRPr="00BE4D4F">
        <w:rPr>
          <w:rFonts w:ascii="Times New Roman" w:eastAsia="Times New Roman" w:hAnsi="Times New Roman" w:cs="Times New Roman"/>
          <w:color w:val="0F1115"/>
          <w:kern w:val="0"/>
          <w14:ligatures w14:val="none"/>
        </w:rPr>
        <w:t>Déterminants</w:t>
      </w:r>
      <w:proofErr w:type="spellEnd"/>
      <w:r w:rsidRPr="00BE4D4F">
        <w:rPr>
          <w:rFonts w:ascii="Times New Roman" w:eastAsia="Times New Roman" w:hAnsi="Times New Roman" w:cs="Times New Roman"/>
          <w:color w:val="0F1115"/>
          <w:kern w:val="0"/>
          <w14:ligatures w14:val="none"/>
        </w:rPr>
        <w:t xml:space="preserve"> des accouchements à domicile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milieu rural </w:t>
      </w:r>
      <w:proofErr w:type="spellStart"/>
      <w:r w:rsidRPr="00BE4D4F">
        <w:rPr>
          <w:rFonts w:ascii="Times New Roman" w:eastAsia="Times New Roman" w:hAnsi="Times New Roman" w:cs="Times New Roman"/>
          <w:color w:val="0F1115"/>
          <w:kern w:val="0"/>
          <w14:ligatures w14:val="none"/>
        </w:rPr>
        <w:t>sénégalais</w:t>
      </w:r>
      <w:proofErr w:type="spellEnd"/>
      <w:r w:rsidRPr="00BE4D4F">
        <w:rPr>
          <w:rFonts w:ascii="Times New Roman" w:eastAsia="Times New Roman" w:hAnsi="Times New Roman" w:cs="Times New Roman"/>
          <w:color w:val="0F1115"/>
          <w:kern w:val="0"/>
          <w14:ligatures w14:val="none"/>
        </w:rPr>
        <w:t xml:space="preserve"> et impact sur la santé </w:t>
      </w:r>
      <w:proofErr w:type="spellStart"/>
      <w:r w:rsidRPr="00BE4D4F">
        <w:rPr>
          <w:rFonts w:ascii="Times New Roman" w:eastAsia="Times New Roman" w:hAnsi="Times New Roman" w:cs="Times New Roman"/>
          <w:color w:val="0F1115"/>
          <w:kern w:val="0"/>
          <w14:ligatures w14:val="none"/>
        </w:rPr>
        <w:t>néonatale</w:t>
      </w:r>
      <w:proofErr w:type="spellEnd"/>
      <w:r w:rsidRPr="00BE4D4F">
        <w:rPr>
          <w:rFonts w:ascii="Times New Roman" w:eastAsia="Times New Roman" w:hAnsi="Times New Roman" w:cs="Times New Roman"/>
          <w:color w:val="0F1115"/>
          <w:kern w:val="0"/>
          <w14:ligatures w14:val="none"/>
        </w:rPr>
        <w:t>. </w:t>
      </w:r>
      <w:r w:rsidRPr="00BE4D4F">
        <w:rPr>
          <w:rFonts w:ascii="Times New Roman" w:eastAsia="Times New Roman" w:hAnsi="Times New Roman" w:cs="Times New Roman"/>
          <w:i/>
          <w:iCs/>
          <w:color w:val="0F1115"/>
          <w:kern w:val="0"/>
          <w14:ligatures w14:val="none"/>
        </w:rPr>
        <w:t xml:space="preserve">Santé </w:t>
      </w:r>
      <w:proofErr w:type="spellStart"/>
      <w:r w:rsidRPr="00BE4D4F">
        <w:rPr>
          <w:rFonts w:ascii="Times New Roman" w:eastAsia="Times New Roman" w:hAnsi="Times New Roman" w:cs="Times New Roman"/>
          <w:i/>
          <w:iCs/>
          <w:color w:val="0F1115"/>
          <w:kern w:val="0"/>
          <w14:ligatures w14:val="none"/>
        </w:rPr>
        <w:t>Publique</w:t>
      </w:r>
      <w:proofErr w:type="spellEnd"/>
      <w:r w:rsidRPr="00BE4D4F">
        <w:rPr>
          <w:rFonts w:ascii="Times New Roman" w:eastAsia="Times New Roman" w:hAnsi="Times New Roman" w:cs="Times New Roman"/>
          <w:color w:val="0F1115"/>
          <w:kern w:val="0"/>
          <w14:ligatures w14:val="none"/>
        </w:rPr>
        <w:t>, 33(1), 89-98.</w:t>
      </w:r>
    </w:p>
    <w:p w14:paraId="426CB6D4"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Fortin, F., &amp; Gagnon, J. (2022). </w:t>
      </w:r>
      <w:proofErr w:type="spellStart"/>
      <w:r w:rsidRPr="00BE4D4F">
        <w:rPr>
          <w:rFonts w:ascii="Times New Roman" w:eastAsia="Times New Roman" w:hAnsi="Times New Roman" w:cs="Times New Roman"/>
          <w:i/>
          <w:iCs/>
          <w:color w:val="0F1115"/>
          <w:kern w:val="0"/>
          <w14:ligatures w14:val="none"/>
        </w:rPr>
        <w:t>Fondements</w:t>
      </w:r>
      <w:proofErr w:type="spellEnd"/>
      <w:r w:rsidRPr="00BE4D4F">
        <w:rPr>
          <w:rFonts w:ascii="Times New Roman" w:eastAsia="Times New Roman" w:hAnsi="Times New Roman" w:cs="Times New Roman"/>
          <w:i/>
          <w:iCs/>
          <w:color w:val="0F1115"/>
          <w:kern w:val="0"/>
          <w14:ligatures w14:val="none"/>
        </w:rPr>
        <w:t xml:space="preserve"> et étapes du processus de recherche</w:t>
      </w:r>
      <w:r w:rsidRPr="00BE4D4F">
        <w:rPr>
          <w:rFonts w:ascii="Times New Roman" w:eastAsia="Times New Roman" w:hAnsi="Times New Roman" w:cs="Times New Roman"/>
          <w:color w:val="0F1115"/>
          <w:kern w:val="0"/>
          <w14:ligatures w14:val="none"/>
        </w:rPr>
        <w:t xml:space="preserve"> (5th ed.). </w:t>
      </w:r>
      <w:proofErr w:type="spellStart"/>
      <w:r w:rsidRPr="00BE4D4F">
        <w:rPr>
          <w:rFonts w:ascii="Times New Roman" w:eastAsia="Times New Roman" w:hAnsi="Times New Roman" w:cs="Times New Roman"/>
          <w:color w:val="0F1115"/>
          <w:kern w:val="0"/>
          <w14:ligatures w14:val="none"/>
        </w:rPr>
        <w:t>Chenelière</w:t>
      </w:r>
      <w:proofErr w:type="spellEnd"/>
      <w:r w:rsidRPr="00BE4D4F">
        <w:rPr>
          <w:rFonts w:ascii="Times New Roman" w:eastAsia="Times New Roman" w:hAnsi="Times New Roman" w:cs="Times New Roman"/>
          <w:color w:val="0F1115"/>
          <w:kern w:val="0"/>
          <w14:ligatures w14:val="none"/>
        </w:rPr>
        <w:t xml:space="preserve"> Éducation.</w:t>
      </w:r>
    </w:p>
    <w:p w14:paraId="5FAEB2F6"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lastRenderedPageBreak/>
        <w:t>Grove, S. K., &amp; Gray, J. R. (2022). </w:t>
      </w:r>
      <w:r w:rsidRPr="00BE4D4F">
        <w:rPr>
          <w:rFonts w:ascii="Times New Roman" w:eastAsia="Times New Roman" w:hAnsi="Times New Roman" w:cs="Times New Roman"/>
          <w:i/>
          <w:iCs/>
          <w:color w:val="0F1115"/>
          <w:kern w:val="0"/>
          <w14:ligatures w14:val="none"/>
        </w:rPr>
        <w:t>Understanding nursing research: Building an evidence-based practice</w:t>
      </w:r>
      <w:r w:rsidRPr="00BE4D4F">
        <w:rPr>
          <w:rFonts w:ascii="Times New Roman" w:eastAsia="Times New Roman" w:hAnsi="Times New Roman" w:cs="Times New Roman"/>
          <w:color w:val="0F1115"/>
          <w:kern w:val="0"/>
          <w14:ligatures w14:val="none"/>
        </w:rPr>
        <w:t> (8th ed.). Elsevier.</w:t>
      </w:r>
    </w:p>
    <w:p w14:paraId="4C14804D"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Kaboré, W., Sanon, H., &amp; Traoré, Y. (2022). </w:t>
      </w:r>
      <w:proofErr w:type="spellStart"/>
      <w:r w:rsidRPr="00BE4D4F">
        <w:rPr>
          <w:rFonts w:ascii="Times New Roman" w:eastAsia="Times New Roman" w:hAnsi="Times New Roman" w:cs="Times New Roman"/>
          <w:color w:val="0F1115"/>
          <w:kern w:val="0"/>
          <w14:ligatures w14:val="none"/>
        </w:rPr>
        <w:t>Conformité</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thérapeutique</w:t>
      </w:r>
      <w:proofErr w:type="spellEnd"/>
      <w:r w:rsidRPr="00BE4D4F">
        <w:rPr>
          <w:rFonts w:ascii="Times New Roman" w:eastAsia="Times New Roman" w:hAnsi="Times New Roman" w:cs="Times New Roman"/>
          <w:color w:val="0F1115"/>
          <w:kern w:val="0"/>
          <w14:ligatures w14:val="none"/>
        </w:rPr>
        <w:t xml:space="preserve"> face aux infections </w:t>
      </w:r>
      <w:proofErr w:type="spellStart"/>
      <w:r w:rsidRPr="00BE4D4F">
        <w:rPr>
          <w:rFonts w:ascii="Times New Roman" w:eastAsia="Times New Roman" w:hAnsi="Times New Roman" w:cs="Times New Roman"/>
          <w:color w:val="0F1115"/>
          <w:kern w:val="0"/>
          <w14:ligatures w14:val="none"/>
        </w:rPr>
        <w:t>néonatales</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bactériennes</w:t>
      </w:r>
      <w:proofErr w:type="spellEnd"/>
      <w:r w:rsidRPr="00BE4D4F">
        <w:rPr>
          <w:rFonts w:ascii="Times New Roman" w:eastAsia="Times New Roman" w:hAnsi="Times New Roman" w:cs="Times New Roman"/>
          <w:color w:val="0F1115"/>
          <w:kern w:val="0"/>
          <w14:ligatures w14:val="none"/>
        </w:rPr>
        <w:t xml:space="preserve"> : Audit des pratiques au Burkina Faso. </w:t>
      </w:r>
      <w:r w:rsidRPr="00BE4D4F">
        <w:rPr>
          <w:rFonts w:ascii="Times New Roman" w:eastAsia="Times New Roman" w:hAnsi="Times New Roman" w:cs="Times New Roman"/>
          <w:i/>
          <w:iCs/>
          <w:color w:val="0F1115"/>
          <w:kern w:val="0"/>
          <w14:ligatures w14:val="none"/>
        </w:rPr>
        <w:t>Sciences de la Santé</w:t>
      </w:r>
      <w:r w:rsidRPr="00BE4D4F">
        <w:rPr>
          <w:rFonts w:ascii="Times New Roman" w:eastAsia="Times New Roman" w:hAnsi="Times New Roman" w:cs="Times New Roman"/>
          <w:color w:val="0F1115"/>
          <w:kern w:val="0"/>
          <w14:ligatures w14:val="none"/>
        </w:rPr>
        <w:t>, 45(1), 112-123.</w:t>
      </w:r>
    </w:p>
    <w:p w14:paraId="498AEA41"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Kayange, M., Kamugisha, E., &amp; </w:t>
      </w:r>
      <w:proofErr w:type="spellStart"/>
      <w:r w:rsidRPr="00BE4D4F">
        <w:rPr>
          <w:rFonts w:ascii="Times New Roman" w:eastAsia="Times New Roman" w:hAnsi="Times New Roman" w:cs="Times New Roman"/>
          <w:color w:val="0F1115"/>
          <w:kern w:val="0"/>
          <w14:ligatures w14:val="none"/>
        </w:rPr>
        <w:t>Mwizamuhanyazi</w:t>
      </w:r>
      <w:proofErr w:type="spellEnd"/>
      <w:r w:rsidRPr="00BE4D4F">
        <w:rPr>
          <w:rFonts w:ascii="Times New Roman" w:eastAsia="Times New Roman" w:hAnsi="Times New Roman" w:cs="Times New Roman"/>
          <w:color w:val="0F1115"/>
          <w:kern w:val="0"/>
          <w14:ligatures w14:val="none"/>
        </w:rPr>
        <w:t>, E. (2022). Predictors of positive blood culture and death among neonates with suspected sepsis in a tertiary hospital, Tanzania. </w:t>
      </w:r>
      <w:r w:rsidRPr="00BE4D4F">
        <w:rPr>
          <w:rFonts w:ascii="Times New Roman" w:eastAsia="Times New Roman" w:hAnsi="Times New Roman" w:cs="Times New Roman"/>
          <w:i/>
          <w:iCs/>
          <w:color w:val="0F1115"/>
          <w:kern w:val="0"/>
          <w14:ligatures w14:val="none"/>
        </w:rPr>
        <w:t>BMC Pediatrics</w:t>
      </w:r>
      <w:r w:rsidRPr="00BE4D4F">
        <w:rPr>
          <w:rFonts w:ascii="Times New Roman" w:eastAsia="Times New Roman" w:hAnsi="Times New Roman" w:cs="Times New Roman"/>
          <w:color w:val="0F1115"/>
          <w:kern w:val="0"/>
          <w14:ligatures w14:val="none"/>
        </w:rPr>
        <w:t>, 22(1), 180-191.</w:t>
      </w:r>
    </w:p>
    <w:p w14:paraId="7149A91C"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Landis, J. R., &amp; Koch, G. G. (1977). The measurement of observer agreement for categorical data. </w:t>
      </w:r>
      <w:r w:rsidRPr="00BE4D4F">
        <w:rPr>
          <w:rFonts w:ascii="Times New Roman" w:eastAsia="Times New Roman" w:hAnsi="Times New Roman" w:cs="Times New Roman"/>
          <w:i/>
          <w:iCs/>
          <w:color w:val="0F1115"/>
          <w:kern w:val="0"/>
          <w14:ligatures w14:val="none"/>
        </w:rPr>
        <w:t>Biometrics</w:t>
      </w:r>
      <w:r w:rsidRPr="00BE4D4F">
        <w:rPr>
          <w:rFonts w:ascii="Times New Roman" w:eastAsia="Times New Roman" w:hAnsi="Times New Roman" w:cs="Times New Roman"/>
          <w:color w:val="0F1115"/>
          <w:kern w:val="0"/>
          <w14:ligatures w14:val="none"/>
        </w:rPr>
        <w:t>, 33(1), 159-174.</w:t>
      </w:r>
    </w:p>
    <w:p w14:paraId="31E98DC9"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Lawn, J. E., Blencowe, H., Oza, S., You, D., Lee, A. C., Waiswa, P., Lalli, M., Bhutta, Z., Barros, A. J., &amp; Christian, P. (2021). Every Newborn: Progress, priorities, and potential beyond survival. </w:t>
      </w:r>
      <w:r w:rsidRPr="00BE4D4F">
        <w:rPr>
          <w:rFonts w:ascii="Times New Roman" w:eastAsia="Times New Roman" w:hAnsi="Times New Roman" w:cs="Times New Roman"/>
          <w:i/>
          <w:iCs/>
          <w:color w:val="0F1115"/>
          <w:kern w:val="0"/>
          <w14:ligatures w14:val="none"/>
        </w:rPr>
        <w:t>The Lancet</w:t>
      </w:r>
      <w:r w:rsidRPr="00BE4D4F">
        <w:rPr>
          <w:rFonts w:ascii="Times New Roman" w:eastAsia="Times New Roman" w:hAnsi="Times New Roman" w:cs="Times New Roman"/>
          <w:color w:val="0F1115"/>
          <w:kern w:val="0"/>
          <w14:ligatures w14:val="none"/>
        </w:rPr>
        <w:t>, 384(9938), 189-205.</w:t>
      </w:r>
    </w:p>
    <w:p w14:paraId="67F1202C"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Lwanga, S. K., &amp; </w:t>
      </w:r>
      <w:proofErr w:type="spellStart"/>
      <w:r w:rsidRPr="00BE4D4F">
        <w:rPr>
          <w:rFonts w:ascii="Times New Roman" w:eastAsia="Times New Roman" w:hAnsi="Times New Roman" w:cs="Times New Roman"/>
          <w:color w:val="0F1115"/>
          <w:kern w:val="0"/>
          <w14:ligatures w14:val="none"/>
        </w:rPr>
        <w:t>Lemeshow</w:t>
      </w:r>
      <w:proofErr w:type="spellEnd"/>
      <w:r w:rsidRPr="00BE4D4F">
        <w:rPr>
          <w:rFonts w:ascii="Times New Roman" w:eastAsia="Times New Roman" w:hAnsi="Times New Roman" w:cs="Times New Roman"/>
          <w:color w:val="0F1115"/>
          <w:kern w:val="0"/>
          <w14:ligatures w14:val="none"/>
        </w:rPr>
        <w:t>, S. (1991). </w:t>
      </w:r>
      <w:r w:rsidRPr="00BE4D4F">
        <w:rPr>
          <w:rFonts w:ascii="Times New Roman" w:eastAsia="Times New Roman" w:hAnsi="Times New Roman" w:cs="Times New Roman"/>
          <w:i/>
          <w:iCs/>
          <w:color w:val="0F1115"/>
          <w:kern w:val="0"/>
          <w14:ligatures w14:val="none"/>
        </w:rPr>
        <w:t>Sample size determination in health studies: A practical manual</w:t>
      </w:r>
      <w:r w:rsidRPr="00BE4D4F">
        <w:rPr>
          <w:rFonts w:ascii="Times New Roman" w:eastAsia="Times New Roman" w:hAnsi="Times New Roman" w:cs="Times New Roman"/>
          <w:color w:val="0F1115"/>
          <w:kern w:val="0"/>
          <w14:ligatures w14:val="none"/>
        </w:rPr>
        <w:t>. World Health Organization.</w:t>
      </w:r>
    </w:p>
    <w:p w14:paraId="286C351E"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Mbonze, L. J., </w:t>
      </w:r>
      <w:proofErr w:type="spellStart"/>
      <w:r w:rsidRPr="00BE4D4F">
        <w:rPr>
          <w:rFonts w:ascii="Times New Roman" w:eastAsia="Times New Roman" w:hAnsi="Times New Roman" w:cs="Times New Roman"/>
          <w:color w:val="0F1115"/>
          <w:kern w:val="0"/>
          <w14:ligatures w14:val="none"/>
        </w:rPr>
        <w:t>Kawende</w:t>
      </w:r>
      <w:proofErr w:type="spellEnd"/>
      <w:r w:rsidRPr="00BE4D4F">
        <w:rPr>
          <w:rFonts w:ascii="Times New Roman" w:eastAsia="Times New Roman" w:hAnsi="Times New Roman" w:cs="Times New Roman"/>
          <w:color w:val="0F1115"/>
          <w:kern w:val="0"/>
          <w14:ligatures w14:val="none"/>
        </w:rPr>
        <w:t xml:space="preserve">, B., &amp; </w:t>
      </w:r>
      <w:proofErr w:type="spellStart"/>
      <w:r w:rsidRPr="00BE4D4F">
        <w:rPr>
          <w:rFonts w:ascii="Times New Roman" w:eastAsia="Times New Roman" w:hAnsi="Times New Roman" w:cs="Times New Roman"/>
          <w:color w:val="0F1115"/>
          <w:kern w:val="0"/>
          <w14:ligatures w14:val="none"/>
        </w:rPr>
        <w:t>Mukuku</w:t>
      </w:r>
      <w:proofErr w:type="spellEnd"/>
      <w:r w:rsidRPr="00BE4D4F">
        <w:rPr>
          <w:rFonts w:ascii="Times New Roman" w:eastAsia="Times New Roman" w:hAnsi="Times New Roman" w:cs="Times New Roman"/>
          <w:color w:val="0F1115"/>
          <w:kern w:val="0"/>
          <w14:ligatures w14:val="none"/>
        </w:rPr>
        <w:t xml:space="preserve">, O. (2021). </w:t>
      </w:r>
      <w:proofErr w:type="spellStart"/>
      <w:r w:rsidRPr="00BE4D4F">
        <w:rPr>
          <w:rFonts w:ascii="Times New Roman" w:eastAsia="Times New Roman" w:hAnsi="Times New Roman" w:cs="Times New Roman"/>
          <w:color w:val="0F1115"/>
          <w:kern w:val="0"/>
          <w14:ligatures w14:val="none"/>
        </w:rPr>
        <w:t>Défis</w:t>
      </w:r>
      <w:proofErr w:type="spellEnd"/>
      <w:r w:rsidRPr="00BE4D4F">
        <w:rPr>
          <w:rFonts w:ascii="Times New Roman" w:eastAsia="Times New Roman" w:hAnsi="Times New Roman" w:cs="Times New Roman"/>
          <w:color w:val="0F1115"/>
          <w:kern w:val="0"/>
          <w14:ligatures w14:val="none"/>
        </w:rPr>
        <w:t xml:space="preserve"> de la couverture sanitaire </w:t>
      </w:r>
      <w:proofErr w:type="spellStart"/>
      <w:r w:rsidRPr="00BE4D4F">
        <w:rPr>
          <w:rFonts w:ascii="Times New Roman" w:eastAsia="Times New Roman" w:hAnsi="Times New Roman" w:cs="Times New Roman"/>
          <w:color w:val="0F1115"/>
          <w:kern w:val="0"/>
          <w14:ligatures w14:val="none"/>
        </w:rPr>
        <w:t>universelle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milieu </w:t>
      </w:r>
      <w:proofErr w:type="spellStart"/>
      <w:r w:rsidRPr="00BE4D4F">
        <w:rPr>
          <w:rFonts w:ascii="Times New Roman" w:eastAsia="Times New Roman" w:hAnsi="Times New Roman" w:cs="Times New Roman"/>
          <w:color w:val="0F1115"/>
          <w:kern w:val="0"/>
          <w14:ligatures w14:val="none"/>
        </w:rPr>
        <w:t>forestier</w:t>
      </w:r>
      <w:proofErr w:type="spellEnd"/>
      <w:r w:rsidRPr="00BE4D4F">
        <w:rPr>
          <w:rFonts w:ascii="Times New Roman" w:eastAsia="Times New Roman" w:hAnsi="Times New Roman" w:cs="Times New Roman"/>
          <w:color w:val="0F1115"/>
          <w:kern w:val="0"/>
          <w14:ligatures w14:val="none"/>
        </w:rPr>
        <w:t xml:space="preserve"> : Cas de la Province de </w:t>
      </w:r>
      <w:proofErr w:type="spellStart"/>
      <w:r w:rsidRPr="00BE4D4F">
        <w:rPr>
          <w:rFonts w:ascii="Times New Roman" w:eastAsia="Times New Roman" w:hAnsi="Times New Roman" w:cs="Times New Roman"/>
          <w:color w:val="0F1115"/>
          <w:kern w:val="0"/>
          <w14:ligatures w14:val="none"/>
        </w:rPr>
        <w:t>l'Équateur</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RDC. </w:t>
      </w:r>
      <w:r w:rsidRPr="00BE4D4F">
        <w:rPr>
          <w:rFonts w:ascii="Times New Roman" w:eastAsia="Times New Roman" w:hAnsi="Times New Roman" w:cs="Times New Roman"/>
          <w:i/>
          <w:iCs/>
          <w:color w:val="0F1115"/>
          <w:kern w:val="0"/>
          <w14:ligatures w14:val="none"/>
        </w:rPr>
        <w:t xml:space="preserve">Revue de Santé </w:t>
      </w:r>
      <w:proofErr w:type="spellStart"/>
      <w:r w:rsidRPr="00BE4D4F">
        <w:rPr>
          <w:rFonts w:ascii="Times New Roman" w:eastAsia="Times New Roman" w:hAnsi="Times New Roman" w:cs="Times New Roman"/>
          <w:i/>
          <w:iCs/>
          <w:color w:val="0F1115"/>
          <w:kern w:val="0"/>
          <w14:ligatures w14:val="none"/>
        </w:rPr>
        <w:t>Publique</w:t>
      </w:r>
      <w:proofErr w:type="spellEnd"/>
      <w:r w:rsidRPr="00BE4D4F">
        <w:rPr>
          <w:rFonts w:ascii="Times New Roman" w:eastAsia="Times New Roman" w:hAnsi="Times New Roman" w:cs="Times New Roman"/>
          <w:i/>
          <w:iCs/>
          <w:color w:val="0F1115"/>
          <w:kern w:val="0"/>
          <w14:ligatures w14:val="none"/>
        </w:rPr>
        <w:t xml:space="preserve"> de </w:t>
      </w:r>
      <w:proofErr w:type="spellStart"/>
      <w:r w:rsidRPr="00BE4D4F">
        <w:rPr>
          <w:rFonts w:ascii="Times New Roman" w:eastAsia="Times New Roman" w:hAnsi="Times New Roman" w:cs="Times New Roman"/>
          <w:i/>
          <w:iCs/>
          <w:color w:val="0F1115"/>
          <w:kern w:val="0"/>
          <w14:ligatures w14:val="none"/>
        </w:rPr>
        <w:t>l'Afrique</w:t>
      </w:r>
      <w:proofErr w:type="spellEnd"/>
      <w:r w:rsidRPr="00BE4D4F">
        <w:rPr>
          <w:rFonts w:ascii="Times New Roman" w:eastAsia="Times New Roman" w:hAnsi="Times New Roman" w:cs="Times New Roman"/>
          <w:i/>
          <w:iCs/>
          <w:color w:val="0F1115"/>
          <w:kern w:val="0"/>
          <w14:ligatures w14:val="none"/>
        </w:rPr>
        <w:t xml:space="preserve"> Centrale</w:t>
      </w:r>
      <w:r w:rsidRPr="00BE4D4F">
        <w:rPr>
          <w:rFonts w:ascii="Times New Roman" w:eastAsia="Times New Roman" w:hAnsi="Times New Roman" w:cs="Times New Roman"/>
          <w:color w:val="0F1115"/>
          <w:kern w:val="0"/>
          <w14:ligatures w14:val="none"/>
        </w:rPr>
        <w:t>, 8(1), 22-35.</w:t>
      </w:r>
    </w:p>
    <w:p w14:paraId="5A3E8069"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Mumba, J. M., </w:t>
      </w:r>
      <w:proofErr w:type="spellStart"/>
      <w:r w:rsidRPr="00BE4D4F">
        <w:rPr>
          <w:rFonts w:ascii="Times New Roman" w:eastAsia="Times New Roman" w:hAnsi="Times New Roman" w:cs="Times New Roman"/>
          <w:color w:val="0F1115"/>
          <w:kern w:val="0"/>
          <w14:ligatures w14:val="none"/>
        </w:rPr>
        <w:t>Mukuku</w:t>
      </w:r>
      <w:proofErr w:type="spellEnd"/>
      <w:r w:rsidRPr="00BE4D4F">
        <w:rPr>
          <w:rFonts w:ascii="Times New Roman" w:eastAsia="Times New Roman" w:hAnsi="Times New Roman" w:cs="Times New Roman"/>
          <w:color w:val="0F1115"/>
          <w:kern w:val="0"/>
          <w14:ligatures w14:val="none"/>
        </w:rPr>
        <w:t xml:space="preserve">, O., &amp; Luboya, N. O. (2022). </w:t>
      </w:r>
      <w:proofErr w:type="spellStart"/>
      <w:r w:rsidRPr="00BE4D4F">
        <w:rPr>
          <w:rFonts w:ascii="Times New Roman" w:eastAsia="Times New Roman" w:hAnsi="Times New Roman" w:cs="Times New Roman"/>
          <w:color w:val="0F1115"/>
          <w:kern w:val="0"/>
          <w14:ligatures w14:val="none"/>
        </w:rPr>
        <w:t>Prise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charge de la </w:t>
      </w:r>
      <w:proofErr w:type="spellStart"/>
      <w:r w:rsidRPr="00BE4D4F">
        <w:rPr>
          <w:rFonts w:ascii="Times New Roman" w:eastAsia="Times New Roman" w:hAnsi="Times New Roman" w:cs="Times New Roman"/>
          <w:color w:val="0F1115"/>
          <w:kern w:val="0"/>
          <w14:ligatures w14:val="none"/>
        </w:rPr>
        <w:t>septicémie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néonatale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République Démocratique du Congo : Entre </w:t>
      </w:r>
      <w:proofErr w:type="spellStart"/>
      <w:r w:rsidRPr="00BE4D4F">
        <w:rPr>
          <w:rFonts w:ascii="Times New Roman" w:eastAsia="Times New Roman" w:hAnsi="Times New Roman" w:cs="Times New Roman"/>
          <w:color w:val="0F1115"/>
          <w:kern w:val="0"/>
          <w14:ligatures w14:val="none"/>
        </w:rPr>
        <w:t>protocoles</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théoriques</w:t>
      </w:r>
      <w:proofErr w:type="spellEnd"/>
      <w:r w:rsidRPr="00BE4D4F">
        <w:rPr>
          <w:rFonts w:ascii="Times New Roman" w:eastAsia="Times New Roman" w:hAnsi="Times New Roman" w:cs="Times New Roman"/>
          <w:color w:val="0F1115"/>
          <w:kern w:val="0"/>
          <w14:ligatures w14:val="none"/>
        </w:rPr>
        <w:t xml:space="preserve"> et </w:t>
      </w:r>
      <w:proofErr w:type="spellStart"/>
      <w:r w:rsidRPr="00BE4D4F">
        <w:rPr>
          <w:rFonts w:ascii="Times New Roman" w:eastAsia="Times New Roman" w:hAnsi="Times New Roman" w:cs="Times New Roman"/>
          <w:color w:val="0F1115"/>
          <w:kern w:val="0"/>
          <w14:ligatures w14:val="none"/>
        </w:rPr>
        <w:t>réalités</w:t>
      </w:r>
      <w:proofErr w:type="spellEnd"/>
      <w:r w:rsidRPr="00BE4D4F">
        <w:rPr>
          <w:rFonts w:ascii="Times New Roman" w:eastAsia="Times New Roman" w:hAnsi="Times New Roman" w:cs="Times New Roman"/>
          <w:color w:val="0F1115"/>
          <w:kern w:val="0"/>
          <w14:ligatures w14:val="none"/>
        </w:rPr>
        <w:t xml:space="preserve"> de terrain. </w:t>
      </w:r>
      <w:r w:rsidRPr="00BE4D4F">
        <w:rPr>
          <w:rFonts w:ascii="Times New Roman" w:eastAsia="Times New Roman" w:hAnsi="Times New Roman" w:cs="Times New Roman"/>
          <w:i/>
          <w:iCs/>
          <w:color w:val="0F1115"/>
          <w:kern w:val="0"/>
          <w14:ligatures w14:val="none"/>
        </w:rPr>
        <w:t xml:space="preserve">Revue de </w:t>
      </w:r>
      <w:proofErr w:type="spellStart"/>
      <w:r w:rsidRPr="00BE4D4F">
        <w:rPr>
          <w:rFonts w:ascii="Times New Roman" w:eastAsia="Times New Roman" w:hAnsi="Times New Roman" w:cs="Times New Roman"/>
          <w:i/>
          <w:iCs/>
          <w:color w:val="0F1115"/>
          <w:kern w:val="0"/>
          <w14:ligatures w14:val="none"/>
        </w:rPr>
        <w:t>l'Infirmier</w:t>
      </w:r>
      <w:proofErr w:type="spellEnd"/>
      <w:r w:rsidRPr="00BE4D4F">
        <w:rPr>
          <w:rFonts w:ascii="Times New Roman" w:eastAsia="Times New Roman" w:hAnsi="Times New Roman" w:cs="Times New Roman"/>
          <w:i/>
          <w:iCs/>
          <w:color w:val="0F1115"/>
          <w:kern w:val="0"/>
          <w14:ligatures w14:val="none"/>
        </w:rPr>
        <w:t xml:space="preserve"> Congolais</w:t>
      </w:r>
      <w:r w:rsidRPr="00BE4D4F">
        <w:rPr>
          <w:rFonts w:ascii="Times New Roman" w:eastAsia="Times New Roman" w:hAnsi="Times New Roman" w:cs="Times New Roman"/>
          <w:color w:val="0F1115"/>
          <w:kern w:val="0"/>
          <w14:ligatures w14:val="none"/>
        </w:rPr>
        <w:t>, 6(1), 24-31.</w:t>
      </w:r>
    </w:p>
    <w:p w14:paraId="2AD1250C"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Mwamba, M. J., Luboya, N. O., &amp; Asani, L. (2021). </w:t>
      </w:r>
      <w:proofErr w:type="spellStart"/>
      <w:r w:rsidRPr="00BE4D4F">
        <w:rPr>
          <w:rFonts w:ascii="Times New Roman" w:eastAsia="Times New Roman" w:hAnsi="Times New Roman" w:cs="Times New Roman"/>
          <w:color w:val="0F1115"/>
          <w:kern w:val="0"/>
          <w14:ligatures w14:val="none"/>
        </w:rPr>
        <w:t>Difficultés</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diagnostiques</w:t>
      </w:r>
      <w:proofErr w:type="spellEnd"/>
      <w:r w:rsidRPr="00BE4D4F">
        <w:rPr>
          <w:rFonts w:ascii="Times New Roman" w:eastAsia="Times New Roman" w:hAnsi="Times New Roman" w:cs="Times New Roman"/>
          <w:color w:val="0F1115"/>
          <w:kern w:val="0"/>
          <w14:ligatures w14:val="none"/>
        </w:rPr>
        <w:t xml:space="preserve"> de </w:t>
      </w:r>
      <w:proofErr w:type="spellStart"/>
      <w:r w:rsidRPr="00BE4D4F">
        <w:rPr>
          <w:rFonts w:ascii="Times New Roman" w:eastAsia="Times New Roman" w:hAnsi="Times New Roman" w:cs="Times New Roman"/>
          <w:color w:val="0F1115"/>
          <w:kern w:val="0"/>
          <w14:ligatures w14:val="none"/>
        </w:rPr>
        <w:t>l'infection</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néonatale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milieu à </w:t>
      </w:r>
      <w:proofErr w:type="spellStart"/>
      <w:r w:rsidRPr="00BE4D4F">
        <w:rPr>
          <w:rFonts w:ascii="Times New Roman" w:eastAsia="Times New Roman" w:hAnsi="Times New Roman" w:cs="Times New Roman"/>
          <w:color w:val="0F1115"/>
          <w:kern w:val="0"/>
          <w14:ligatures w14:val="none"/>
        </w:rPr>
        <w:t>ressources</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limitées</w:t>
      </w:r>
      <w:proofErr w:type="spellEnd"/>
      <w:r w:rsidRPr="00BE4D4F">
        <w:rPr>
          <w:rFonts w:ascii="Times New Roman" w:eastAsia="Times New Roman" w:hAnsi="Times New Roman" w:cs="Times New Roman"/>
          <w:color w:val="0F1115"/>
          <w:kern w:val="0"/>
          <w14:ligatures w14:val="none"/>
        </w:rPr>
        <w:t xml:space="preserve"> : Cas des </w:t>
      </w:r>
      <w:proofErr w:type="spellStart"/>
      <w:r w:rsidRPr="00BE4D4F">
        <w:rPr>
          <w:rFonts w:ascii="Times New Roman" w:eastAsia="Times New Roman" w:hAnsi="Times New Roman" w:cs="Times New Roman"/>
          <w:color w:val="0F1115"/>
          <w:kern w:val="0"/>
          <w14:ligatures w14:val="none"/>
        </w:rPr>
        <w:t>Cliniques</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Universitaires</w:t>
      </w:r>
      <w:proofErr w:type="spellEnd"/>
      <w:r w:rsidRPr="00BE4D4F">
        <w:rPr>
          <w:rFonts w:ascii="Times New Roman" w:eastAsia="Times New Roman" w:hAnsi="Times New Roman" w:cs="Times New Roman"/>
          <w:color w:val="0F1115"/>
          <w:kern w:val="0"/>
          <w14:ligatures w14:val="none"/>
        </w:rPr>
        <w:t xml:space="preserve"> de Lubumbashi. </w:t>
      </w:r>
      <w:r w:rsidRPr="00BE4D4F">
        <w:rPr>
          <w:rFonts w:ascii="Times New Roman" w:eastAsia="Times New Roman" w:hAnsi="Times New Roman" w:cs="Times New Roman"/>
          <w:i/>
          <w:iCs/>
          <w:color w:val="0F1115"/>
          <w:kern w:val="0"/>
          <w14:ligatures w14:val="none"/>
        </w:rPr>
        <w:t xml:space="preserve">Revue de </w:t>
      </w:r>
      <w:proofErr w:type="spellStart"/>
      <w:r w:rsidRPr="00BE4D4F">
        <w:rPr>
          <w:rFonts w:ascii="Times New Roman" w:eastAsia="Times New Roman" w:hAnsi="Times New Roman" w:cs="Times New Roman"/>
          <w:i/>
          <w:iCs/>
          <w:color w:val="0F1115"/>
          <w:kern w:val="0"/>
          <w14:ligatures w14:val="none"/>
        </w:rPr>
        <w:t>l'Infirmier</w:t>
      </w:r>
      <w:proofErr w:type="spellEnd"/>
      <w:r w:rsidRPr="00BE4D4F">
        <w:rPr>
          <w:rFonts w:ascii="Times New Roman" w:eastAsia="Times New Roman" w:hAnsi="Times New Roman" w:cs="Times New Roman"/>
          <w:i/>
          <w:iCs/>
          <w:color w:val="0F1115"/>
          <w:kern w:val="0"/>
          <w14:ligatures w14:val="none"/>
        </w:rPr>
        <w:t xml:space="preserve"> Congolais</w:t>
      </w:r>
      <w:r w:rsidRPr="00BE4D4F">
        <w:rPr>
          <w:rFonts w:ascii="Times New Roman" w:eastAsia="Times New Roman" w:hAnsi="Times New Roman" w:cs="Times New Roman"/>
          <w:color w:val="0F1115"/>
          <w:kern w:val="0"/>
          <w14:ligatures w14:val="none"/>
        </w:rPr>
        <w:t>, 5(2), 76-84.</w:t>
      </w:r>
    </w:p>
    <w:p w14:paraId="3486FC3A"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Okomo, U., </w:t>
      </w:r>
      <w:proofErr w:type="spellStart"/>
      <w:r w:rsidRPr="00BE4D4F">
        <w:rPr>
          <w:rFonts w:ascii="Times New Roman" w:eastAsia="Times New Roman" w:hAnsi="Times New Roman" w:cs="Times New Roman"/>
          <w:color w:val="0F1115"/>
          <w:kern w:val="0"/>
          <w14:ligatures w14:val="none"/>
        </w:rPr>
        <w:t>Akpalu</w:t>
      </w:r>
      <w:proofErr w:type="spellEnd"/>
      <w:r w:rsidRPr="00BE4D4F">
        <w:rPr>
          <w:rFonts w:ascii="Times New Roman" w:eastAsia="Times New Roman" w:hAnsi="Times New Roman" w:cs="Times New Roman"/>
          <w:color w:val="0F1115"/>
          <w:kern w:val="0"/>
          <w14:ligatures w14:val="none"/>
        </w:rPr>
        <w:t xml:space="preserve">, E. N. A., Le </w:t>
      </w:r>
      <w:proofErr w:type="spellStart"/>
      <w:r w:rsidRPr="00BE4D4F">
        <w:rPr>
          <w:rFonts w:ascii="Times New Roman" w:eastAsia="Times New Roman" w:hAnsi="Times New Roman" w:cs="Times New Roman"/>
          <w:color w:val="0F1115"/>
          <w:kern w:val="0"/>
          <w14:ligatures w14:val="none"/>
        </w:rPr>
        <w:t>Doare</w:t>
      </w:r>
      <w:proofErr w:type="spellEnd"/>
      <w:r w:rsidRPr="00BE4D4F">
        <w:rPr>
          <w:rFonts w:ascii="Times New Roman" w:eastAsia="Times New Roman" w:hAnsi="Times New Roman" w:cs="Times New Roman"/>
          <w:color w:val="0F1115"/>
          <w:kern w:val="0"/>
          <w14:ligatures w14:val="none"/>
        </w:rPr>
        <w:t>, K., Roca, A., Padbury, J. F., &amp; Lawn, J. E. (2019). Neonatal admissions and mortality in a regional hospital in West Africa: A retrospective evaluation of care quality. </w:t>
      </w:r>
      <w:r w:rsidRPr="00BE4D4F">
        <w:rPr>
          <w:rFonts w:ascii="Times New Roman" w:eastAsia="Times New Roman" w:hAnsi="Times New Roman" w:cs="Times New Roman"/>
          <w:i/>
          <w:iCs/>
          <w:color w:val="0F1115"/>
          <w:kern w:val="0"/>
          <w14:ligatures w14:val="none"/>
        </w:rPr>
        <w:t>BMC Pediatrics</w:t>
      </w:r>
      <w:r w:rsidRPr="00BE4D4F">
        <w:rPr>
          <w:rFonts w:ascii="Times New Roman" w:eastAsia="Times New Roman" w:hAnsi="Times New Roman" w:cs="Times New Roman"/>
          <w:color w:val="0F1115"/>
          <w:kern w:val="0"/>
          <w14:ligatures w14:val="none"/>
        </w:rPr>
        <w:t>, 19(1), Article 303.</w:t>
      </w:r>
    </w:p>
    <w:p w14:paraId="3986FFC2"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 xml:space="preserve">Ouedraogo, S. A., </w:t>
      </w:r>
      <w:proofErr w:type="spellStart"/>
      <w:r w:rsidRPr="00BE4D4F">
        <w:rPr>
          <w:rFonts w:ascii="Times New Roman" w:eastAsia="Times New Roman" w:hAnsi="Times New Roman" w:cs="Times New Roman"/>
          <w:color w:val="0F1115"/>
          <w:kern w:val="0"/>
          <w14:ligatures w14:val="none"/>
        </w:rPr>
        <w:t>Somé</w:t>
      </w:r>
      <w:proofErr w:type="spellEnd"/>
      <w:r w:rsidRPr="00BE4D4F">
        <w:rPr>
          <w:rFonts w:ascii="Times New Roman" w:eastAsia="Times New Roman" w:hAnsi="Times New Roman" w:cs="Times New Roman"/>
          <w:color w:val="0F1115"/>
          <w:kern w:val="0"/>
          <w14:ligatures w14:val="none"/>
        </w:rPr>
        <w:t xml:space="preserve">, M., &amp; </w:t>
      </w:r>
      <w:proofErr w:type="spellStart"/>
      <w:r w:rsidRPr="00BE4D4F">
        <w:rPr>
          <w:rFonts w:ascii="Times New Roman" w:eastAsia="Times New Roman" w:hAnsi="Times New Roman" w:cs="Times New Roman"/>
          <w:color w:val="0F1115"/>
          <w:kern w:val="0"/>
          <w14:ligatures w14:val="none"/>
        </w:rPr>
        <w:t>Kouéta</w:t>
      </w:r>
      <w:proofErr w:type="spellEnd"/>
      <w:r w:rsidRPr="00BE4D4F">
        <w:rPr>
          <w:rFonts w:ascii="Times New Roman" w:eastAsia="Times New Roman" w:hAnsi="Times New Roman" w:cs="Times New Roman"/>
          <w:color w:val="0F1115"/>
          <w:kern w:val="0"/>
          <w14:ligatures w14:val="none"/>
        </w:rPr>
        <w:t xml:space="preserve">, F. (2021). </w:t>
      </w:r>
      <w:proofErr w:type="spellStart"/>
      <w:r w:rsidRPr="00BE4D4F">
        <w:rPr>
          <w:rFonts w:ascii="Times New Roman" w:eastAsia="Times New Roman" w:hAnsi="Times New Roman" w:cs="Times New Roman"/>
          <w:color w:val="0F1115"/>
          <w:kern w:val="0"/>
          <w14:ligatures w14:val="none"/>
        </w:rPr>
        <w:t>Létalité</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néonatale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liée</w:t>
      </w:r>
      <w:proofErr w:type="spellEnd"/>
      <w:r w:rsidRPr="00BE4D4F">
        <w:rPr>
          <w:rFonts w:ascii="Times New Roman" w:eastAsia="Times New Roman" w:hAnsi="Times New Roman" w:cs="Times New Roman"/>
          <w:color w:val="0F1115"/>
          <w:kern w:val="0"/>
          <w14:ligatures w14:val="none"/>
        </w:rPr>
        <w:t xml:space="preserve"> au sepsis </w:t>
      </w:r>
      <w:proofErr w:type="spellStart"/>
      <w:r w:rsidRPr="00BE4D4F">
        <w:rPr>
          <w:rFonts w:ascii="Times New Roman" w:eastAsia="Times New Roman" w:hAnsi="Times New Roman" w:cs="Times New Roman"/>
          <w:color w:val="0F1115"/>
          <w:kern w:val="0"/>
          <w14:ligatures w14:val="none"/>
        </w:rPr>
        <w:t>précoce</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en</w:t>
      </w:r>
      <w:proofErr w:type="spellEnd"/>
      <w:r w:rsidRPr="00BE4D4F">
        <w:rPr>
          <w:rFonts w:ascii="Times New Roman" w:eastAsia="Times New Roman" w:hAnsi="Times New Roman" w:cs="Times New Roman"/>
          <w:color w:val="0F1115"/>
          <w:kern w:val="0"/>
          <w14:ligatures w14:val="none"/>
        </w:rPr>
        <w:t xml:space="preserve"> milieu </w:t>
      </w:r>
      <w:proofErr w:type="spellStart"/>
      <w:r w:rsidRPr="00BE4D4F">
        <w:rPr>
          <w:rFonts w:ascii="Times New Roman" w:eastAsia="Times New Roman" w:hAnsi="Times New Roman" w:cs="Times New Roman"/>
          <w:color w:val="0F1115"/>
          <w:kern w:val="0"/>
          <w14:ligatures w14:val="none"/>
        </w:rPr>
        <w:t>hospitalier</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africain</w:t>
      </w:r>
      <w:proofErr w:type="spellEnd"/>
      <w:r w:rsidRPr="00BE4D4F">
        <w:rPr>
          <w:rFonts w:ascii="Times New Roman" w:eastAsia="Times New Roman" w:hAnsi="Times New Roman" w:cs="Times New Roman"/>
          <w:color w:val="0F1115"/>
          <w:kern w:val="0"/>
          <w14:ligatures w14:val="none"/>
        </w:rPr>
        <w:t xml:space="preserve"> : Une étude </w:t>
      </w:r>
      <w:proofErr w:type="spellStart"/>
      <w:r w:rsidRPr="00BE4D4F">
        <w:rPr>
          <w:rFonts w:ascii="Times New Roman" w:eastAsia="Times New Roman" w:hAnsi="Times New Roman" w:cs="Times New Roman"/>
          <w:color w:val="0F1115"/>
          <w:kern w:val="0"/>
          <w14:ligatures w14:val="none"/>
        </w:rPr>
        <w:t>multicentrique</w:t>
      </w:r>
      <w:proofErr w:type="spellEnd"/>
      <w:r w:rsidRPr="00BE4D4F">
        <w:rPr>
          <w:rFonts w:ascii="Times New Roman" w:eastAsia="Times New Roman" w:hAnsi="Times New Roman" w:cs="Times New Roman"/>
          <w:color w:val="0F1115"/>
          <w:kern w:val="0"/>
          <w14:ligatures w14:val="none"/>
        </w:rPr>
        <w:t>. </w:t>
      </w:r>
      <w:r w:rsidRPr="00BE4D4F">
        <w:rPr>
          <w:rFonts w:ascii="Times New Roman" w:eastAsia="Times New Roman" w:hAnsi="Times New Roman" w:cs="Times New Roman"/>
          <w:i/>
          <w:iCs/>
          <w:color w:val="0F1115"/>
          <w:kern w:val="0"/>
          <w14:ligatures w14:val="none"/>
        </w:rPr>
        <w:t xml:space="preserve">Cahiers </w:t>
      </w:r>
      <w:proofErr w:type="spellStart"/>
      <w:r w:rsidRPr="00BE4D4F">
        <w:rPr>
          <w:rFonts w:ascii="Times New Roman" w:eastAsia="Times New Roman" w:hAnsi="Times New Roman" w:cs="Times New Roman"/>
          <w:i/>
          <w:iCs/>
          <w:color w:val="0F1115"/>
          <w:kern w:val="0"/>
          <w14:ligatures w14:val="none"/>
        </w:rPr>
        <w:t>d'Études</w:t>
      </w:r>
      <w:proofErr w:type="spellEnd"/>
      <w:r w:rsidRPr="00BE4D4F">
        <w:rPr>
          <w:rFonts w:ascii="Times New Roman" w:eastAsia="Times New Roman" w:hAnsi="Times New Roman" w:cs="Times New Roman"/>
          <w:i/>
          <w:iCs/>
          <w:color w:val="0F1115"/>
          <w:kern w:val="0"/>
          <w14:ligatures w14:val="none"/>
        </w:rPr>
        <w:t xml:space="preserve"> et de </w:t>
      </w:r>
      <w:proofErr w:type="spellStart"/>
      <w:r w:rsidRPr="00BE4D4F">
        <w:rPr>
          <w:rFonts w:ascii="Times New Roman" w:eastAsia="Times New Roman" w:hAnsi="Times New Roman" w:cs="Times New Roman"/>
          <w:i/>
          <w:iCs/>
          <w:color w:val="0F1115"/>
          <w:kern w:val="0"/>
          <w14:ligatures w14:val="none"/>
        </w:rPr>
        <w:t>Recherches</w:t>
      </w:r>
      <w:proofErr w:type="spellEnd"/>
      <w:r w:rsidRPr="00BE4D4F">
        <w:rPr>
          <w:rFonts w:ascii="Times New Roman" w:eastAsia="Times New Roman" w:hAnsi="Times New Roman" w:cs="Times New Roman"/>
          <w:i/>
          <w:iCs/>
          <w:color w:val="0F1115"/>
          <w:kern w:val="0"/>
          <w14:ligatures w14:val="none"/>
        </w:rPr>
        <w:t xml:space="preserve"> Francophones/Santé</w:t>
      </w:r>
      <w:r w:rsidRPr="00BE4D4F">
        <w:rPr>
          <w:rFonts w:ascii="Times New Roman" w:eastAsia="Times New Roman" w:hAnsi="Times New Roman" w:cs="Times New Roman"/>
          <w:color w:val="0F1115"/>
          <w:kern w:val="0"/>
          <w14:ligatures w14:val="none"/>
        </w:rPr>
        <w:t>, 31(2), 201-210.</w:t>
      </w:r>
    </w:p>
    <w:p w14:paraId="0B0E8248"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Peduzzi, P., Concato, J., Kemper, E., Holford, T. R., &amp; Feinstein, A. R. (1996). A simulation study of the number of events per variable in logistic regression analysis. </w:t>
      </w:r>
      <w:r w:rsidRPr="00BE4D4F">
        <w:rPr>
          <w:rFonts w:ascii="Times New Roman" w:eastAsia="Times New Roman" w:hAnsi="Times New Roman" w:cs="Times New Roman"/>
          <w:i/>
          <w:iCs/>
          <w:color w:val="0F1115"/>
          <w:kern w:val="0"/>
          <w14:ligatures w14:val="none"/>
        </w:rPr>
        <w:t>Journal of Clinical Epidemiology</w:t>
      </w:r>
      <w:r w:rsidRPr="00BE4D4F">
        <w:rPr>
          <w:rFonts w:ascii="Times New Roman" w:eastAsia="Times New Roman" w:hAnsi="Times New Roman" w:cs="Times New Roman"/>
          <w:color w:val="0F1115"/>
          <w:kern w:val="0"/>
          <w14:ligatures w14:val="none"/>
        </w:rPr>
        <w:t>, 49(12), 1373-1379.</w:t>
      </w:r>
    </w:p>
    <w:p w14:paraId="46A8BE9A"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Polin, R. A., &amp; Committee on Fetus and Newborn. (2012). Management of neonates with suspected or proven early-onset bacterial sepsis. </w:t>
      </w:r>
      <w:r w:rsidRPr="00BE4D4F">
        <w:rPr>
          <w:rFonts w:ascii="Times New Roman" w:eastAsia="Times New Roman" w:hAnsi="Times New Roman" w:cs="Times New Roman"/>
          <w:i/>
          <w:iCs/>
          <w:color w:val="0F1115"/>
          <w:kern w:val="0"/>
          <w14:ligatures w14:val="none"/>
        </w:rPr>
        <w:t>Pediatrics</w:t>
      </w:r>
      <w:r w:rsidRPr="00BE4D4F">
        <w:rPr>
          <w:rFonts w:ascii="Times New Roman" w:eastAsia="Times New Roman" w:hAnsi="Times New Roman" w:cs="Times New Roman"/>
          <w:color w:val="0F1115"/>
          <w:kern w:val="0"/>
          <w14:ligatures w14:val="none"/>
        </w:rPr>
        <w:t>, 129(5), 1006-1015.</w:t>
      </w:r>
    </w:p>
    <w:p w14:paraId="52A4E77F"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proofErr w:type="spellStart"/>
      <w:r w:rsidRPr="00BE4D4F">
        <w:rPr>
          <w:rFonts w:ascii="Times New Roman" w:eastAsia="Times New Roman" w:hAnsi="Times New Roman" w:cs="Times New Roman"/>
          <w:color w:val="0F1115"/>
          <w:kern w:val="0"/>
          <w14:ligatures w14:val="none"/>
        </w:rPr>
        <w:lastRenderedPageBreak/>
        <w:t>Tumuhamye</w:t>
      </w:r>
      <w:proofErr w:type="spellEnd"/>
      <w:r w:rsidRPr="00BE4D4F">
        <w:rPr>
          <w:rFonts w:ascii="Times New Roman" w:eastAsia="Times New Roman" w:hAnsi="Times New Roman" w:cs="Times New Roman"/>
          <w:color w:val="0F1115"/>
          <w:kern w:val="0"/>
          <w14:ligatures w14:val="none"/>
        </w:rPr>
        <w:t xml:space="preserve">, J., Sommerfelt, H., Bwanga, F., </w:t>
      </w:r>
      <w:proofErr w:type="spellStart"/>
      <w:r w:rsidRPr="00BE4D4F">
        <w:rPr>
          <w:rFonts w:ascii="Times New Roman" w:eastAsia="Times New Roman" w:hAnsi="Times New Roman" w:cs="Times New Roman"/>
          <w:color w:val="0F1115"/>
          <w:kern w:val="0"/>
          <w14:ligatures w14:val="none"/>
        </w:rPr>
        <w:t>Ndeezi</w:t>
      </w:r>
      <w:proofErr w:type="spellEnd"/>
      <w:r w:rsidRPr="00BE4D4F">
        <w:rPr>
          <w:rFonts w:ascii="Times New Roman" w:eastAsia="Times New Roman" w:hAnsi="Times New Roman" w:cs="Times New Roman"/>
          <w:color w:val="0F1115"/>
          <w:kern w:val="0"/>
          <w14:ligatures w14:val="none"/>
        </w:rPr>
        <w:t xml:space="preserve">, G., Mukunya, D., </w:t>
      </w:r>
      <w:proofErr w:type="spellStart"/>
      <w:r w:rsidRPr="00BE4D4F">
        <w:rPr>
          <w:rFonts w:ascii="Times New Roman" w:eastAsia="Times New Roman" w:hAnsi="Times New Roman" w:cs="Times New Roman"/>
          <w:color w:val="0F1115"/>
          <w:kern w:val="0"/>
          <w14:ligatures w14:val="none"/>
        </w:rPr>
        <w:t>Napyo</w:t>
      </w:r>
      <w:proofErr w:type="spellEnd"/>
      <w:r w:rsidRPr="00BE4D4F">
        <w:rPr>
          <w:rFonts w:ascii="Times New Roman" w:eastAsia="Times New Roman" w:hAnsi="Times New Roman" w:cs="Times New Roman"/>
          <w:color w:val="0F1115"/>
          <w:kern w:val="0"/>
          <w14:ligatures w14:val="none"/>
        </w:rPr>
        <w:t>, A., Tumwine, J. K., &amp; Nankabirwa, V. (2020). Neonatal sepsis at Mulago National Referral Hospital, Uganda: Etiology, antimicrobial resistance, and clinical outcomes. </w:t>
      </w:r>
      <w:r w:rsidRPr="00BE4D4F">
        <w:rPr>
          <w:rFonts w:ascii="Times New Roman" w:eastAsia="Times New Roman" w:hAnsi="Times New Roman" w:cs="Times New Roman"/>
          <w:i/>
          <w:iCs/>
          <w:color w:val="0F1115"/>
          <w:kern w:val="0"/>
          <w14:ligatures w14:val="none"/>
        </w:rPr>
        <w:t>BMC Infectious Diseases</w:t>
      </w:r>
      <w:r w:rsidRPr="00BE4D4F">
        <w:rPr>
          <w:rFonts w:ascii="Times New Roman" w:eastAsia="Times New Roman" w:hAnsi="Times New Roman" w:cs="Times New Roman"/>
          <w:color w:val="0F1115"/>
          <w:kern w:val="0"/>
          <w14:ligatures w14:val="none"/>
        </w:rPr>
        <w:t>, 20(1), Article 433.</w:t>
      </w:r>
    </w:p>
    <w:p w14:paraId="1B51CCE7"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World Health Organization. (2023). </w:t>
      </w:r>
      <w:r w:rsidRPr="00BE4D4F">
        <w:rPr>
          <w:rFonts w:ascii="Times New Roman" w:eastAsia="Times New Roman" w:hAnsi="Times New Roman" w:cs="Times New Roman"/>
          <w:i/>
          <w:iCs/>
          <w:color w:val="0F1115"/>
          <w:kern w:val="0"/>
          <w14:ligatures w14:val="none"/>
        </w:rPr>
        <w:t xml:space="preserve">Directives </w:t>
      </w:r>
      <w:proofErr w:type="spellStart"/>
      <w:r w:rsidRPr="00BE4D4F">
        <w:rPr>
          <w:rFonts w:ascii="Times New Roman" w:eastAsia="Times New Roman" w:hAnsi="Times New Roman" w:cs="Times New Roman"/>
          <w:i/>
          <w:iCs/>
          <w:color w:val="0F1115"/>
          <w:kern w:val="0"/>
          <w14:ligatures w14:val="none"/>
        </w:rPr>
        <w:t>mondiales</w:t>
      </w:r>
      <w:proofErr w:type="spellEnd"/>
      <w:r w:rsidRPr="00BE4D4F">
        <w:rPr>
          <w:rFonts w:ascii="Times New Roman" w:eastAsia="Times New Roman" w:hAnsi="Times New Roman" w:cs="Times New Roman"/>
          <w:i/>
          <w:iCs/>
          <w:color w:val="0F1115"/>
          <w:kern w:val="0"/>
          <w14:ligatures w14:val="none"/>
        </w:rPr>
        <w:t xml:space="preserve"> pour la </w:t>
      </w:r>
      <w:proofErr w:type="spellStart"/>
      <w:r w:rsidRPr="00BE4D4F">
        <w:rPr>
          <w:rFonts w:ascii="Times New Roman" w:eastAsia="Times New Roman" w:hAnsi="Times New Roman" w:cs="Times New Roman"/>
          <w:i/>
          <w:iCs/>
          <w:color w:val="0F1115"/>
          <w:kern w:val="0"/>
          <w14:ligatures w14:val="none"/>
        </w:rPr>
        <w:t>prévention</w:t>
      </w:r>
      <w:proofErr w:type="spellEnd"/>
      <w:r w:rsidRPr="00BE4D4F">
        <w:rPr>
          <w:rFonts w:ascii="Times New Roman" w:eastAsia="Times New Roman" w:hAnsi="Times New Roman" w:cs="Times New Roman"/>
          <w:i/>
          <w:iCs/>
          <w:color w:val="0F1115"/>
          <w:kern w:val="0"/>
          <w14:ligatures w14:val="none"/>
        </w:rPr>
        <w:t xml:space="preserve"> et le </w:t>
      </w:r>
      <w:proofErr w:type="spellStart"/>
      <w:r w:rsidRPr="00BE4D4F">
        <w:rPr>
          <w:rFonts w:ascii="Times New Roman" w:eastAsia="Times New Roman" w:hAnsi="Times New Roman" w:cs="Times New Roman"/>
          <w:i/>
          <w:iCs/>
          <w:color w:val="0F1115"/>
          <w:kern w:val="0"/>
          <w14:ligatures w14:val="none"/>
        </w:rPr>
        <w:t>traitement</w:t>
      </w:r>
      <w:proofErr w:type="spellEnd"/>
      <w:r w:rsidRPr="00BE4D4F">
        <w:rPr>
          <w:rFonts w:ascii="Times New Roman" w:eastAsia="Times New Roman" w:hAnsi="Times New Roman" w:cs="Times New Roman"/>
          <w:i/>
          <w:iCs/>
          <w:color w:val="0F1115"/>
          <w:kern w:val="0"/>
          <w14:ligatures w14:val="none"/>
        </w:rPr>
        <w:t xml:space="preserve"> des infections </w:t>
      </w:r>
      <w:proofErr w:type="spellStart"/>
      <w:r w:rsidRPr="00BE4D4F">
        <w:rPr>
          <w:rFonts w:ascii="Times New Roman" w:eastAsia="Times New Roman" w:hAnsi="Times New Roman" w:cs="Times New Roman"/>
          <w:i/>
          <w:iCs/>
          <w:color w:val="0F1115"/>
          <w:kern w:val="0"/>
          <w14:ligatures w14:val="none"/>
        </w:rPr>
        <w:t>néonatales</w:t>
      </w:r>
      <w:proofErr w:type="spellEnd"/>
      <w:r w:rsidRPr="00BE4D4F">
        <w:rPr>
          <w:rFonts w:ascii="Times New Roman" w:eastAsia="Times New Roman" w:hAnsi="Times New Roman" w:cs="Times New Roman"/>
          <w:i/>
          <w:iCs/>
          <w:color w:val="0F1115"/>
          <w:kern w:val="0"/>
          <w14:ligatures w14:val="none"/>
        </w:rPr>
        <w:t xml:space="preserve"> </w:t>
      </w:r>
      <w:proofErr w:type="spellStart"/>
      <w:r w:rsidRPr="00BE4D4F">
        <w:rPr>
          <w:rFonts w:ascii="Times New Roman" w:eastAsia="Times New Roman" w:hAnsi="Times New Roman" w:cs="Times New Roman"/>
          <w:i/>
          <w:iCs/>
          <w:color w:val="0F1115"/>
          <w:kern w:val="0"/>
          <w14:ligatures w14:val="none"/>
        </w:rPr>
        <w:t>en</w:t>
      </w:r>
      <w:proofErr w:type="spellEnd"/>
      <w:r w:rsidRPr="00BE4D4F">
        <w:rPr>
          <w:rFonts w:ascii="Times New Roman" w:eastAsia="Times New Roman" w:hAnsi="Times New Roman" w:cs="Times New Roman"/>
          <w:i/>
          <w:iCs/>
          <w:color w:val="0F1115"/>
          <w:kern w:val="0"/>
          <w14:ligatures w14:val="none"/>
        </w:rPr>
        <w:t xml:space="preserve"> milieu </w:t>
      </w:r>
      <w:proofErr w:type="spellStart"/>
      <w:r w:rsidRPr="00BE4D4F">
        <w:rPr>
          <w:rFonts w:ascii="Times New Roman" w:eastAsia="Times New Roman" w:hAnsi="Times New Roman" w:cs="Times New Roman"/>
          <w:i/>
          <w:iCs/>
          <w:color w:val="0F1115"/>
          <w:kern w:val="0"/>
          <w14:ligatures w14:val="none"/>
        </w:rPr>
        <w:t>hospitalier</w:t>
      </w:r>
      <w:proofErr w:type="spellEnd"/>
      <w:r w:rsidRPr="00BE4D4F">
        <w:rPr>
          <w:rFonts w:ascii="Times New Roman" w:eastAsia="Times New Roman" w:hAnsi="Times New Roman" w:cs="Times New Roman"/>
          <w:color w:val="0F1115"/>
          <w:kern w:val="0"/>
          <w14:ligatures w14:val="none"/>
        </w:rPr>
        <w:t>. WHO.</w:t>
      </w:r>
    </w:p>
    <w:p w14:paraId="2C2E849F"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World Health Organization. (2024). </w:t>
      </w:r>
      <w:proofErr w:type="spellStart"/>
      <w:r w:rsidRPr="00BE4D4F">
        <w:rPr>
          <w:rFonts w:ascii="Times New Roman" w:eastAsia="Times New Roman" w:hAnsi="Times New Roman" w:cs="Times New Roman"/>
          <w:i/>
          <w:iCs/>
          <w:color w:val="0F1115"/>
          <w:kern w:val="0"/>
          <w14:ligatures w14:val="none"/>
        </w:rPr>
        <w:t>Mortalité</w:t>
      </w:r>
      <w:proofErr w:type="spellEnd"/>
      <w:r w:rsidRPr="00BE4D4F">
        <w:rPr>
          <w:rFonts w:ascii="Times New Roman" w:eastAsia="Times New Roman" w:hAnsi="Times New Roman" w:cs="Times New Roman"/>
          <w:i/>
          <w:iCs/>
          <w:color w:val="0F1115"/>
          <w:kern w:val="0"/>
          <w14:ligatures w14:val="none"/>
        </w:rPr>
        <w:t xml:space="preserve"> </w:t>
      </w:r>
      <w:proofErr w:type="spellStart"/>
      <w:r w:rsidRPr="00BE4D4F">
        <w:rPr>
          <w:rFonts w:ascii="Times New Roman" w:eastAsia="Times New Roman" w:hAnsi="Times New Roman" w:cs="Times New Roman"/>
          <w:i/>
          <w:iCs/>
          <w:color w:val="0F1115"/>
          <w:kern w:val="0"/>
          <w14:ligatures w14:val="none"/>
        </w:rPr>
        <w:t>néonatale</w:t>
      </w:r>
      <w:proofErr w:type="spellEnd"/>
      <w:r w:rsidRPr="00BE4D4F">
        <w:rPr>
          <w:rFonts w:ascii="Times New Roman" w:eastAsia="Times New Roman" w:hAnsi="Times New Roman" w:cs="Times New Roman"/>
          <w:i/>
          <w:iCs/>
          <w:color w:val="0F1115"/>
          <w:kern w:val="0"/>
          <w14:ligatures w14:val="none"/>
        </w:rPr>
        <w:t xml:space="preserve"> : </w:t>
      </w:r>
      <w:proofErr w:type="spellStart"/>
      <w:r w:rsidRPr="00BE4D4F">
        <w:rPr>
          <w:rFonts w:ascii="Times New Roman" w:eastAsia="Times New Roman" w:hAnsi="Times New Roman" w:cs="Times New Roman"/>
          <w:i/>
          <w:iCs/>
          <w:color w:val="0F1115"/>
          <w:kern w:val="0"/>
          <w14:ligatures w14:val="none"/>
        </w:rPr>
        <w:t>Principaux</w:t>
      </w:r>
      <w:proofErr w:type="spellEnd"/>
      <w:r w:rsidRPr="00BE4D4F">
        <w:rPr>
          <w:rFonts w:ascii="Times New Roman" w:eastAsia="Times New Roman" w:hAnsi="Times New Roman" w:cs="Times New Roman"/>
          <w:i/>
          <w:iCs/>
          <w:color w:val="0F1115"/>
          <w:kern w:val="0"/>
          <w14:ligatures w14:val="none"/>
        </w:rPr>
        <w:t xml:space="preserve"> </w:t>
      </w:r>
      <w:proofErr w:type="spellStart"/>
      <w:r w:rsidRPr="00BE4D4F">
        <w:rPr>
          <w:rFonts w:ascii="Times New Roman" w:eastAsia="Times New Roman" w:hAnsi="Times New Roman" w:cs="Times New Roman"/>
          <w:i/>
          <w:iCs/>
          <w:color w:val="0F1115"/>
          <w:kern w:val="0"/>
          <w14:ligatures w14:val="none"/>
        </w:rPr>
        <w:t>repères</w:t>
      </w:r>
      <w:proofErr w:type="spellEnd"/>
      <w:r w:rsidRPr="00BE4D4F">
        <w:rPr>
          <w:rFonts w:ascii="Times New Roman" w:eastAsia="Times New Roman" w:hAnsi="Times New Roman" w:cs="Times New Roman"/>
          <w:i/>
          <w:iCs/>
          <w:color w:val="0F1115"/>
          <w:kern w:val="0"/>
          <w14:ligatures w14:val="none"/>
        </w:rPr>
        <w:t xml:space="preserve"> et </w:t>
      </w:r>
      <w:proofErr w:type="spellStart"/>
      <w:r w:rsidRPr="00BE4D4F">
        <w:rPr>
          <w:rFonts w:ascii="Times New Roman" w:eastAsia="Times New Roman" w:hAnsi="Times New Roman" w:cs="Times New Roman"/>
          <w:i/>
          <w:iCs/>
          <w:color w:val="0F1115"/>
          <w:kern w:val="0"/>
          <w14:ligatures w14:val="none"/>
        </w:rPr>
        <w:t>stratégies</w:t>
      </w:r>
      <w:proofErr w:type="spellEnd"/>
      <w:r w:rsidRPr="00BE4D4F">
        <w:rPr>
          <w:rFonts w:ascii="Times New Roman" w:eastAsia="Times New Roman" w:hAnsi="Times New Roman" w:cs="Times New Roman"/>
          <w:i/>
          <w:iCs/>
          <w:color w:val="0F1115"/>
          <w:kern w:val="0"/>
          <w14:ligatures w14:val="none"/>
        </w:rPr>
        <w:t xml:space="preserve"> </w:t>
      </w:r>
      <w:proofErr w:type="spellStart"/>
      <w:r w:rsidRPr="00BE4D4F">
        <w:rPr>
          <w:rFonts w:ascii="Times New Roman" w:eastAsia="Times New Roman" w:hAnsi="Times New Roman" w:cs="Times New Roman"/>
          <w:i/>
          <w:iCs/>
          <w:color w:val="0F1115"/>
          <w:kern w:val="0"/>
          <w14:ligatures w14:val="none"/>
        </w:rPr>
        <w:t>mondiales</w:t>
      </w:r>
      <w:proofErr w:type="spellEnd"/>
      <w:r w:rsidRPr="00BE4D4F">
        <w:rPr>
          <w:rFonts w:ascii="Times New Roman" w:eastAsia="Times New Roman" w:hAnsi="Times New Roman" w:cs="Times New Roman"/>
          <w:color w:val="0F1115"/>
          <w:kern w:val="0"/>
          <w14:ligatures w14:val="none"/>
        </w:rPr>
        <w:t>. WHO.</w:t>
      </w:r>
    </w:p>
    <w:p w14:paraId="0FA2A547" w14:textId="77777777" w:rsidR="00BE4D4F" w:rsidRPr="00BE4D4F" w:rsidRDefault="00BE4D4F" w:rsidP="004674F0">
      <w:pPr>
        <w:shd w:val="clear" w:color="auto" w:fill="FFFFFF"/>
        <w:spacing w:before="240" w:after="240" w:line="240" w:lineRule="auto"/>
        <w:rPr>
          <w:rFonts w:ascii="Times New Roman" w:eastAsia="Times New Roman" w:hAnsi="Times New Roman" w:cs="Times New Roman"/>
          <w:color w:val="0F1115"/>
          <w:kern w:val="0"/>
          <w14:ligatures w14:val="none"/>
        </w:rPr>
      </w:pPr>
      <w:r w:rsidRPr="00BE4D4F">
        <w:rPr>
          <w:rFonts w:ascii="Times New Roman" w:eastAsia="Times New Roman" w:hAnsi="Times New Roman" w:cs="Times New Roman"/>
          <w:color w:val="0F1115"/>
          <w:kern w:val="0"/>
          <w14:ligatures w14:val="none"/>
        </w:rPr>
        <w:t>World Medical Association. (2013). World Medical Association Declaration of Helsinki: Ethical principles for medical research involving human subjects. </w:t>
      </w:r>
      <w:r w:rsidRPr="00BE4D4F">
        <w:rPr>
          <w:rFonts w:ascii="Times New Roman" w:eastAsia="Times New Roman" w:hAnsi="Times New Roman" w:cs="Times New Roman"/>
          <w:i/>
          <w:iCs/>
          <w:color w:val="0F1115"/>
          <w:kern w:val="0"/>
          <w14:ligatures w14:val="none"/>
        </w:rPr>
        <w:t>JAMA</w:t>
      </w:r>
      <w:r w:rsidRPr="00BE4D4F">
        <w:rPr>
          <w:rFonts w:ascii="Times New Roman" w:eastAsia="Times New Roman" w:hAnsi="Times New Roman" w:cs="Times New Roman"/>
          <w:color w:val="0F1115"/>
          <w:kern w:val="0"/>
          <w14:ligatures w14:val="none"/>
        </w:rPr>
        <w:t>, 310(20), 2191-2194.</w:t>
      </w:r>
    </w:p>
    <w:p w14:paraId="6DAB3C47" w14:textId="77777777" w:rsidR="00BE4D4F" w:rsidRPr="00BE4D4F" w:rsidRDefault="00BE4D4F" w:rsidP="004674F0">
      <w:pPr>
        <w:shd w:val="clear" w:color="auto" w:fill="FFFFFF"/>
        <w:spacing w:before="240" w:after="0" w:line="240" w:lineRule="auto"/>
        <w:rPr>
          <w:rFonts w:ascii="Times New Roman" w:eastAsia="Times New Roman" w:hAnsi="Times New Roman" w:cs="Times New Roman"/>
          <w:color w:val="0F1115"/>
          <w:kern w:val="0"/>
          <w14:ligatures w14:val="none"/>
        </w:rPr>
      </w:pPr>
      <w:proofErr w:type="spellStart"/>
      <w:r w:rsidRPr="00BE4D4F">
        <w:rPr>
          <w:rFonts w:ascii="Times New Roman" w:eastAsia="Times New Roman" w:hAnsi="Times New Roman" w:cs="Times New Roman"/>
          <w:color w:val="0F1115"/>
          <w:kern w:val="0"/>
          <w14:ligatures w14:val="none"/>
        </w:rPr>
        <w:t>Zoumanigui</w:t>
      </w:r>
      <w:proofErr w:type="spellEnd"/>
      <w:r w:rsidRPr="00BE4D4F">
        <w:rPr>
          <w:rFonts w:ascii="Times New Roman" w:eastAsia="Times New Roman" w:hAnsi="Times New Roman" w:cs="Times New Roman"/>
          <w:color w:val="0F1115"/>
          <w:kern w:val="0"/>
          <w14:ligatures w14:val="none"/>
        </w:rPr>
        <w:t xml:space="preserve">, V. G., Diallo, F. A., &amp; Camara, B. (2022). Signes </w:t>
      </w:r>
      <w:proofErr w:type="spellStart"/>
      <w:r w:rsidRPr="00BE4D4F">
        <w:rPr>
          <w:rFonts w:ascii="Times New Roman" w:eastAsia="Times New Roman" w:hAnsi="Times New Roman" w:cs="Times New Roman"/>
          <w:color w:val="0F1115"/>
          <w:kern w:val="0"/>
          <w14:ligatures w14:val="none"/>
        </w:rPr>
        <w:t>d'appel</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cliniques</w:t>
      </w:r>
      <w:proofErr w:type="spellEnd"/>
      <w:r w:rsidRPr="00BE4D4F">
        <w:rPr>
          <w:rFonts w:ascii="Times New Roman" w:eastAsia="Times New Roman" w:hAnsi="Times New Roman" w:cs="Times New Roman"/>
          <w:color w:val="0F1115"/>
          <w:kern w:val="0"/>
          <w14:ligatures w14:val="none"/>
        </w:rPr>
        <w:t xml:space="preserve"> et </w:t>
      </w:r>
      <w:proofErr w:type="spellStart"/>
      <w:r w:rsidRPr="00BE4D4F">
        <w:rPr>
          <w:rFonts w:ascii="Times New Roman" w:eastAsia="Times New Roman" w:hAnsi="Times New Roman" w:cs="Times New Roman"/>
          <w:color w:val="0F1115"/>
          <w:kern w:val="0"/>
          <w14:ligatures w14:val="none"/>
        </w:rPr>
        <w:t>devenir</w:t>
      </w:r>
      <w:proofErr w:type="spellEnd"/>
      <w:r w:rsidRPr="00BE4D4F">
        <w:rPr>
          <w:rFonts w:ascii="Times New Roman" w:eastAsia="Times New Roman" w:hAnsi="Times New Roman" w:cs="Times New Roman"/>
          <w:color w:val="0F1115"/>
          <w:kern w:val="0"/>
          <w14:ligatures w14:val="none"/>
        </w:rPr>
        <w:t xml:space="preserve"> des nouveau-</w:t>
      </w:r>
      <w:proofErr w:type="spellStart"/>
      <w:r w:rsidRPr="00BE4D4F">
        <w:rPr>
          <w:rFonts w:ascii="Times New Roman" w:eastAsia="Times New Roman" w:hAnsi="Times New Roman" w:cs="Times New Roman"/>
          <w:color w:val="0F1115"/>
          <w:kern w:val="0"/>
          <w14:ligatures w14:val="none"/>
        </w:rPr>
        <w:t>nés</w:t>
      </w:r>
      <w:proofErr w:type="spellEnd"/>
      <w:r w:rsidRPr="00BE4D4F">
        <w:rPr>
          <w:rFonts w:ascii="Times New Roman" w:eastAsia="Times New Roman" w:hAnsi="Times New Roman" w:cs="Times New Roman"/>
          <w:color w:val="0F1115"/>
          <w:kern w:val="0"/>
          <w14:ligatures w14:val="none"/>
        </w:rPr>
        <w:t xml:space="preserve"> suspects </w:t>
      </w:r>
      <w:proofErr w:type="spellStart"/>
      <w:r w:rsidRPr="00BE4D4F">
        <w:rPr>
          <w:rFonts w:ascii="Times New Roman" w:eastAsia="Times New Roman" w:hAnsi="Times New Roman" w:cs="Times New Roman"/>
          <w:color w:val="0F1115"/>
          <w:kern w:val="0"/>
          <w14:ligatures w14:val="none"/>
        </w:rPr>
        <w:t>d'infection</w:t>
      </w:r>
      <w:proofErr w:type="spellEnd"/>
      <w:r w:rsidRPr="00BE4D4F">
        <w:rPr>
          <w:rFonts w:ascii="Times New Roman" w:eastAsia="Times New Roman" w:hAnsi="Times New Roman" w:cs="Times New Roman"/>
          <w:color w:val="0F1115"/>
          <w:kern w:val="0"/>
          <w14:ligatures w14:val="none"/>
        </w:rPr>
        <w:t xml:space="preserve"> </w:t>
      </w:r>
      <w:proofErr w:type="spellStart"/>
      <w:r w:rsidRPr="00BE4D4F">
        <w:rPr>
          <w:rFonts w:ascii="Times New Roman" w:eastAsia="Times New Roman" w:hAnsi="Times New Roman" w:cs="Times New Roman"/>
          <w:color w:val="0F1115"/>
          <w:kern w:val="0"/>
          <w14:ligatures w14:val="none"/>
        </w:rPr>
        <w:t>bactérienne</w:t>
      </w:r>
      <w:proofErr w:type="spellEnd"/>
      <w:r w:rsidRPr="00BE4D4F">
        <w:rPr>
          <w:rFonts w:ascii="Times New Roman" w:eastAsia="Times New Roman" w:hAnsi="Times New Roman" w:cs="Times New Roman"/>
          <w:color w:val="0F1115"/>
          <w:kern w:val="0"/>
          <w14:ligatures w14:val="none"/>
        </w:rPr>
        <w:t xml:space="preserve"> à Conakry. </w:t>
      </w:r>
      <w:proofErr w:type="spellStart"/>
      <w:r w:rsidRPr="00BE4D4F">
        <w:rPr>
          <w:rFonts w:ascii="Times New Roman" w:eastAsia="Times New Roman" w:hAnsi="Times New Roman" w:cs="Times New Roman"/>
          <w:i/>
          <w:iCs/>
          <w:color w:val="0F1115"/>
          <w:kern w:val="0"/>
          <w14:ligatures w14:val="none"/>
        </w:rPr>
        <w:t>Guinée</w:t>
      </w:r>
      <w:proofErr w:type="spellEnd"/>
      <w:r w:rsidRPr="00BE4D4F">
        <w:rPr>
          <w:rFonts w:ascii="Times New Roman" w:eastAsia="Times New Roman" w:hAnsi="Times New Roman" w:cs="Times New Roman"/>
          <w:i/>
          <w:iCs/>
          <w:color w:val="0F1115"/>
          <w:kern w:val="0"/>
          <w14:ligatures w14:val="none"/>
        </w:rPr>
        <w:t xml:space="preserve"> </w:t>
      </w:r>
      <w:proofErr w:type="spellStart"/>
      <w:r w:rsidRPr="00BE4D4F">
        <w:rPr>
          <w:rFonts w:ascii="Times New Roman" w:eastAsia="Times New Roman" w:hAnsi="Times New Roman" w:cs="Times New Roman"/>
          <w:i/>
          <w:iCs/>
          <w:color w:val="0F1115"/>
          <w:kern w:val="0"/>
          <w14:ligatures w14:val="none"/>
        </w:rPr>
        <w:t>Médicale</w:t>
      </w:r>
      <w:proofErr w:type="spellEnd"/>
      <w:r w:rsidRPr="00BE4D4F">
        <w:rPr>
          <w:rFonts w:ascii="Times New Roman" w:eastAsia="Times New Roman" w:hAnsi="Times New Roman" w:cs="Times New Roman"/>
          <w:color w:val="0F1115"/>
          <w:kern w:val="0"/>
          <w14:ligatures w14:val="none"/>
        </w:rPr>
        <w:t>, 14(3), 12-19.</w:t>
      </w:r>
    </w:p>
    <w:p w14:paraId="5D34656E" w14:textId="77777777" w:rsidR="00BE4D4F" w:rsidRPr="00BE4D4F" w:rsidRDefault="00BE4D4F" w:rsidP="004674F0">
      <w:pPr>
        <w:spacing w:after="0" w:line="240" w:lineRule="auto"/>
        <w:rPr>
          <w:rFonts w:ascii="Times New Roman" w:eastAsia="Times New Roman" w:hAnsi="Times New Roman" w:cs="Times New Roman"/>
          <w:kern w:val="0"/>
          <w14:ligatures w14:val="none"/>
        </w:rPr>
      </w:pPr>
    </w:p>
    <w:p w14:paraId="4459A3BF" w14:textId="77777777" w:rsidR="00B41904" w:rsidRPr="00BE4D4F" w:rsidRDefault="00B41904" w:rsidP="004674F0">
      <w:pPr>
        <w:spacing w:line="240" w:lineRule="auto"/>
        <w:rPr>
          <w:rFonts w:ascii="Times New Roman" w:hAnsi="Times New Roman" w:cs="Times New Roman"/>
        </w:rPr>
      </w:pPr>
    </w:p>
    <w:sectPr w:rsidR="00B41904" w:rsidRPr="00BE4D4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E901" w14:textId="77777777" w:rsidR="0046028C" w:rsidRDefault="0046028C" w:rsidP="00BE4D4F">
      <w:pPr>
        <w:spacing w:after="0" w:line="240" w:lineRule="auto"/>
      </w:pPr>
      <w:r>
        <w:separator/>
      </w:r>
    </w:p>
  </w:endnote>
  <w:endnote w:type="continuationSeparator" w:id="0">
    <w:p w14:paraId="0654653A" w14:textId="77777777" w:rsidR="0046028C" w:rsidRDefault="0046028C" w:rsidP="00BE4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2365265"/>
      <w:docPartObj>
        <w:docPartGallery w:val="Page Numbers (Bottom of Page)"/>
        <w:docPartUnique/>
      </w:docPartObj>
    </w:sdtPr>
    <w:sdtContent>
      <w:p w14:paraId="71A3C368" w14:textId="5107083D" w:rsidR="00BE4D4F" w:rsidRDefault="00BE4D4F" w:rsidP="00D70C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B609D3" w14:textId="77777777" w:rsidR="00BE4D4F" w:rsidRDefault="00BE4D4F" w:rsidP="00BE4D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7863339"/>
      <w:docPartObj>
        <w:docPartGallery w:val="Page Numbers (Bottom of Page)"/>
        <w:docPartUnique/>
      </w:docPartObj>
    </w:sdtPr>
    <w:sdtContent>
      <w:p w14:paraId="1315460A" w14:textId="732C99AC" w:rsidR="00BE4D4F" w:rsidRDefault="00BE4D4F" w:rsidP="00D70C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B450D20" w14:textId="77777777" w:rsidR="00BE4D4F" w:rsidRDefault="00BE4D4F" w:rsidP="00BE4D4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EB53A" w14:textId="77777777" w:rsidR="0046028C" w:rsidRDefault="0046028C" w:rsidP="00BE4D4F">
      <w:pPr>
        <w:spacing w:after="0" w:line="240" w:lineRule="auto"/>
      </w:pPr>
      <w:r>
        <w:separator/>
      </w:r>
    </w:p>
  </w:footnote>
  <w:footnote w:type="continuationSeparator" w:id="0">
    <w:p w14:paraId="013FF55B" w14:textId="77777777" w:rsidR="0046028C" w:rsidRDefault="0046028C" w:rsidP="00BE4D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4F"/>
    <w:rsid w:val="00143712"/>
    <w:rsid w:val="002C4B73"/>
    <w:rsid w:val="003F70DD"/>
    <w:rsid w:val="0046028C"/>
    <w:rsid w:val="004674F0"/>
    <w:rsid w:val="00677A85"/>
    <w:rsid w:val="008F6EA0"/>
    <w:rsid w:val="00AC0C13"/>
    <w:rsid w:val="00B41904"/>
    <w:rsid w:val="00BE4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1018F"/>
  <w15:chartTrackingRefBased/>
  <w15:docId w15:val="{3B10ECD4-74C2-D344-AD41-D9F8197D3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D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4D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4D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D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D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D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4D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4D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D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D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D4F"/>
    <w:rPr>
      <w:rFonts w:eastAsiaTheme="majorEastAsia" w:cstheme="majorBidi"/>
      <w:color w:val="272727" w:themeColor="text1" w:themeTint="D8"/>
    </w:rPr>
  </w:style>
  <w:style w:type="paragraph" w:styleId="Title">
    <w:name w:val="Title"/>
    <w:basedOn w:val="Normal"/>
    <w:next w:val="Normal"/>
    <w:link w:val="TitleChar"/>
    <w:uiPriority w:val="10"/>
    <w:qFormat/>
    <w:rsid w:val="00BE4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D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D4F"/>
    <w:pPr>
      <w:spacing w:before="160"/>
      <w:jc w:val="center"/>
    </w:pPr>
    <w:rPr>
      <w:i/>
      <w:iCs/>
      <w:color w:val="404040" w:themeColor="text1" w:themeTint="BF"/>
    </w:rPr>
  </w:style>
  <w:style w:type="character" w:customStyle="1" w:styleId="QuoteChar">
    <w:name w:val="Quote Char"/>
    <w:basedOn w:val="DefaultParagraphFont"/>
    <w:link w:val="Quote"/>
    <w:uiPriority w:val="29"/>
    <w:rsid w:val="00BE4D4F"/>
    <w:rPr>
      <w:i/>
      <w:iCs/>
      <w:color w:val="404040" w:themeColor="text1" w:themeTint="BF"/>
    </w:rPr>
  </w:style>
  <w:style w:type="paragraph" w:styleId="ListParagraph">
    <w:name w:val="List Paragraph"/>
    <w:basedOn w:val="Normal"/>
    <w:uiPriority w:val="34"/>
    <w:qFormat/>
    <w:rsid w:val="00BE4D4F"/>
    <w:pPr>
      <w:ind w:left="720"/>
      <w:contextualSpacing/>
    </w:pPr>
  </w:style>
  <w:style w:type="character" w:styleId="IntenseEmphasis">
    <w:name w:val="Intense Emphasis"/>
    <w:basedOn w:val="DefaultParagraphFont"/>
    <w:uiPriority w:val="21"/>
    <w:qFormat/>
    <w:rsid w:val="00BE4D4F"/>
    <w:rPr>
      <w:i/>
      <w:iCs/>
      <w:color w:val="0F4761" w:themeColor="accent1" w:themeShade="BF"/>
    </w:rPr>
  </w:style>
  <w:style w:type="paragraph" w:styleId="IntenseQuote">
    <w:name w:val="Intense Quote"/>
    <w:basedOn w:val="Normal"/>
    <w:next w:val="Normal"/>
    <w:link w:val="IntenseQuoteChar"/>
    <w:uiPriority w:val="30"/>
    <w:qFormat/>
    <w:rsid w:val="00BE4D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D4F"/>
    <w:rPr>
      <w:i/>
      <w:iCs/>
      <w:color w:val="0F4761" w:themeColor="accent1" w:themeShade="BF"/>
    </w:rPr>
  </w:style>
  <w:style w:type="character" w:styleId="IntenseReference">
    <w:name w:val="Intense Reference"/>
    <w:basedOn w:val="DefaultParagraphFont"/>
    <w:uiPriority w:val="32"/>
    <w:qFormat/>
    <w:rsid w:val="00BE4D4F"/>
    <w:rPr>
      <w:b/>
      <w:bCs/>
      <w:smallCaps/>
      <w:color w:val="0F4761" w:themeColor="accent1" w:themeShade="BF"/>
      <w:spacing w:val="5"/>
    </w:rPr>
  </w:style>
  <w:style w:type="paragraph" w:customStyle="1" w:styleId="ds-markdown-paragraph">
    <w:name w:val="ds-markdown-paragraph"/>
    <w:basedOn w:val="Normal"/>
    <w:rsid w:val="00BE4D4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4D4F"/>
    <w:rPr>
      <w:b/>
      <w:bCs/>
    </w:rPr>
  </w:style>
  <w:style w:type="character" w:styleId="Emphasis">
    <w:name w:val="Emphasis"/>
    <w:basedOn w:val="DefaultParagraphFont"/>
    <w:uiPriority w:val="20"/>
    <w:qFormat/>
    <w:rsid w:val="00BE4D4F"/>
    <w:rPr>
      <w:i/>
      <w:iCs/>
    </w:rPr>
  </w:style>
  <w:style w:type="paragraph" w:styleId="Footer">
    <w:name w:val="footer"/>
    <w:basedOn w:val="Normal"/>
    <w:link w:val="FooterChar"/>
    <w:uiPriority w:val="99"/>
    <w:unhideWhenUsed/>
    <w:rsid w:val="00BE4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4F"/>
  </w:style>
  <w:style w:type="character" w:styleId="PageNumber">
    <w:name w:val="page number"/>
    <w:basedOn w:val="DefaultParagraphFont"/>
    <w:uiPriority w:val="99"/>
    <w:semiHidden/>
    <w:unhideWhenUsed/>
    <w:rsid w:val="00BE4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3824</Words>
  <Characters>21799</Characters>
  <Application>Microsoft Office Word</Application>
  <DocSecurity>0</DocSecurity>
  <Lines>181</Lines>
  <Paragraphs>51</Paragraphs>
  <ScaleCrop>false</ScaleCrop>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2026-06-08T09:53:00Z</dcterms:created>
  <dcterms:modified xsi:type="dcterms:W3CDTF">2026-06-08T09:53:00Z</dcterms:modified>
</cp:coreProperties>
</file>