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3D866" w14:textId="77777777" w:rsidR="008A3742" w:rsidRPr="00301E47" w:rsidRDefault="008A3742" w:rsidP="008A3742">
      <w:pPr>
        <w:shd w:val="clear" w:color="auto" w:fill="FFFFFF"/>
        <w:spacing w:before="480" w:after="240" w:line="510" w:lineRule="atLeast"/>
        <w:outlineLvl w:val="0"/>
        <w:rPr>
          <w:rFonts w:ascii="Times New Roman" w:eastAsia="Times New Roman" w:hAnsi="Times New Roman" w:cs="Times New Roman"/>
          <w:b/>
          <w:bCs/>
          <w:color w:val="0F1115"/>
          <w:kern w:val="36"/>
          <w:sz w:val="36"/>
          <w:szCs w:val="36"/>
          <w14:ligatures w14:val="none"/>
        </w:rPr>
      </w:pPr>
      <w:r w:rsidRPr="00301E47">
        <w:rPr>
          <w:rFonts w:ascii="Times New Roman" w:eastAsia="Times New Roman" w:hAnsi="Times New Roman" w:cs="Times New Roman"/>
          <w:b/>
          <w:bCs/>
          <w:color w:val="0F1115"/>
          <w:kern w:val="36"/>
          <w:sz w:val="36"/>
          <w:szCs w:val="36"/>
          <w14:ligatures w14:val="none"/>
        </w:rPr>
        <w:t xml:space="preserve">Nurses' Knowledge, Attitudes, and Practices Regarding Prevention of Post-Operative Complications at </w:t>
      </w:r>
      <w:proofErr w:type="spellStart"/>
      <w:r w:rsidRPr="00301E47">
        <w:rPr>
          <w:rFonts w:ascii="Times New Roman" w:eastAsia="Times New Roman" w:hAnsi="Times New Roman" w:cs="Times New Roman"/>
          <w:b/>
          <w:bCs/>
          <w:color w:val="0F1115"/>
          <w:kern w:val="36"/>
          <w:sz w:val="36"/>
          <w:szCs w:val="36"/>
          <w14:ligatures w14:val="none"/>
        </w:rPr>
        <w:t>Wangata</w:t>
      </w:r>
      <w:proofErr w:type="spellEnd"/>
      <w:r w:rsidRPr="00301E47">
        <w:rPr>
          <w:rFonts w:ascii="Times New Roman" w:eastAsia="Times New Roman" w:hAnsi="Times New Roman" w:cs="Times New Roman"/>
          <w:b/>
          <w:bCs/>
          <w:color w:val="0F1115"/>
          <w:kern w:val="36"/>
          <w:sz w:val="36"/>
          <w:szCs w:val="36"/>
          <w14:ligatures w14:val="none"/>
        </w:rPr>
        <w:t xml:space="preserve"> General Referral Hospital, </w:t>
      </w:r>
      <w:proofErr w:type="spellStart"/>
      <w:r w:rsidRPr="00301E47">
        <w:rPr>
          <w:rFonts w:ascii="Times New Roman" w:eastAsia="Times New Roman" w:hAnsi="Times New Roman" w:cs="Times New Roman"/>
          <w:b/>
          <w:bCs/>
          <w:color w:val="0F1115"/>
          <w:kern w:val="36"/>
          <w:sz w:val="36"/>
          <w:szCs w:val="36"/>
          <w14:ligatures w14:val="none"/>
        </w:rPr>
        <w:t>Mbandaka</w:t>
      </w:r>
      <w:proofErr w:type="spellEnd"/>
      <w:r w:rsidRPr="00301E47">
        <w:rPr>
          <w:rFonts w:ascii="Times New Roman" w:eastAsia="Times New Roman" w:hAnsi="Times New Roman" w:cs="Times New Roman"/>
          <w:b/>
          <w:bCs/>
          <w:color w:val="0F1115"/>
          <w:kern w:val="36"/>
          <w:sz w:val="36"/>
          <w:szCs w:val="36"/>
          <w14:ligatures w14:val="none"/>
        </w:rPr>
        <w:t xml:space="preserve">, Democratic Republic of </w:t>
      </w:r>
      <w:proofErr w:type="gramStart"/>
      <w:r w:rsidRPr="00301E47">
        <w:rPr>
          <w:rFonts w:ascii="Times New Roman" w:eastAsia="Times New Roman" w:hAnsi="Times New Roman" w:cs="Times New Roman"/>
          <w:b/>
          <w:bCs/>
          <w:color w:val="0F1115"/>
          <w:kern w:val="36"/>
          <w:sz w:val="36"/>
          <w:szCs w:val="36"/>
          <w14:ligatures w14:val="none"/>
        </w:rPr>
        <w:t>the Congo</w:t>
      </w:r>
      <w:proofErr w:type="gramEnd"/>
      <w:r w:rsidRPr="00301E47">
        <w:rPr>
          <w:rFonts w:ascii="Times New Roman" w:eastAsia="Times New Roman" w:hAnsi="Times New Roman" w:cs="Times New Roman"/>
          <w:b/>
          <w:bCs/>
          <w:color w:val="0F1115"/>
          <w:kern w:val="36"/>
          <w:sz w:val="36"/>
          <w:szCs w:val="36"/>
          <w14:ligatures w14:val="none"/>
        </w:rPr>
        <w:t>: A Cross-Sectional Study</w:t>
      </w:r>
    </w:p>
    <w:p w14:paraId="5D94298E" w14:textId="0EF8670C" w:rsidR="008A3742" w:rsidRPr="00301E47" w:rsidRDefault="008A3742" w:rsidP="00301E47">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Author:</w:t>
      </w:r>
      <w:r w:rsidRPr="00301E47">
        <w:rPr>
          <w:rFonts w:ascii="Times New Roman" w:eastAsia="Times New Roman" w:hAnsi="Times New Roman" w:cs="Times New Roman"/>
          <w:color w:val="0F1115"/>
          <w:kern w:val="0"/>
          <w14:ligatures w14:val="none"/>
        </w:rPr>
        <w:t> </w:t>
      </w:r>
      <w:proofErr w:type="spellStart"/>
      <w:r w:rsidRPr="00301E47">
        <w:rPr>
          <w:rFonts w:ascii="Times New Roman" w:eastAsia="Times New Roman" w:hAnsi="Times New Roman" w:cs="Times New Roman"/>
          <w:color w:val="0F1115"/>
          <w:kern w:val="0"/>
          <w14:ligatures w14:val="none"/>
        </w:rPr>
        <w:t>Liongo</w:t>
      </w:r>
      <w:proofErr w:type="spellEnd"/>
      <w:r w:rsidRPr="00301E47">
        <w:rPr>
          <w:rFonts w:ascii="Times New Roman" w:eastAsia="Times New Roman" w:hAnsi="Times New Roman" w:cs="Times New Roman"/>
          <w:color w:val="0F1115"/>
          <w:kern w:val="0"/>
          <w14:ligatures w14:val="none"/>
        </w:rPr>
        <w:t xml:space="preserve"> Lokwa </w:t>
      </w:r>
      <w:proofErr w:type="spellStart"/>
      <w:r w:rsidRPr="00301E47">
        <w:rPr>
          <w:rFonts w:ascii="Times New Roman" w:eastAsia="Times New Roman" w:hAnsi="Times New Roman" w:cs="Times New Roman"/>
          <w:color w:val="0F1115"/>
          <w:kern w:val="0"/>
          <w14:ligatures w14:val="none"/>
        </w:rPr>
        <w:t>Riddy</w:t>
      </w:r>
      <w:proofErr w:type="spellEnd"/>
      <w:r w:rsidRPr="00301E47">
        <w:rPr>
          <w:rFonts w:ascii="Times New Roman" w:eastAsia="Times New Roman" w:hAnsi="Times New Roman" w:cs="Times New Roman"/>
          <w:color w:val="0F1115"/>
          <w:kern w:val="0"/>
          <w14:ligatures w14:val="none"/>
        </w:rPr>
        <w:br/>
      </w:r>
      <w:r w:rsidRPr="00301E47">
        <w:rPr>
          <w:rFonts w:ascii="Times New Roman" w:eastAsia="Times New Roman" w:hAnsi="Times New Roman" w:cs="Times New Roman"/>
          <w:b/>
          <w:bCs/>
          <w:color w:val="0F1115"/>
          <w:kern w:val="0"/>
          <w14:ligatures w14:val="none"/>
        </w:rPr>
        <w:t>Affiliation:</w:t>
      </w:r>
      <w:r w:rsidRPr="00301E47">
        <w:rPr>
          <w:rFonts w:ascii="Times New Roman" w:eastAsia="Times New Roman" w:hAnsi="Times New Roman" w:cs="Times New Roman"/>
          <w:color w:val="0F1115"/>
          <w:kern w:val="0"/>
          <w14:ligatures w14:val="none"/>
        </w:rPr>
        <w:t> </w:t>
      </w:r>
      <w:proofErr w:type="spellStart"/>
      <w:r w:rsidRPr="00301E47">
        <w:rPr>
          <w:rFonts w:ascii="Times New Roman" w:eastAsia="Times New Roman" w:hAnsi="Times New Roman" w:cs="Times New Roman"/>
          <w:color w:val="0F1115"/>
          <w:kern w:val="0"/>
          <w14:ligatures w14:val="none"/>
        </w:rPr>
        <w:t>Institut</w:t>
      </w:r>
      <w:proofErr w:type="spellEnd"/>
      <w:r w:rsidRPr="00301E47">
        <w:rPr>
          <w:rFonts w:ascii="Times New Roman" w:eastAsia="Times New Roman" w:hAnsi="Times New Roman" w:cs="Times New Roman"/>
          <w:color w:val="0F1115"/>
          <w:kern w:val="0"/>
          <w14:ligatures w14:val="none"/>
        </w:rPr>
        <w:t xml:space="preserve"> Supérieur des Techniques </w:t>
      </w:r>
      <w:proofErr w:type="spellStart"/>
      <w:r w:rsidRPr="00301E47">
        <w:rPr>
          <w:rFonts w:ascii="Times New Roman" w:eastAsia="Times New Roman" w:hAnsi="Times New Roman" w:cs="Times New Roman"/>
          <w:color w:val="0F1115"/>
          <w:kern w:val="0"/>
          <w14:ligatures w14:val="none"/>
        </w:rPr>
        <w:t>Médicales</w:t>
      </w:r>
      <w:proofErr w:type="spellEnd"/>
      <w:r w:rsidRPr="00301E47">
        <w:rPr>
          <w:rFonts w:ascii="Times New Roman" w:eastAsia="Times New Roman" w:hAnsi="Times New Roman" w:cs="Times New Roman"/>
          <w:color w:val="0F1115"/>
          <w:kern w:val="0"/>
          <w14:ligatures w14:val="none"/>
        </w:rPr>
        <w:t xml:space="preserve"> (ISTM), </w:t>
      </w:r>
      <w:proofErr w:type="spellStart"/>
      <w:r w:rsidRPr="00301E47">
        <w:rPr>
          <w:rFonts w:ascii="Times New Roman" w:eastAsia="Times New Roman" w:hAnsi="Times New Roman" w:cs="Times New Roman"/>
          <w:color w:val="0F1115"/>
          <w:kern w:val="0"/>
          <w14:ligatures w14:val="none"/>
        </w:rPr>
        <w:t>Mbandaka</w:t>
      </w:r>
      <w:proofErr w:type="spellEnd"/>
      <w:r w:rsidRPr="00301E47">
        <w:rPr>
          <w:rFonts w:ascii="Times New Roman" w:eastAsia="Times New Roman" w:hAnsi="Times New Roman" w:cs="Times New Roman"/>
          <w:color w:val="0F1115"/>
          <w:kern w:val="0"/>
          <w14:ligatures w14:val="none"/>
        </w:rPr>
        <w:t>, Democratic Republic of the Congo</w:t>
      </w:r>
      <w:r w:rsidRPr="00301E47">
        <w:rPr>
          <w:rFonts w:ascii="Times New Roman" w:eastAsia="Times New Roman" w:hAnsi="Times New Roman" w:cs="Times New Roman"/>
          <w:color w:val="0F1115"/>
          <w:kern w:val="0"/>
          <w14:ligatures w14:val="none"/>
        </w:rPr>
        <w:br/>
      </w:r>
      <w:r w:rsidRPr="00301E47">
        <w:rPr>
          <w:rFonts w:ascii="Times New Roman" w:eastAsia="Times New Roman" w:hAnsi="Times New Roman" w:cs="Times New Roman"/>
          <w:b/>
          <w:bCs/>
          <w:color w:val="0F1115"/>
          <w:kern w:val="0"/>
          <w14:ligatures w14:val="none"/>
        </w:rPr>
        <w:t>Program:</w:t>
      </w:r>
      <w:r w:rsidRPr="00301E47">
        <w:rPr>
          <w:rFonts w:ascii="Times New Roman" w:eastAsia="Times New Roman" w:hAnsi="Times New Roman" w:cs="Times New Roman"/>
          <w:color w:val="0F1115"/>
          <w:kern w:val="0"/>
          <w14:ligatures w14:val="none"/>
        </w:rPr>
        <w:t> </w:t>
      </w:r>
      <w:proofErr w:type="gramStart"/>
      <w:r w:rsidRPr="00301E47">
        <w:rPr>
          <w:rFonts w:ascii="Times New Roman" w:eastAsia="Times New Roman" w:hAnsi="Times New Roman" w:cs="Times New Roman"/>
          <w:color w:val="0F1115"/>
          <w:kern w:val="0"/>
          <w14:ligatures w14:val="none"/>
        </w:rPr>
        <w:t>Master in Nursing Sciences</w:t>
      </w:r>
      <w:proofErr w:type="gramEnd"/>
      <w:r w:rsidRPr="00301E47">
        <w:rPr>
          <w:rFonts w:ascii="Times New Roman" w:eastAsia="Times New Roman" w:hAnsi="Times New Roman" w:cs="Times New Roman"/>
          <w:color w:val="0F1115"/>
          <w:kern w:val="0"/>
          <w14:ligatures w14:val="none"/>
        </w:rPr>
        <w:t xml:space="preserve"> – Medical and Surgical Nursing</w:t>
      </w:r>
      <w:r w:rsidRPr="00301E47">
        <w:rPr>
          <w:rFonts w:ascii="Times New Roman" w:eastAsia="Times New Roman" w:hAnsi="Times New Roman" w:cs="Times New Roman"/>
          <w:color w:val="0F1115"/>
          <w:kern w:val="0"/>
          <w14:ligatures w14:val="none"/>
        </w:rPr>
        <w:br/>
      </w:r>
      <w:r w:rsidRPr="00301E47">
        <w:rPr>
          <w:rFonts w:ascii="Times New Roman" w:eastAsia="Times New Roman" w:hAnsi="Times New Roman" w:cs="Times New Roman"/>
          <w:b/>
          <w:bCs/>
          <w:color w:val="0F1115"/>
          <w:kern w:val="0"/>
          <w14:ligatures w14:val="none"/>
        </w:rPr>
        <w:t>Director:</w:t>
      </w:r>
      <w:r w:rsidRPr="00301E47">
        <w:rPr>
          <w:rFonts w:ascii="Times New Roman" w:eastAsia="Times New Roman" w:hAnsi="Times New Roman" w:cs="Times New Roman"/>
          <w:color w:val="0F1115"/>
          <w:kern w:val="0"/>
          <w14:ligatures w14:val="none"/>
        </w:rPr>
        <w:t> Professor Mukaya Tshibola Jean</w:t>
      </w:r>
      <w:r w:rsidRPr="00301E47">
        <w:rPr>
          <w:rFonts w:ascii="Times New Roman" w:eastAsia="Times New Roman" w:hAnsi="Times New Roman" w:cs="Times New Roman"/>
          <w:color w:val="0F1115"/>
          <w:kern w:val="0"/>
          <w14:ligatures w14:val="none"/>
        </w:rPr>
        <w:br/>
      </w:r>
      <w:r w:rsidRPr="00301E47">
        <w:rPr>
          <w:rFonts w:ascii="Times New Roman" w:eastAsia="Times New Roman" w:hAnsi="Times New Roman" w:cs="Times New Roman"/>
          <w:b/>
          <w:bCs/>
          <w:color w:val="0F1115"/>
          <w:kern w:val="0"/>
          <w14:ligatures w14:val="none"/>
        </w:rPr>
        <w:t>Co-Director:</w:t>
      </w:r>
      <w:r w:rsidRPr="00301E47">
        <w:rPr>
          <w:rFonts w:ascii="Times New Roman" w:eastAsia="Times New Roman" w:hAnsi="Times New Roman" w:cs="Times New Roman"/>
          <w:color w:val="0F1115"/>
          <w:kern w:val="0"/>
          <w14:ligatures w14:val="none"/>
        </w:rPr>
        <w:t xml:space="preserve"> CT </w:t>
      </w:r>
      <w:proofErr w:type="spellStart"/>
      <w:r w:rsidRPr="00301E47">
        <w:rPr>
          <w:rFonts w:ascii="Times New Roman" w:eastAsia="Times New Roman" w:hAnsi="Times New Roman" w:cs="Times New Roman"/>
          <w:color w:val="0F1115"/>
          <w:kern w:val="0"/>
          <w14:ligatures w14:val="none"/>
        </w:rPr>
        <w:t>Doctorante</w:t>
      </w:r>
      <w:proofErr w:type="spellEnd"/>
      <w:r w:rsidRPr="00301E47">
        <w:rPr>
          <w:rFonts w:ascii="Times New Roman" w:eastAsia="Times New Roman" w:hAnsi="Times New Roman" w:cs="Times New Roman"/>
          <w:color w:val="0F1115"/>
          <w:kern w:val="0"/>
          <w14:ligatures w14:val="none"/>
        </w:rPr>
        <w:t xml:space="preserve"> </w:t>
      </w:r>
      <w:proofErr w:type="spellStart"/>
      <w:r w:rsidRPr="00301E47">
        <w:rPr>
          <w:rFonts w:ascii="Times New Roman" w:eastAsia="Times New Roman" w:hAnsi="Times New Roman" w:cs="Times New Roman"/>
          <w:color w:val="0F1115"/>
          <w:kern w:val="0"/>
          <w14:ligatures w14:val="none"/>
        </w:rPr>
        <w:t>Sebuana</w:t>
      </w:r>
      <w:proofErr w:type="spellEnd"/>
      <w:r w:rsidRPr="00301E47">
        <w:rPr>
          <w:rFonts w:ascii="Times New Roman" w:eastAsia="Times New Roman" w:hAnsi="Times New Roman" w:cs="Times New Roman"/>
          <w:color w:val="0F1115"/>
          <w:kern w:val="0"/>
          <w14:ligatures w14:val="none"/>
        </w:rPr>
        <w:t xml:space="preserve"> Christine</w:t>
      </w:r>
      <w:r w:rsidRPr="00301E47">
        <w:rPr>
          <w:rFonts w:ascii="Times New Roman" w:eastAsia="Times New Roman" w:hAnsi="Times New Roman" w:cs="Times New Roman"/>
          <w:color w:val="0F1115"/>
          <w:kern w:val="0"/>
          <w14:ligatures w14:val="none"/>
        </w:rPr>
        <w:br/>
      </w:r>
      <w:r w:rsidRPr="00301E47">
        <w:rPr>
          <w:rFonts w:ascii="Times New Roman" w:eastAsia="Times New Roman" w:hAnsi="Times New Roman" w:cs="Times New Roman"/>
          <w:b/>
          <w:bCs/>
          <w:color w:val="0F1115"/>
          <w:kern w:val="0"/>
          <w14:ligatures w14:val="none"/>
        </w:rPr>
        <w:t>Academic Year:</w:t>
      </w:r>
      <w:r w:rsidRPr="00301E47">
        <w:rPr>
          <w:rFonts w:ascii="Times New Roman" w:eastAsia="Times New Roman" w:hAnsi="Times New Roman" w:cs="Times New Roman"/>
          <w:color w:val="0F1115"/>
          <w:kern w:val="0"/>
          <w14:ligatures w14:val="none"/>
        </w:rPr>
        <w:t> 2024–2025</w:t>
      </w:r>
    </w:p>
    <w:p w14:paraId="180B0D2C" w14:textId="77777777" w:rsidR="008A3742" w:rsidRPr="00301E47" w:rsidRDefault="008A3742" w:rsidP="008A3742">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301E47">
        <w:rPr>
          <w:rFonts w:ascii="Times New Roman" w:eastAsia="Times New Roman" w:hAnsi="Times New Roman" w:cs="Times New Roman"/>
          <w:b/>
          <w:bCs/>
          <w:color w:val="0F1115"/>
          <w:kern w:val="0"/>
          <w:sz w:val="33"/>
          <w:szCs w:val="33"/>
          <w14:ligatures w14:val="none"/>
        </w:rPr>
        <w:t>Abstract</w:t>
      </w:r>
    </w:p>
    <w:p w14:paraId="7B0509A0"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Introduction:</w:t>
      </w:r>
      <w:r w:rsidRPr="00301E47">
        <w:rPr>
          <w:rFonts w:ascii="Times New Roman" w:eastAsia="Times New Roman" w:hAnsi="Times New Roman" w:cs="Times New Roman"/>
          <w:color w:val="0F1115"/>
          <w:kern w:val="0"/>
          <w14:ligatures w14:val="none"/>
        </w:rPr>
        <w:t xml:space="preserve"> Post-operative complications (POCs) remain a major public health concern worldwide, contributing significantly to patient morbidity, mortality, and healthcare costs. Nurses play a central role in post-operative surveillance and prevention. However, in resource-limited settings such as the Democratic Republic of the Congo (DRC), gaps in knowledge, attitudes, and practices (KAP) may compromise patient safety. This study assessed nurses' KAP regarding prevention of POCs at </w:t>
      </w:r>
      <w:proofErr w:type="spellStart"/>
      <w:r w:rsidRPr="00301E47">
        <w:rPr>
          <w:rFonts w:ascii="Times New Roman" w:eastAsia="Times New Roman" w:hAnsi="Times New Roman" w:cs="Times New Roman"/>
          <w:color w:val="0F1115"/>
          <w:kern w:val="0"/>
          <w14:ligatures w14:val="none"/>
        </w:rPr>
        <w:t>Wangata</w:t>
      </w:r>
      <w:proofErr w:type="spellEnd"/>
      <w:r w:rsidRPr="00301E47">
        <w:rPr>
          <w:rFonts w:ascii="Times New Roman" w:eastAsia="Times New Roman" w:hAnsi="Times New Roman" w:cs="Times New Roman"/>
          <w:color w:val="0F1115"/>
          <w:kern w:val="0"/>
          <w14:ligatures w14:val="none"/>
        </w:rPr>
        <w:t xml:space="preserve"> General Referral Hospital (HGR </w:t>
      </w:r>
      <w:proofErr w:type="spellStart"/>
      <w:r w:rsidRPr="00301E47">
        <w:rPr>
          <w:rFonts w:ascii="Times New Roman" w:eastAsia="Times New Roman" w:hAnsi="Times New Roman" w:cs="Times New Roman"/>
          <w:color w:val="0F1115"/>
          <w:kern w:val="0"/>
          <w14:ligatures w14:val="none"/>
        </w:rPr>
        <w:t>Wangata</w:t>
      </w:r>
      <w:proofErr w:type="spellEnd"/>
      <w:r w:rsidRPr="00301E47">
        <w:rPr>
          <w:rFonts w:ascii="Times New Roman" w:eastAsia="Times New Roman" w:hAnsi="Times New Roman" w:cs="Times New Roman"/>
          <w:color w:val="0F1115"/>
          <w:kern w:val="0"/>
          <w14:ligatures w14:val="none"/>
        </w:rPr>
        <w:t xml:space="preserve">) in </w:t>
      </w:r>
      <w:proofErr w:type="spellStart"/>
      <w:r w:rsidRPr="00301E47">
        <w:rPr>
          <w:rFonts w:ascii="Times New Roman" w:eastAsia="Times New Roman" w:hAnsi="Times New Roman" w:cs="Times New Roman"/>
          <w:color w:val="0F1115"/>
          <w:kern w:val="0"/>
          <w14:ligatures w14:val="none"/>
        </w:rPr>
        <w:t>Mbandaka</w:t>
      </w:r>
      <w:proofErr w:type="spellEnd"/>
      <w:r w:rsidRPr="00301E47">
        <w:rPr>
          <w:rFonts w:ascii="Times New Roman" w:eastAsia="Times New Roman" w:hAnsi="Times New Roman" w:cs="Times New Roman"/>
          <w:color w:val="0F1115"/>
          <w:kern w:val="0"/>
          <w14:ligatures w14:val="none"/>
        </w:rPr>
        <w:t>.</w:t>
      </w:r>
    </w:p>
    <w:p w14:paraId="0B4F4B9E"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Methods:</w:t>
      </w:r>
      <w:r w:rsidRPr="00301E47">
        <w:rPr>
          <w:rFonts w:ascii="Times New Roman" w:eastAsia="Times New Roman" w:hAnsi="Times New Roman" w:cs="Times New Roman"/>
          <w:color w:val="0F1115"/>
          <w:kern w:val="0"/>
          <w14:ligatures w14:val="none"/>
        </w:rPr>
        <w:t xml:space="preserve"> A cross-sectional descriptive study was conducted from January to October 2025 among 157 nurses working in surgical, intensive care, emergency, and internal medicine departments at HGR </w:t>
      </w:r>
      <w:proofErr w:type="spellStart"/>
      <w:r w:rsidRPr="00301E47">
        <w:rPr>
          <w:rFonts w:ascii="Times New Roman" w:eastAsia="Times New Roman" w:hAnsi="Times New Roman" w:cs="Times New Roman"/>
          <w:color w:val="0F1115"/>
          <w:kern w:val="0"/>
          <w14:ligatures w14:val="none"/>
        </w:rPr>
        <w:t>Wangata</w:t>
      </w:r>
      <w:proofErr w:type="spellEnd"/>
      <w:r w:rsidRPr="00301E47">
        <w:rPr>
          <w:rFonts w:ascii="Times New Roman" w:eastAsia="Times New Roman" w:hAnsi="Times New Roman" w:cs="Times New Roman"/>
          <w:color w:val="0F1115"/>
          <w:kern w:val="0"/>
          <w14:ligatures w14:val="none"/>
        </w:rPr>
        <w:t>. A structured questionnaire was administered following a pretest. Data were analyzed using descriptive statistics and chi-square tests (SPSS version 25). Statistical significance was set at p &lt; 0.05.</w:t>
      </w:r>
    </w:p>
    <w:p w14:paraId="7C14B60D"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lastRenderedPageBreak/>
        <w:t>Results:</w:t>
      </w:r>
      <w:r w:rsidRPr="00301E47">
        <w:rPr>
          <w:rFonts w:ascii="Times New Roman" w:eastAsia="Times New Roman" w:hAnsi="Times New Roman" w:cs="Times New Roman"/>
          <w:color w:val="0F1115"/>
          <w:kern w:val="0"/>
          <w14:ligatures w14:val="none"/>
        </w:rPr>
        <w:t xml:space="preserve"> The sample was predominantly male (60%) and highly experienced (35% had ≥25 years of experience). However, only 10% had participated in continuing education. Bleeding was the most frequently encountered complication (75.2%), followed by infection (5.1%). Antibiotic prophylaxis was the </w:t>
      </w:r>
      <w:proofErr w:type="gramStart"/>
      <w:r w:rsidRPr="00301E47">
        <w:rPr>
          <w:rFonts w:ascii="Times New Roman" w:eastAsia="Times New Roman" w:hAnsi="Times New Roman" w:cs="Times New Roman"/>
          <w:color w:val="0F1115"/>
          <w:kern w:val="0"/>
          <w14:ligatures w14:val="none"/>
        </w:rPr>
        <w:t>most commonly used</w:t>
      </w:r>
      <w:proofErr w:type="gramEnd"/>
      <w:r w:rsidRPr="00301E47">
        <w:rPr>
          <w:rFonts w:ascii="Times New Roman" w:eastAsia="Times New Roman" w:hAnsi="Times New Roman" w:cs="Times New Roman"/>
          <w:color w:val="0F1115"/>
          <w:kern w:val="0"/>
          <w14:ligatures w14:val="none"/>
        </w:rPr>
        <w:t xml:space="preserve"> preventive method (45.2%), while hand hygiene (24.2%) and patient education (20.3%) were underutilized. Wound assessment was primarily performed via regular visual inspection (59.9%), with less emphasis on pain assessment (29.9%). Significant associations were found between clinical practices and age (χ² = 54.55, p &lt; 0.001), gender (χ² = 20.91, p &lt; 0.001), years of experience (χ² = 66.62, p &lt; 0.001), and education level (χ² = 66.62, p &lt; 0.001). Most nurses (94.9%) recognized patient education as very important, yet its implementation remained limited.</w:t>
      </w:r>
    </w:p>
    <w:p w14:paraId="4198FFC4"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Conclusion:</w:t>
      </w:r>
      <w:r w:rsidRPr="00301E47">
        <w:rPr>
          <w:rFonts w:ascii="Times New Roman" w:eastAsia="Times New Roman" w:hAnsi="Times New Roman" w:cs="Times New Roman"/>
          <w:color w:val="0F1115"/>
          <w:kern w:val="0"/>
          <w14:ligatures w14:val="none"/>
        </w:rPr>
        <w:t xml:space="preserve"> While nurses at HGR </w:t>
      </w:r>
      <w:proofErr w:type="spellStart"/>
      <w:r w:rsidRPr="00301E47">
        <w:rPr>
          <w:rFonts w:ascii="Times New Roman" w:eastAsia="Times New Roman" w:hAnsi="Times New Roman" w:cs="Times New Roman"/>
          <w:color w:val="0F1115"/>
          <w:kern w:val="0"/>
          <w14:ligatures w14:val="none"/>
        </w:rPr>
        <w:t>Wangata</w:t>
      </w:r>
      <w:proofErr w:type="spellEnd"/>
      <w:r w:rsidRPr="00301E47">
        <w:rPr>
          <w:rFonts w:ascii="Times New Roman" w:eastAsia="Times New Roman" w:hAnsi="Times New Roman" w:cs="Times New Roman"/>
          <w:color w:val="0F1115"/>
          <w:kern w:val="0"/>
          <w14:ligatures w14:val="none"/>
        </w:rPr>
        <w:t xml:space="preserve"> possess substantial clinical experience, significant gaps exist in continuing education, adoption of non-pharmacological preventive measures, and patient education practices. Heterogeneity in clinical practices underscores the need for standardized protocols, regular training, and institutional support for evidence-based nursing care.</w:t>
      </w:r>
    </w:p>
    <w:p w14:paraId="2598E363" w14:textId="01394F92"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Keywords:</w:t>
      </w:r>
      <w:r w:rsidRPr="00301E47">
        <w:rPr>
          <w:rFonts w:ascii="Times New Roman" w:eastAsia="Times New Roman" w:hAnsi="Times New Roman" w:cs="Times New Roman"/>
          <w:color w:val="0F1115"/>
          <w:kern w:val="0"/>
          <w14:ligatures w14:val="none"/>
        </w:rPr>
        <w:t xml:space="preserve"> Post-operative complications, nurses, knowledge, attitudes, practices, prevention, Democratic Republic of Congo, </w:t>
      </w:r>
      <w:proofErr w:type="spellStart"/>
      <w:r w:rsidRPr="00301E47">
        <w:rPr>
          <w:rFonts w:ascii="Times New Roman" w:eastAsia="Times New Roman" w:hAnsi="Times New Roman" w:cs="Times New Roman"/>
          <w:color w:val="0F1115"/>
          <w:kern w:val="0"/>
          <w14:ligatures w14:val="none"/>
        </w:rPr>
        <w:t>Mbandaka</w:t>
      </w:r>
      <w:proofErr w:type="spellEnd"/>
    </w:p>
    <w:p w14:paraId="4F76F9CC" w14:textId="77777777" w:rsidR="008A3742" w:rsidRPr="00301E47" w:rsidRDefault="008A3742" w:rsidP="008A3742">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301E47">
        <w:rPr>
          <w:rFonts w:ascii="Times New Roman" w:eastAsia="Times New Roman" w:hAnsi="Times New Roman" w:cs="Times New Roman"/>
          <w:b/>
          <w:bCs/>
          <w:color w:val="0F1115"/>
          <w:kern w:val="0"/>
          <w:sz w:val="33"/>
          <w:szCs w:val="33"/>
          <w14:ligatures w14:val="none"/>
        </w:rPr>
        <w:t>1. Introduction</w:t>
      </w:r>
    </w:p>
    <w:p w14:paraId="2259D3C3"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1.1. Background</w:t>
      </w:r>
    </w:p>
    <w:p w14:paraId="6B1DB2B5"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Post-operative complications (POCs) are defined as any adverse events occurring after a surgical intervention, ranging from wound infections and bleeding to thromboembolic events and respiratory failure (Kumar &amp; Singh, 2019). Globally, approximately 16% of surgical patients develop at least one post-operative complication, according to the Global Surgery Collaborative (2022). These complications prolong hospital stays, increase healthcare costs, and contribute significantly to post-operative morbidity and mortality (World Health Organization [WHO], 2016).</w:t>
      </w:r>
    </w:p>
    <w:p w14:paraId="6D5DC5E8"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lastRenderedPageBreak/>
        <w:t xml:space="preserve">In high-income countries, advances in surgical techniques, infection control, and post-operative monitoring have reduced complication rates. However, in low- and middle-income countries (LMICs), including those in sub-Saharan Africa, POCs remain more frequent due to limited resources, inadequate infrastructure, shortages of qualified personnel, and inconsistent adherence to standardized protocols (Nguyen &amp; Adeyemi, 2018; </w:t>
      </w:r>
      <w:proofErr w:type="spellStart"/>
      <w:r w:rsidRPr="00301E47">
        <w:rPr>
          <w:rFonts w:ascii="Times New Roman" w:eastAsia="Times New Roman" w:hAnsi="Times New Roman" w:cs="Times New Roman"/>
          <w:color w:val="0F1115"/>
          <w:kern w:val="0"/>
          <w14:ligatures w14:val="none"/>
        </w:rPr>
        <w:t>Chichom</w:t>
      </w:r>
      <w:proofErr w:type="spellEnd"/>
      <w:r w:rsidRPr="00301E47">
        <w:rPr>
          <w:rFonts w:ascii="Times New Roman" w:eastAsia="Times New Roman" w:hAnsi="Times New Roman" w:cs="Times New Roman"/>
          <w:color w:val="0F1115"/>
          <w:kern w:val="0"/>
          <w14:ligatures w14:val="none"/>
        </w:rPr>
        <w:t>-Mefire et al., 2015).</w:t>
      </w:r>
    </w:p>
    <w:p w14:paraId="417E54BC"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Nurses are at the forefront of post-operative care. Their knowledge of risk factors, attitudes toward preventive measures, and clinical practices directly influence patient outcomes (WHO, 2021). The Centers for Disease Control and Prevention (CDC, 2023) and the WHO (2016) have emphasized that proper hand hygiene, wound care, patient education, and early detection of warning signs are essential components of effective post-operative nursing care.</w:t>
      </w:r>
    </w:p>
    <w:p w14:paraId="26858917"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1.2. Problem Statement</w:t>
      </w:r>
    </w:p>
    <w:p w14:paraId="6BE8F432"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 xml:space="preserve">In the Democratic Republic of the Congo (DRC), the health system faces numerous challenges: insufficient infrastructure, shortages of medical supplies, and limited continuing education for healthcare workers (Mukendi &amp; Kabila, 2021). At the </w:t>
      </w:r>
      <w:proofErr w:type="spellStart"/>
      <w:r w:rsidRPr="00301E47">
        <w:rPr>
          <w:rFonts w:ascii="Times New Roman" w:eastAsia="Times New Roman" w:hAnsi="Times New Roman" w:cs="Times New Roman"/>
          <w:color w:val="0F1115"/>
          <w:kern w:val="0"/>
          <w14:ligatures w14:val="none"/>
        </w:rPr>
        <w:t>Hôpital</w:t>
      </w:r>
      <w:proofErr w:type="spellEnd"/>
      <w:r w:rsidRPr="00301E47">
        <w:rPr>
          <w:rFonts w:ascii="Times New Roman" w:eastAsia="Times New Roman" w:hAnsi="Times New Roman" w:cs="Times New Roman"/>
          <w:color w:val="0F1115"/>
          <w:kern w:val="0"/>
          <w14:ligatures w14:val="none"/>
        </w:rPr>
        <w:t xml:space="preserve"> </w:t>
      </w:r>
      <w:proofErr w:type="spellStart"/>
      <w:r w:rsidRPr="00301E47">
        <w:rPr>
          <w:rFonts w:ascii="Times New Roman" w:eastAsia="Times New Roman" w:hAnsi="Times New Roman" w:cs="Times New Roman"/>
          <w:color w:val="0F1115"/>
          <w:kern w:val="0"/>
          <w14:ligatures w14:val="none"/>
        </w:rPr>
        <w:t>Général</w:t>
      </w:r>
      <w:proofErr w:type="spellEnd"/>
      <w:r w:rsidRPr="00301E47">
        <w:rPr>
          <w:rFonts w:ascii="Times New Roman" w:eastAsia="Times New Roman" w:hAnsi="Times New Roman" w:cs="Times New Roman"/>
          <w:color w:val="0F1115"/>
          <w:kern w:val="0"/>
          <w14:ligatures w14:val="none"/>
        </w:rPr>
        <w:t xml:space="preserve"> de </w:t>
      </w:r>
      <w:proofErr w:type="spellStart"/>
      <w:r w:rsidRPr="00301E47">
        <w:rPr>
          <w:rFonts w:ascii="Times New Roman" w:eastAsia="Times New Roman" w:hAnsi="Times New Roman" w:cs="Times New Roman"/>
          <w:color w:val="0F1115"/>
          <w:kern w:val="0"/>
          <w14:ligatures w14:val="none"/>
        </w:rPr>
        <w:t>Référence</w:t>
      </w:r>
      <w:proofErr w:type="spellEnd"/>
      <w:r w:rsidRPr="00301E47">
        <w:rPr>
          <w:rFonts w:ascii="Times New Roman" w:eastAsia="Times New Roman" w:hAnsi="Times New Roman" w:cs="Times New Roman"/>
          <w:color w:val="0F1115"/>
          <w:kern w:val="0"/>
          <w14:ligatures w14:val="none"/>
        </w:rPr>
        <w:t xml:space="preserve"> (HGR) </w:t>
      </w:r>
      <w:proofErr w:type="spellStart"/>
      <w:r w:rsidRPr="00301E47">
        <w:rPr>
          <w:rFonts w:ascii="Times New Roman" w:eastAsia="Times New Roman" w:hAnsi="Times New Roman" w:cs="Times New Roman"/>
          <w:color w:val="0F1115"/>
          <w:kern w:val="0"/>
          <w14:ligatures w14:val="none"/>
        </w:rPr>
        <w:t>Wangata</w:t>
      </w:r>
      <w:proofErr w:type="spellEnd"/>
      <w:r w:rsidRPr="00301E47">
        <w:rPr>
          <w:rFonts w:ascii="Times New Roman" w:eastAsia="Times New Roman" w:hAnsi="Times New Roman" w:cs="Times New Roman"/>
          <w:color w:val="0F1115"/>
          <w:kern w:val="0"/>
          <w14:ligatures w14:val="none"/>
        </w:rPr>
        <w:t xml:space="preserve"> in </w:t>
      </w:r>
      <w:proofErr w:type="spellStart"/>
      <w:r w:rsidRPr="00301E47">
        <w:rPr>
          <w:rFonts w:ascii="Times New Roman" w:eastAsia="Times New Roman" w:hAnsi="Times New Roman" w:cs="Times New Roman"/>
          <w:color w:val="0F1115"/>
          <w:kern w:val="0"/>
          <w14:ligatures w14:val="none"/>
        </w:rPr>
        <w:t>Mbandaka</w:t>
      </w:r>
      <w:proofErr w:type="spellEnd"/>
      <w:r w:rsidRPr="00301E47">
        <w:rPr>
          <w:rFonts w:ascii="Times New Roman" w:eastAsia="Times New Roman" w:hAnsi="Times New Roman" w:cs="Times New Roman"/>
          <w:color w:val="0F1115"/>
          <w:kern w:val="0"/>
          <w14:ligatures w14:val="none"/>
        </w:rPr>
        <w:t>, these challenges are particularly pronounced. Despite the critical role of nurses in post-operative care, no recent study has systematically evaluated their knowledge, attitudes, and practices (KAP) regarding prevention of post-operative complications.</w:t>
      </w:r>
    </w:p>
    <w:p w14:paraId="62ED0EE2"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This study therefore sought to answer the research question: </w:t>
      </w:r>
      <w:r w:rsidRPr="00301E47">
        <w:rPr>
          <w:rFonts w:ascii="Times New Roman" w:eastAsia="Times New Roman" w:hAnsi="Times New Roman" w:cs="Times New Roman"/>
          <w:b/>
          <w:bCs/>
          <w:color w:val="0F1115"/>
          <w:kern w:val="0"/>
          <w14:ligatures w14:val="none"/>
        </w:rPr>
        <w:t xml:space="preserve">What is the level of knowledge, what are the attitudes, and what are the practices of nurses regarding the prevention of post-operative complications at HGR </w:t>
      </w:r>
      <w:proofErr w:type="spellStart"/>
      <w:r w:rsidRPr="00301E47">
        <w:rPr>
          <w:rFonts w:ascii="Times New Roman" w:eastAsia="Times New Roman" w:hAnsi="Times New Roman" w:cs="Times New Roman"/>
          <w:b/>
          <w:bCs/>
          <w:color w:val="0F1115"/>
          <w:kern w:val="0"/>
          <w14:ligatures w14:val="none"/>
        </w:rPr>
        <w:t>Wangata</w:t>
      </w:r>
      <w:proofErr w:type="spellEnd"/>
      <w:r w:rsidRPr="00301E47">
        <w:rPr>
          <w:rFonts w:ascii="Times New Roman" w:eastAsia="Times New Roman" w:hAnsi="Times New Roman" w:cs="Times New Roman"/>
          <w:b/>
          <w:bCs/>
          <w:color w:val="0F1115"/>
          <w:kern w:val="0"/>
          <w14:ligatures w14:val="none"/>
        </w:rPr>
        <w:t>?</w:t>
      </w:r>
    </w:p>
    <w:p w14:paraId="3B60E385"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1.3. Objectives</w:t>
      </w:r>
    </w:p>
    <w:p w14:paraId="0F0542FB"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General objective:</w:t>
      </w:r>
      <w:r w:rsidRPr="00301E47">
        <w:rPr>
          <w:rFonts w:ascii="Times New Roman" w:eastAsia="Times New Roman" w:hAnsi="Times New Roman" w:cs="Times New Roman"/>
          <w:color w:val="0F1115"/>
          <w:kern w:val="0"/>
          <w14:ligatures w14:val="none"/>
        </w:rPr>
        <w:t xml:space="preserve"> To analyze nurses' knowledge, attitudes, and practices regarding the prevention of post-operative complications at HGR </w:t>
      </w:r>
      <w:proofErr w:type="spellStart"/>
      <w:r w:rsidRPr="00301E47">
        <w:rPr>
          <w:rFonts w:ascii="Times New Roman" w:eastAsia="Times New Roman" w:hAnsi="Times New Roman" w:cs="Times New Roman"/>
          <w:color w:val="0F1115"/>
          <w:kern w:val="0"/>
          <w14:ligatures w14:val="none"/>
        </w:rPr>
        <w:t>Wangata</w:t>
      </w:r>
      <w:proofErr w:type="spellEnd"/>
      <w:r w:rsidRPr="00301E47">
        <w:rPr>
          <w:rFonts w:ascii="Times New Roman" w:eastAsia="Times New Roman" w:hAnsi="Times New Roman" w:cs="Times New Roman"/>
          <w:color w:val="0F1115"/>
          <w:kern w:val="0"/>
          <w14:ligatures w14:val="none"/>
        </w:rPr>
        <w:t>.</w:t>
      </w:r>
    </w:p>
    <w:p w14:paraId="57E74C9B"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Specific objectives:</w:t>
      </w:r>
    </w:p>
    <w:p w14:paraId="5F72C3B4" w14:textId="77777777" w:rsidR="008A3742" w:rsidRPr="00301E47" w:rsidRDefault="008A3742" w:rsidP="008A3742">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lastRenderedPageBreak/>
        <w:t>To assess nurses' level of knowledge regarding prevention of post-operative complications.</w:t>
      </w:r>
    </w:p>
    <w:p w14:paraId="50CAB1B9" w14:textId="77777777" w:rsidR="008A3742" w:rsidRPr="00301E47" w:rsidRDefault="008A3742" w:rsidP="008A3742">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To analyze nurses' attitudes toward preventive measures.</w:t>
      </w:r>
    </w:p>
    <w:p w14:paraId="0B10DE2D" w14:textId="77777777" w:rsidR="008A3742" w:rsidRPr="00301E47" w:rsidRDefault="008A3742" w:rsidP="008A3742">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To describe the professional practices implemented by nurses in post-operative complication prevention.</w:t>
      </w:r>
    </w:p>
    <w:p w14:paraId="21282144" w14:textId="77777777" w:rsidR="008A3742" w:rsidRPr="00301E47" w:rsidRDefault="008A3742" w:rsidP="008A3742">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To identify factors that facilitate or hinder the implementation of these practices.</w:t>
      </w:r>
    </w:p>
    <w:p w14:paraId="1B90FB08"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1.4. Hypotheses</w:t>
      </w:r>
    </w:p>
    <w:p w14:paraId="23FB26C4" w14:textId="77777777" w:rsidR="008A3742" w:rsidRPr="00301E47" w:rsidRDefault="008A3742" w:rsidP="008A3742">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H₁:</w:t>
      </w:r>
      <w:r w:rsidRPr="00301E47">
        <w:rPr>
          <w:rFonts w:ascii="Times New Roman" w:eastAsia="Times New Roman" w:hAnsi="Times New Roman" w:cs="Times New Roman"/>
          <w:color w:val="0F1115"/>
          <w:kern w:val="0"/>
          <w14:ligatures w14:val="none"/>
        </w:rPr>
        <w:t xml:space="preserve"> Favorable attitudes, adequate knowledge, and appropriate practices among nurses significantly improve the prevention of post-operative complications at HGR </w:t>
      </w:r>
      <w:proofErr w:type="spellStart"/>
      <w:r w:rsidRPr="00301E47">
        <w:rPr>
          <w:rFonts w:ascii="Times New Roman" w:eastAsia="Times New Roman" w:hAnsi="Times New Roman" w:cs="Times New Roman"/>
          <w:color w:val="0F1115"/>
          <w:kern w:val="0"/>
          <w14:ligatures w14:val="none"/>
        </w:rPr>
        <w:t>Wangata</w:t>
      </w:r>
      <w:proofErr w:type="spellEnd"/>
      <w:r w:rsidRPr="00301E47">
        <w:rPr>
          <w:rFonts w:ascii="Times New Roman" w:eastAsia="Times New Roman" w:hAnsi="Times New Roman" w:cs="Times New Roman"/>
          <w:color w:val="0F1115"/>
          <w:kern w:val="0"/>
          <w14:ligatures w14:val="none"/>
        </w:rPr>
        <w:t>.</w:t>
      </w:r>
    </w:p>
    <w:p w14:paraId="750B0444" w14:textId="77777777" w:rsidR="008A3742" w:rsidRPr="00301E47" w:rsidRDefault="008A3742" w:rsidP="008A3742">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H₂:</w:t>
      </w:r>
      <w:r w:rsidRPr="00301E47">
        <w:rPr>
          <w:rFonts w:ascii="Times New Roman" w:eastAsia="Times New Roman" w:hAnsi="Times New Roman" w:cs="Times New Roman"/>
          <w:color w:val="0F1115"/>
          <w:kern w:val="0"/>
          <w14:ligatures w14:val="none"/>
        </w:rPr>
        <w:t> Nurses' level of knowledge significantly influences the effectiveness of preventive measures.</w:t>
      </w:r>
    </w:p>
    <w:p w14:paraId="42AFA774" w14:textId="77777777" w:rsidR="008A3742" w:rsidRPr="00301E47" w:rsidRDefault="008A3742" w:rsidP="008A3742">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H₃:</w:t>
      </w:r>
      <w:r w:rsidRPr="00301E47">
        <w:rPr>
          <w:rFonts w:ascii="Times New Roman" w:eastAsia="Times New Roman" w:hAnsi="Times New Roman" w:cs="Times New Roman"/>
          <w:color w:val="0F1115"/>
          <w:kern w:val="0"/>
          <w14:ligatures w14:val="none"/>
        </w:rPr>
        <w:t> Nurses' attitudes toward preventive measures significantly determine their application in clinical practice.</w:t>
      </w:r>
    </w:p>
    <w:p w14:paraId="67B7E5A1" w14:textId="77777777" w:rsidR="008A3742" w:rsidRPr="00301E47" w:rsidRDefault="008A3742" w:rsidP="008A3742">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H₄:</w:t>
      </w:r>
      <w:r w:rsidRPr="00301E47">
        <w:rPr>
          <w:rFonts w:ascii="Times New Roman" w:eastAsia="Times New Roman" w:hAnsi="Times New Roman" w:cs="Times New Roman"/>
          <w:color w:val="0F1115"/>
          <w:kern w:val="0"/>
          <w14:ligatures w14:val="none"/>
        </w:rPr>
        <w:t> Nurses' professional practices are, in some cases, non-conforming to established professional standards and recommendations.</w:t>
      </w:r>
    </w:p>
    <w:p w14:paraId="14F13F30" w14:textId="77777777" w:rsidR="008A3742" w:rsidRPr="00301E47" w:rsidRDefault="008A3742" w:rsidP="008A3742">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H₅:</w:t>
      </w:r>
      <w:r w:rsidRPr="00301E47">
        <w:rPr>
          <w:rFonts w:ascii="Times New Roman" w:eastAsia="Times New Roman" w:hAnsi="Times New Roman" w:cs="Times New Roman"/>
          <w:color w:val="0F1115"/>
          <w:kern w:val="0"/>
          <w14:ligatures w14:val="none"/>
        </w:rPr>
        <w:t> Organizational, material, and training-related factors significantly influence the application of preventive practices.</w:t>
      </w:r>
    </w:p>
    <w:p w14:paraId="72BC32DA" w14:textId="77777777" w:rsidR="008A3742" w:rsidRPr="00301E47" w:rsidRDefault="008A3742" w:rsidP="008A3742">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301E47">
        <w:rPr>
          <w:rFonts w:ascii="Times New Roman" w:eastAsia="Times New Roman" w:hAnsi="Times New Roman" w:cs="Times New Roman"/>
          <w:b/>
          <w:bCs/>
          <w:color w:val="0F1115"/>
          <w:kern w:val="0"/>
          <w:sz w:val="33"/>
          <w:szCs w:val="33"/>
          <w14:ligatures w14:val="none"/>
        </w:rPr>
        <w:t>2. Methods</w:t>
      </w:r>
    </w:p>
    <w:p w14:paraId="38F7B9FA"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2.1. Study Design and Setting</w:t>
      </w:r>
    </w:p>
    <w:p w14:paraId="12A66B23"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A </w:t>
      </w:r>
      <w:r w:rsidRPr="00301E47">
        <w:rPr>
          <w:rFonts w:ascii="Times New Roman" w:eastAsia="Times New Roman" w:hAnsi="Times New Roman" w:cs="Times New Roman"/>
          <w:b/>
          <w:bCs/>
          <w:color w:val="0F1115"/>
          <w:kern w:val="0"/>
          <w14:ligatures w14:val="none"/>
        </w:rPr>
        <w:t>cross-sectional descriptive study</w:t>
      </w:r>
      <w:r w:rsidRPr="00301E47">
        <w:rPr>
          <w:rFonts w:ascii="Times New Roman" w:eastAsia="Times New Roman" w:hAnsi="Times New Roman" w:cs="Times New Roman"/>
          <w:color w:val="0F1115"/>
          <w:kern w:val="0"/>
          <w14:ligatures w14:val="none"/>
        </w:rPr>
        <w:t xml:space="preserve"> was conducted from January to October 2025 at HGR </w:t>
      </w:r>
      <w:proofErr w:type="spellStart"/>
      <w:r w:rsidRPr="00301E47">
        <w:rPr>
          <w:rFonts w:ascii="Times New Roman" w:eastAsia="Times New Roman" w:hAnsi="Times New Roman" w:cs="Times New Roman"/>
          <w:color w:val="0F1115"/>
          <w:kern w:val="0"/>
          <w14:ligatures w14:val="none"/>
        </w:rPr>
        <w:t>Wangata</w:t>
      </w:r>
      <w:proofErr w:type="spellEnd"/>
      <w:r w:rsidRPr="00301E47">
        <w:rPr>
          <w:rFonts w:ascii="Times New Roman" w:eastAsia="Times New Roman" w:hAnsi="Times New Roman" w:cs="Times New Roman"/>
          <w:color w:val="0F1115"/>
          <w:kern w:val="0"/>
          <w14:ligatures w14:val="none"/>
        </w:rPr>
        <w:t xml:space="preserve"> in </w:t>
      </w:r>
      <w:proofErr w:type="spellStart"/>
      <w:r w:rsidRPr="00301E47">
        <w:rPr>
          <w:rFonts w:ascii="Times New Roman" w:eastAsia="Times New Roman" w:hAnsi="Times New Roman" w:cs="Times New Roman"/>
          <w:color w:val="0F1115"/>
          <w:kern w:val="0"/>
          <w14:ligatures w14:val="none"/>
        </w:rPr>
        <w:t>Mbandaka</w:t>
      </w:r>
      <w:proofErr w:type="spellEnd"/>
      <w:r w:rsidRPr="00301E47">
        <w:rPr>
          <w:rFonts w:ascii="Times New Roman" w:eastAsia="Times New Roman" w:hAnsi="Times New Roman" w:cs="Times New Roman"/>
          <w:color w:val="0F1115"/>
          <w:kern w:val="0"/>
          <w14:ligatures w14:val="none"/>
        </w:rPr>
        <w:t xml:space="preserve">, the capital of Équateur Province, Democratic Republic of </w:t>
      </w:r>
      <w:proofErr w:type="gramStart"/>
      <w:r w:rsidRPr="00301E47">
        <w:rPr>
          <w:rFonts w:ascii="Times New Roman" w:eastAsia="Times New Roman" w:hAnsi="Times New Roman" w:cs="Times New Roman"/>
          <w:color w:val="0F1115"/>
          <w:kern w:val="0"/>
          <w14:ligatures w14:val="none"/>
        </w:rPr>
        <w:t>the Congo</w:t>
      </w:r>
      <w:proofErr w:type="gramEnd"/>
      <w:r w:rsidRPr="00301E47">
        <w:rPr>
          <w:rFonts w:ascii="Times New Roman" w:eastAsia="Times New Roman" w:hAnsi="Times New Roman" w:cs="Times New Roman"/>
          <w:color w:val="0F1115"/>
          <w:kern w:val="0"/>
          <w14:ligatures w14:val="none"/>
        </w:rPr>
        <w:t xml:space="preserve">. HGR </w:t>
      </w:r>
      <w:proofErr w:type="spellStart"/>
      <w:r w:rsidRPr="00301E47">
        <w:rPr>
          <w:rFonts w:ascii="Times New Roman" w:eastAsia="Times New Roman" w:hAnsi="Times New Roman" w:cs="Times New Roman"/>
          <w:color w:val="0F1115"/>
          <w:kern w:val="0"/>
          <w14:ligatures w14:val="none"/>
        </w:rPr>
        <w:t>Wangata</w:t>
      </w:r>
      <w:proofErr w:type="spellEnd"/>
      <w:r w:rsidRPr="00301E47">
        <w:rPr>
          <w:rFonts w:ascii="Times New Roman" w:eastAsia="Times New Roman" w:hAnsi="Times New Roman" w:cs="Times New Roman"/>
          <w:color w:val="0F1115"/>
          <w:kern w:val="0"/>
          <w14:ligatures w14:val="none"/>
        </w:rPr>
        <w:t xml:space="preserve"> is a public referral hospital with a functional bed capacity of 154 beds and serves as a major surgical center for the region.</w:t>
      </w:r>
    </w:p>
    <w:p w14:paraId="1568E3DA"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2.2. Target Population and Sampling</w:t>
      </w:r>
    </w:p>
    <w:p w14:paraId="73F9D645"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lastRenderedPageBreak/>
        <w:t>The target population comprised all nurses working in departments involved in post-operative care (surgery, internal medicine, emergency, intensive care, and other surgical follow-up services). A </w:t>
      </w:r>
      <w:r w:rsidRPr="00301E47">
        <w:rPr>
          <w:rFonts w:ascii="Times New Roman" w:eastAsia="Times New Roman" w:hAnsi="Times New Roman" w:cs="Times New Roman"/>
          <w:b/>
          <w:bCs/>
          <w:color w:val="0F1115"/>
          <w:kern w:val="0"/>
          <w14:ligatures w14:val="none"/>
        </w:rPr>
        <w:t>stratified weighted probability sampling</w:t>
      </w:r>
      <w:r w:rsidRPr="00301E47">
        <w:rPr>
          <w:rFonts w:ascii="Times New Roman" w:eastAsia="Times New Roman" w:hAnsi="Times New Roman" w:cs="Times New Roman"/>
          <w:color w:val="0F1115"/>
          <w:kern w:val="0"/>
          <w14:ligatures w14:val="none"/>
        </w:rPr>
        <w:t> method was used. The final sample included </w:t>
      </w:r>
      <w:r w:rsidRPr="00301E47">
        <w:rPr>
          <w:rFonts w:ascii="Times New Roman" w:eastAsia="Times New Roman" w:hAnsi="Times New Roman" w:cs="Times New Roman"/>
          <w:b/>
          <w:bCs/>
          <w:color w:val="0F1115"/>
          <w:kern w:val="0"/>
          <w14:ligatures w14:val="none"/>
        </w:rPr>
        <w:t>157 nurses</w:t>
      </w:r>
      <w:r w:rsidRPr="00301E47">
        <w:rPr>
          <w:rFonts w:ascii="Times New Roman" w:eastAsia="Times New Roman" w:hAnsi="Times New Roman" w:cs="Times New Roman"/>
          <w:color w:val="0F1115"/>
          <w:kern w:val="0"/>
          <w14:ligatures w14:val="none"/>
        </w:rPr>
        <w:t> who met the inclusion criteria.</w:t>
      </w:r>
    </w:p>
    <w:p w14:paraId="529DF81F"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Inclusion criteria:</w:t>
      </w:r>
    </w:p>
    <w:p w14:paraId="11449C0D" w14:textId="77777777" w:rsidR="008A3742" w:rsidRPr="00301E47" w:rsidRDefault="008A3742" w:rsidP="008A3742">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Licensed nurse (diploma A0, A1, or A2)</w:t>
      </w:r>
    </w:p>
    <w:p w14:paraId="10234996" w14:textId="77777777" w:rsidR="008A3742" w:rsidRPr="00301E47" w:rsidRDefault="008A3742" w:rsidP="008A3742">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Assigned to a service involved in post-operative care</w:t>
      </w:r>
    </w:p>
    <w:p w14:paraId="34CAAF13" w14:textId="77777777" w:rsidR="008A3742" w:rsidRPr="00301E47" w:rsidRDefault="008A3742" w:rsidP="008A3742">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 xml:space="preserve">Minimum one year of professional experience at HGR </w:t>
      </w:r>
      <w:proofErr w:type="spellStart"/>
      <w:r w:rsidRPr="00301E47">
        <w:rPr>
          <w:rFonts w:ascii="Times New Roman" w:eastAsia="Times New Roman" w:hAnsi="Times New Roman" w:cs="Times New Roman"/>
          <w:color w:val="0F1115"/>
          <w:kern w:val="0"/>
          <w14:ligatures w14:val="none"/>
        </w:rPr>
        <w:t>Wangata</w:t>
      </w:r>
      <w:proofErr w:type="spellEnd"/>
    </w:p>
    <w:p w14:paraId="5EAB2C7D" w14:textId="77777777" w:rsidR="008A3742" w:rsidRPr="00301E47" w:rsidRDefault="008A3742" w:rsidP="008A3742">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Active during the data collection period</w:t>
      </w:r>
    </w:p>
    <w:p w14:paraId="67D6A747" w14:textId="77777777" w:rsidR="008A3742" w:rsidRPr="00301E47" w:rsidRDefault="008A3742" w:rsidP="008A3742">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Provided informed consent</w:t>
      </w:r>
    </w:p>
    <w:p w14:paraId="30DC2FE7"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Exclusion criteria:</w:t>
      </w:r>
    </w:p>
    <w:p w14:paraId="0A2673FB" w14:textId="77777777" w:rsidR="008A3742" w:rsidRPr="00301E47" w:rsidRDefault="008A3742" w:rsidP="008A3742">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Nursing students or interns</w:t>
      </w:r>
    </w:p>
    <w:p w14:paraId="003C2D78" w14:textId="77777777" w:rsidR="008A3742" w:rsidRPr="00301E47" w:rsidRDefault="008A3742" w:rsidP="008A3742">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Nurses working in non-surgical services</w:t>
      </w:r>
    </w:p>
    <w:p w14:paraId="1FA8FA6F" w14:textId="77777777" w:rsidR="008A3742" w:rsidRPr="00301E47" w:rsidRDefault="008A3742" w:rsidP="008A3742">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Nurses absent during data collection</w:t>
      </w:r>
    </w:p>
    <w:p w14:paraId="309C43C0" w14:textId="77777777" w:rsidR="008A3742" w:rsidRPr="00301E47" w:rsidRDefault="008A3742" w:rsidP="008A3742">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Refusal to participate</w:t>
      </w:r>
    </w:p>
    <w:p w14:paraId="75DFF34A"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2.3. Data Collection Instruments and Procedures</w:t>
      </w:r>
    </w:p>
    <w:p w14:paraId="2B855638"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A </w:t>
      </w:r>
      <w:r w:rsidRPr="00301E47">
        <w:rPr>
          <w:rFonts w:ascii="Times New Roman" w:eastAsia="Times New Roman" w:hAnsi="Times New Roman" w:cs="Times New Roman"/>
          <w:b/>
          <w:bCs/>
          <w:color w:val="0F1115"/>
          <w:kern w:val="0"/>
          <w14:ligatures w14:val="none"/>
        </w:rPr>
        <w:t>structured, self-administered questionnaire</w:t>
      </w:r>
      <w:r w:rsidRPr="00301E47">
        <w:rPr>
          <w:rFonts w:ascii="Times New Roman" w:eastAsia="Times New Roman" w:hAnsi="Times New Roman" w:cs="Times New Roman"/>
          <w:color w:val="0F1115"/>
          <w:kern w:val="0"/>
          <w14:ligatures w14:val="none"/>
        </w:rPr>
        <w:t> was developed based on the literature and pretested on a small sample (n=10) to ensure clarity, validity, and reliability. The questionnaire covered:</w:t>
      </w:r>
    </w:p>
    <w:p w14:paraId="3549713F" w14:textId="77777777" w:rsidR="008A3742" w:rsidRPr="00301E47" w:rsidRDefault="008A3742" w:rsidP="008A3742">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Sociodemographic and professional characteristics (age, sex, education level, years of experience, continuing education participation)</w:t>
      </w:r>
    </w:p>
    <w:p w14:paraId="5D8A3BA0" w14:textId="77777777" w:rsidR="008A3742" w:rsidRPr="00301E47" w:rsidRDefault="008A3742" w:rsidP="008A3742">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Knowledge of post-operative complications (types, risk factors, signs)</w:t>
      </w:r>
    </w:p>
    <w:p w14:paraId="1B1E5CBE" w14:textId="77777777" w:rsidR="008A3742" w:rsidRPr="00301E47" w:rsidRDefault="008A3742" w:rsidP="008A3742">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Attitudes toward prevention (perceived importance, confidence, collaboration)</w:t>
      </w:r>
    </w:p>
    <w:p w14:paraId="76D8A2E9" w14:textId="77777777" w:rsidR="008A3742" w:rsidRPr="00301E47" w:rsidRDefault="008A3742" w:rsidP="008A3742">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Practices (wound assessment, infection prevention, patient education, surveillance frequency)</w:t>
      </w:r>
    </w:p>
    <w:p w14:paraId="6FEEC631"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lastRenderedPageBreak/>
        <w:t>Data were collected between January and October 2025. Questionnaires were distributed individually to eligible nurses, with a convenient deadline for completion. Completed questionnaires were collected personally by the research team.</w:t>
      </w:r>
    </w:p>
    <w:p w14:paraId="36364840"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2.4. Variables</w:t>
      </w:r>
    </w:p>
    <w:p w14:paraId="5B7EA23B"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Independent variables:</w:t>
      </w:r>
      <w:r w:rsidRPr="00301E47">
        <w:rPr>
          <w:rFonts w:ascii="Times New Roman" w:eastAsia="Times New Roman" w:hAnsi="Times New Roman" w:cs="Times New Roman"/>
          <w:color w:val="0F1115"/>
          <w:kern w:val="0"/>
          <w14:ligatures w14:val="none"/>
        </w:rPr>
        <w:t> Age, sex, education level, years of experience, specialty, continuing education participation.</w:t>
      </w:r>
    </w:p>
    <w:p w14:paraId="24228940"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Dependent variables:</w:t>
      </w:r>
      <w:r w:rsidRPr="00301E47">
        <w:rPr>
          <w:rFonts w:ascii="Times New Roman" w:eastAsia="Times New Roman" w:hAnsi="Times New Roman" w:cs="Times New Roman"/>
          <w:color w:val="0F1115"/>
          <w:kern w:val="0"/>
          <w14:ligatures w14:val="none"/>
        </w:rPr>
        <w:t> Knowledge level, attitudes (perceived importance, confidence, collaboration), practices (wound assessment methods, preventive measures used, surveillance frequency).</w:t>
      </w:r>
    </w:p>
    <w:p w14:paraId="5BF83198"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2.5. Data Analysis</w:t>
      </w:r>
    </w:p>
    <w:p w14:paraId="5B9369C9"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Data were entered and analyzed using SPSS version 25. Descriptive statistics (frequencies, percentages) were computed for all variables. Chi-square tests (χ²) were used to examine associations between categorical variables (age, gender, experience, education) and clinical practices (wound assessment methods). Statistical significance was set at p &lt; 0.05.</w:t>
      </w:r>
    </w:p>
    <w:p w14:paraId="414E2E7E"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2.6. Ethical Considerations</w:t>
      </w:r>
    </w:p>
    <w:p w14:paraId="6F5A75E1"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 xml:space="preserve">Ethical approval was obtained from the ISTM </w:t>
      </w:r>
      <w:proofErr w:type="spellStart"/>
      <w:r w:rsidRPr="00301E47">
        <w:rPr>
          <w:rFonts w:ascii="Times New Roman" w:eastAsia="Times New Roman" w:hAnsi="Times New Roman" w:cs="Times New Roman"/>
          <w:color w:val="0F1115"/>
          <w:kern w:val="0"/>
          <w14:ligatures w14:val="none"/>
        </w:rPr>
        <w:t>Mbandaka</w:t>
      </w:r>
      <w:proofErr w:type="spellEnd"/>
      <w:r w:rsidRPr="00301E47">
        <w:rPr>
          <w:rFonts w:ascii="Times New Roman" w:eastAsia="Times New Roman" w:hAnsi="Times New Roman" w:cs="Times New Roman"/>
          <w:color w:val="0F1115"/>
          <w:kern w:val="0"/>
          <w14:ligatures w14:val="none"/>
        </w:rPr>
        <w:t xml:space="preserve"> research ethics committee and the hospital administration of HGR </w:t>
      </w:r>
      <w:proofErr w:type="spellStart"/>
      <w:r w:rsidRPr="00301E47">
        <w:rPr>
          <w:rFonts w:ascii="Times New Roman" w:eastAsia="Times New Roman" w:hAnsi="Times New Roman" w:cs="Times New Roman"/>
          <w:color w:val="0F1115"/>
          <w:kern w:val="0"/>
          <w14:ligatures w14:val="none"/>
        </w:rPr>
        <w:t>Wangata</w:t>
      </w:r>
      <w:proofErr w:type="spellEnd"/>
      <w:r w:rsidRPr="00301E47">
        <w:rPr>
          <w:rFonts w:ascii="Times New Roman" w:eastAsia="Times New Roman" w:hAnsi="Times New Roman" w:cs="Times New Roman"/>
          <w:color w:val="0F1115"/>
          <w:kern w:val="0"/>
          <w14:ligatures w14:val="none"/>
        </w:rPr>
        <w:t>. Written informed consent was obtained from all participants. Confidentiality and anonymity were strictly maintained. Participation was voluntary, and respondents could withdraw at any time without consequence.</w:t>
      </w:r>
    </w:p>
    <w:p w14:paraId="6C893DFC" w14:textId="77777777" w:rsidR="008A3742" w:rsidRPr="00301E47" w:rsidRDefault="008A3742" w:rsidP="008A3742">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301E47">
        <w:rPr>
          <w:rFonts w:ascii="Times New Roman" w:eastAsia="Times New Roman" w:hAnsi="Times New Roman" w:cs="Times New Roman"/>
          <w:b/>
          <w:bCs/>
          <w:color w:val="0F1115"/>
          <w:kern w:val="0"/>
          <w:sz w:val="33"/>
          <w:szCs w:val="33"/>
          <w14:ligatures w14:val="none"/>
        </w:rPr>
        <w:t>3. Results</w:t>
      </w:r>
    </w:p>
    <w:p w14:paraId="681BD72B"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3.1. Sociodemographic and Professional Characteristics</w:t>
      </w:r>
    </w:p>
    <w:p w14:paraId="0F1A78BF"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lastRenderedPageBreak/>
        <w:t>A total of 157 nurses participated (response rate: 100%). Table 1 presents the characteristics of the sample.</w:t>
      </w:r>
    </w:p>
    <w:p w14:paraId="0596EEFD"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Table 1</w:t>
      </w:r>
      <w:r w:rsidRPr="00301E47">
        <w:rPr>
          <w:rFonts w:ascii="Times New Roman" w:eastAsia="Times New Roman" w:hAnsi="Times New Roman" w:cs="Times New Roman"/>
          <w:color w:val="0F1115"/>
          <w:kern w:val="0"/>
          <w14:ligatures w14:val="none"/>
        </w:rPr>
        <w:br/>
        <w:t>*Sociodemographic and Professional Characteristics of Participants (N = 157)*</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184"/>
        <w:gridCol w:w="2419"/>
        <w:gridCol w:w="795"/>
        <w:gridCol w:w="655"/>
      </w:tblGrid>
      <w:tr w:rsidR="008A3742" w:rsidRPr="00D17CAE" w14:paraId="2BBC0F75" w14:textId="77777777" w:rsidTr="00D17CAE">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0A5B0AD9"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Characteristic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1BBDD61"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F28B511"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7B73D6B"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w:t>
            </w:r>
          </w:p>
        </w:tc>
      </w:tr>
      <w:tr w:rsidR="008A3742" w:rsidRPr="00D17CAE" w14:paraId="42B985E5" w14:textId="77777777" w:rsidTr="00D17CAE">
        <w:tc>
          <w:tcPr>
            <w:tcW w:w="0" w:type="auto"/>
            <w:tcBorders>
              <w:top w:val="single" w:sz="4" w:space="0" w:color="auto"/>
            </w:tcBorders>
            <w:tcMar>
              <w:top w:w="150" w:type="dxa"/>
              <w:left w:w="0" w:type="dxa"/>
              <w:bottom w:w="150" w:type="dxa"/>
              <w:right w:w="240" w:type="dxa"/>
            </w:tcMar>
            <w:vAlign w:val="center"/>
            <w:hideMark/>
          </w:tcPr>
          <w:p w14:paraId="68A9D052"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b/>
                <w:bCs/>
                <w:kern w:val="0"/>
                <w:sz w:val="21"/>
                <w:szCs w:val="21"/>
                <w14:ligatures w14:val="none"/>
              </w:rPr>
              <w:t>Sex</w:t>
            </w:r>
          </w:p>
        </w:tc>
        <w:tc>
          <w:tcPr>
            <w:tcW w:w="0" w:type="auto"/>
            <w:tcBorders>
              <w:top w:val="single" w:sz="4" w:space="0" w:color="auto"/>
            </w:tcBorders>
            <w:tcMar>
              <w:top w:w="150" w:type="dxa"/>
              <w:left w:w="240" w:type="dxa"/>
              <w:bottom w:w="150" w:type="dxa"/>
              <w:right w:w="240" w:type="dxa"/>
            </w:tcMar>
            <w:vAlign w:val="center"/>
            <w:hideMark/>
          </w:tcPr>
          <w:p w14:paraId="55A9CB4E"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Male</w:t>
            </w:r>
          </w:p>
        </w:tc>
        <w:tc>
          <w:tcPr>
            <w:tcW w:w="0" w:type="auto"/>
            <w:tcBorders>
              <w:top w:val="single" w:sz="4" w:space="0" w:color="auto"/>
            </w:tcBorders>
            <w:tcMar>
              <w:top w:w="150" w:type="dxa"/>
              <w:left w:w="240" w:type="dxa"/>
              <w:bottom w:w="150" w:type="dxa"/>
              <w:right w:w="240" w:type="dxa"/>
            </w:tcMar>
            <w:vAlign w:val="center"/>
            <w:hideMark/>
          </w:tcPr>
          <w:p w14:paraId="6DE9504A"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94</w:t>
            </w:r>
          </w:p>
        </w:tc>
        <w:tc>
          <w:tcPr>
            <w:tcW w:w="0" w:type="auto"/>
            <w:tcBorders>
              <w:top w:val="single" w:sz="4" w:space="0" w:color="auto"/>
            </w:tcBorders>
            <w:tcMar>
              <w:top w:w="150" w:type="dxa"/>
              <w:left w:w="240" w:type="dxa"/>
              <w:bottom w:w="150" w:type="dxa"/>
              <w:right w:w="0" w:type="dxa"/>
            </w:tcMar>
            <w:vAlign w:val="center"/>
            <w:hideMark/>
          </w:tcPr>
          <w:p w14:paraId="2ABA28BC"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59.9</w:t>
            </w:r>
          </w:p>
        </w:tc>
      </w:tr>
      <w:tr w:rsidR="008A3742" w:rsidRPr="00D17CAE" w14:paraId="4A5F7FC6" w14:textId="77777777" w:rsidTr="00D17CAE">
        <w:tc>
          <w:tcPr>
            <w:tcW w:w="0" w:type="auto"/>
            <w:tcMar>
              <w:top w:w="150" w:type="dxa"/>
              <w:left w:w="0" w:type="dxa"/>
              <w:bottom w:w="150" w:type="dxa"/>
              <w:right w:w="240" w:type="dxa"/>
            </w:tcMar>
            <w:vAlign w:val="center"/>
            <w:hideMark/>
          </w:tcPr>
          <w:p w14:paraId="6252749C"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10507D62"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Female</w:t>
            </w:r>
          </w:p>
        </w:tc>
        <w:tc>
          <w:tcPr>
            <w:tcW w:w="0" w:type="auto"/>
            <w:tcMar>
              <w:top w:w="150" w:type="dxa"/>
              <w:left w:w="240" w:type="dxa"/>
              <w:bottom w:w="150" w:type="dxa"/>
              <w:right w:w="240" w:type="dxa"/>
            </w:tcMar>
            <w:vAlign w:val="center"/>
            <w:hideMark/>
          </w:tcPr>
          <w:p w14:paraId="7AE6E3FA"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63</w:t>
            </w:r>
          </w:p>
        </w:tc>
        <w:tc>
          <w:tcPr>
            <w:tcW w:w="0" w:type="auto"/>
            <w:tcMar>
              <w:top w:w="150" w:type="dxa"/>
              <w:left w:w="240" w:type="dxa"/>
              <w:bottom w:w="150" w:type="dxa"/>
              <w:right w:w="0" w:type="dxa"/>
            </w:tcMar>
            <w:vAlign w:val="center"/>
            <w:hideMark/>
          </w:tcPr>
          <w:p w14:paraId="06C4E3B0"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40.1</w:t>
            </w:r>
          </w:p>
        </w:tc>
      </w:tr>
      <w:tr w:rsidR="008A3742" w:rsidRPr="00D17CAE" w14:paraId="36C7D46C" w14:textId="77777777" w:rsidTr="00D17CAE">
        <w:tc>
          <w:tcPr>
            <w:tcW w:w="0" w:type="auto"/>
            <w:tcMar>
              <w:top w:w="150" w:type="dxa"/>
              <w:left w:w="0" w:type="dxa"/>
              <w:bottom w:w="150" w:type="dxa"/>
              <w:right w:w="240" w:type="dxa"/>
            </w:tcMar>
            <w:vAlign w:val="center"/>
            <w:hideMark/>
          </w:tcPr>
          <w:p w14:paraId="4CB5A88B"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b/>
                <w:bCs/>
                <w:kern w:val="0"/>
                <w:sz w:val="21"/>
                <w:szCs w:val="21"/>
                <w14:ligatures w14:val="none"/>
              </w:rPr>
              <w:t>Age group</w:t>
            </w:r>
          </w:p>
        </w:tc>
        <w:tc>
          <w:tcPr>
            <w:tcW w:w="0" w:type="auto"/>
            <w:tcMar>
              <w:top w:w="150" w:type="dxa"/>
              <w:left w:w="240" w:type="dxa"/>
              <w:bottom w:w="150" w:type="dxa"/>
              <w:right w:w="240" w:type="dxa"/>
            </w:tcMar>
            <w:vAlign w:val="center"/>
            <w:hideMark/>
          </w:tcPr>
          <w:p w14:paraId="700FBFA0"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21–25 years</w:t>
            </w:r>
          </w:p>
        </w:tc>
        <w:tc>
          <w:tcPr>
            <w:tcW w:w="0" w:type="auto"/>
            <w:tcMar>
              <w:top w:w="150" w:type="dxa"/>
              <w:left w:w="240" w:type="dxa"/>
              <w:bottom w:w="150" w:type="dxa"/>
              <w:right w:w="240" w:type="dxa"/>
            </w:tcMar>
            <w:vAlign w:val="center"/>
            <w:hideMark/>
          </w:tcPr>
          <w:p w14:paraId="273742E1"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20</w:t>
            </w:r>
          </w:p>
        </w:tc>
        <w:tc>
          <w:tcPr>
            <w:tcW w:w="0" w:type="auto"/>
            <w:tcMar>
              <w:top w:w="150" w:type="dxa"/>
              <w:left w:w="240" w:type="dxa"/>
              <w:bottom w:w="150" w:type="dxa"/>
              <w:right w:w="0" w:type="dxa"/>
            </w:tcMar>
            <w:vAlign w:val="center"/>
            <w:hideMark/>
          </w:tcPr>
          <w:p w14:paraId="0E0D7ED8"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12.7</w:t>
            </w:r>
          </w:p>
        </w:tc>
      </w:tr>
      <w:tr w:rsidR="008A3742" w:rsidRPr="00D17CAE" w14:paraId="44AD2F50" w14:textId="77777777" w:rsidTr="00D17CAE">
        <w:tc>
          <w:tcPr>
            <w:tcW w:w="0" w:type="auto"/>
            <w:tcMar>
              <w:top w:w="150" w:type="dxa"/>
              <w:left w:w="0" w:type="dxa"/>
              <w:bottom w:w="150" w:type="dxa"/>
              <w:right w:w="240" w:type="dxa"/>
            </w:tcMar>
            <w:vAlign w:val="center"/>
            <w:hideMark/>
          </w:tcPr>
          <w:p w14:paraId="2B2D16AA"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7BCB5304"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26–30 years</w:t>
            </w:r>
          </w:p>
        </w:tc>
        <w:tc>
          <w:tcPr>
            <w:tcW w:w="0" w:type="auto"/>
            <w:tcMar>
              <w:top w:w="150" w:type="dxa"/>
              <w:left w:w="240" w:type="dxa"/>
              <w:bottom w:w="150" w:type="dxa"/>
              <w:right w:w="240" w:type="dxa"/>
            </w:tcMar>
            <w:vAlign w:val="center"/>
            <w:hideMark/>
          </w:tcPr>
          <w:p w14:paraId="423CC9CC"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45</w:t>
            </w:r>
          </w:p>
        </w:tc>
        <w:tc>
          <w:tcPr>
            <w:tcW w:w="0" w:type="auto"/>
            <w:tcMar>
              <w:top w:w="150" w:type="dxa"/>
              <w:left w:w="240" w:type="dxa"/>
              <w:bottom w:w="150" w:type="dxa"/>
              <w:right w:w="0" w:type="dxa"/>
            </w:tcMar>
            <w:vAlign w:val="center"/>
            <w:hideMark/>
          </w:tcPr>
          <w:p w14:paraId="31166F00"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28.7</w:t>
            </w:r>
          </w:p>
        </w:tc>
      </w:tr>
      <w:tr w:rsidR="008A3742" w:rsidRPr="00D17CAE" w14:paraId="04EFDBE9" w14:textId="77777777" w:rsidTr="00D17CAE">
        <w:tc>
          <w:tcPr>
            <w:tcW w:w="0" w:type="auto"/>
            <w:tcMar>
              <w:top w:w="150" w:type="dxa"/>
              <w:left w:w="0" w:type="dxa"/>
              <w:bottom w:w="150" w:type="dxa"/>
              <w:right w:w="240" w:type="dxa"/>
            </w:tcMar>
            <w:vAlign w:val="center"/>
            <w:hideMark/>
          </w:tcPr>
          <w:p w14:paraId="42FCE182"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7A642312"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35–39 years</w:t>
            </w:r>
          </w:p>
        </w:tc>
        <w:tc>
          <w:tcPr>
            <w:tcW w:w="0" w:type="auto"/>
            <w:tcMar>
              <w:top w:w="150" w:type="dxa"/>
              <w:left w:w="240" w:type="dxa"/>
              <w:bottom w:w="150" w:type="dxa"/>
              <w:right w:w="240" w:type="dxa"/>
            </w:tcMar>
            <w:vAlign w:val="center"/>
            <w:hideMark/>
          </w:tcPr>
          <w:p w14:paraId="6EA26A7D"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9</w:t>
            </w:r>
          </w:p>
        </w:tc>
        <w:tc>
          <w:tcPr>
            <w:tcW w:w="0" w:type="auto"/>
            <w:tcMar>
              <w:top w:w="150" w:type="dxa"/>
              <w:left w:w="240" w:type="dxa"/>
              <w:bottom w:w="150" w:type="dxa"/>
              <w:right w:w="0" w:type="dxa"/>
            </w:tcMar>
            <w:vAlign w:val="center"/>
            <w:hideMark/>
          </w:tcPr>
          <w:p w14:paraId="67DC2E7A"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5.7</w:t>
            </w:r>
          </w:p>
        </w:tc>
      </w:tr>
      <w:tr w:rsidR="008A3742" w:rsidRPr="00D17CAE" w14:paraId="0CB40C80" w14:textId="77777777" w:rsidTr="00D17CAE">
        <w:tc>
          <w:tcPr>
            <w:tcW w:w="0" w:type="auto"/>
            <w:tcMar>
              <w:top w:w="150" w:type="dxa"/>
              <w:left w:w="0" w:type="dxa"/>
              <w:bottom w:w="150" w:type="dxa"/>
              <w:right w:w="240" w:type="dxa"/>
            </w:tcMar>
            <w:vAlign w:val="center"/>
            <w:hideMark/>
          </w:tcPr>
          <w:p w14:paraId="00D4281B"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66133899"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40–44 years</w:t>
            </w:r>
          </w:p>
        </w:tc>
        <w:tc>
          <w:tcPr>
            <w:tcW w:w="0" w:type="auto"/>
            <w:tcMar>
              <w:top w:w="150" w:type="dxa"/>
              <w:left w:w="240" w:type="dxa"/>
              <w:bottom w:w="150" w:type="dxa"/>
              <w:right w:w="240" w:type="dxa"/>
            </w:tcMar>
            <w:vAlign w:val="center"/>
            <w:hideMark/>
          </w:tcPr>
          <w:p w14:paraId="0A6F268B"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49</w:t>
            </w:r>
          </w:p>
        </w:tc>
        <w:tc>
          <w:tcPr>
            <w:tcW w:w="0" w:type="auto"/>
            <w:tcMar>
              <w:top w:w="150" w:type="dxa"/>
              <w:left w:w="240" w:type="dxa"/>
              <w:bottom w:w="150" w:type="dxa"/>
              <w:right w:w="0" w:type="dxa"/>
            </w:tcMar>
            <w:vAlign w:val="center"/>
            <w:hideMark/>
          </w:tcPr>
          <w:p w14:paraId="65266315"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31.2</w:t>
            </w:r>
          </w:p>
        </w:tc>
      </w:tr>
      <w:tr w:rsidR="008A3742" w:rsidRPr="00D17CAE" w14:paraId="5A3E827B" w14:textId="77777777" w:rsidTr="00D17CAE">
        <w:tc>
          <w:tcPr>
            <w:tcW w:w="0" w:type="auto"/>
            <w:tcMar>
              <w:top w:w="150" w:type="dxa"/>
              <w:left w:w="0" w:type="dxa"/>
              <w:bottom w:w="150" w:type="dxa"/>
              <w:right w:w="240" w:type="dxa"/>
            </w:tcMar>
            <w:vAlign w:val="center"/>
            <w:hideMark/>
          </w:tcPr>
          <w:p w14:paraId="7250453E"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0C7D44F3"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45–49 years</w:t>
            </w:r>
          </w:p>
        </w:tc>
        <w:tc>
          <w:tcPr>
            <w:tcW w:w="0" w:type="auto"/>
            <w:tcMar>
              <w:top w:w="150" w:type="dxa"/>
              <w:left w:w="240" w:type="dxa"/>
              <w:bottom w:w="150" w:type="dxa"/>
              <w:right w:w="240" w:type="dxa"/>
            </w:tcMar>
            <w:vAlign w:val="center"/>
            <w:hideMark/>
          </w:tcPr>
          <w:p w14:paraId="3CCAE7A2"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26</w:t>
            </w:r>
          </w:p>
        </w:tc>
        <w:tc>
          <w:tcPr>
            <w:tcW w:w="0" w:type="auto"/>
            <w:tcMar>
              <w:top w:w="150" w:type="dxa"/>
              <w:left w:w="240" w:type="dxa"/>
              <w:bottom w:w="150" w:type="dxa"/>
              <w:right w:w="0" w:type="dxa"/>
            </w:tcMar>
            <w:vAlign w:val="center"/>
            <w:hideMark/>
          </w:tcPr>
          <w:p w14:paraId="4F250505"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16.6</w:t>
            </w:r>
          </w:p>
        </w:tc>
      </w:tr>
      <w:tr w:rsidR="008A3742" w:rsidRPr="00D17CAE" w14:paraId="54AF2EC8" w14:textId="77777777" w:rsidTr="00D17CAE">
        <w:tc>
          <w:tcPr>
            <w:tcW w:w="0" w:type="auto"/>
            <w:tcMar>
              <w:top w:w="150" w:type="dxa"/>
              <w:left w:w="0" w:type="dxa"/>
              <w:bottom w:w="150" w:type="dxa"/>
              <w:right w:w="240" w:type="dxa"/>
            </w:tcMar>
            <w:vAlign w:val="center"/>
            <w:hideMark/>
          </w:tcPr>
          <w:p w14:paraId="2B209794"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1C63DC03"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50–54 years</w:t>
            </w:r>
          </w:p>
        </w:tc>
        <w:tc>
          <w:tcPr>
            <w:tcW w:w="0" w:type="auto"/>
            <w:tcMar>
              <w:top w:w="150" w:type="dxa"/>
              <w:left w:w="240" w:type="dxa"/>
              <w:bottom w:w="150" w:type="dxa"/>
              <w:right w:w="240" w:type="dxa"/>
            </w:tcMar>
            <w:vAlign w:val="center"/>
            <w:hideMark/>
          </w:tcPr>
          <w:p w14:paraId="3DFC315D"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4</w:t>
            </w:r>
          </w:p>
        </w:tc>
        <w:tc>
          <w:tcPr>
            <w:tcW w:w="0" w:type="auto"/>
            <w:tcMar>
              <w:top w:w="150" w:type="dxa"/>
              <w:left w:w="240" w:type="dxa"/>
              <w:bottom w:w="150" w:type="dxa"/>
              <w:right w:w="0" w:type="dxa"/>
            </w:tcMar>
            <w:vAlign w:val="center"/>
            <w:hideMark/>
          </w:tcPr>
          <w:p w14:paraId="0EFE8133"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2.5</w:t>
            </w:r>
          </w:p>
        </w:tc>
      </w:tr>
      <w:tr w:rsidR="008A3742" w:rsidRPr="00D17CAE" w14:paraId="3D05F191" w14:textId="77777777" w:rsidTr="00D17CAE">
        <w:tc>
          <w:tcPr>
            <w:tcW w:w="0" w:type="auto"/>
            <w:tcMar>
              <w:top w:w="150" w:type="dxa"/>
              <w:left w:w="0" w:type="dxa"/>
              <w:bottom w:w="150" w:type="dxa"/>
              <w:right w:w="240" w:type="dxa"/>
            </w:tcMar>
            <w:vAlign w:val="center"/>
            <w:hideMark/>
          </w:tcPr>
          <w:p w14:paraId="5FA2A3C4"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7D7192BB"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≥55 years</w:t>
            </w:r>
          </w:p>
        </w:tc>
        <w:tc>
          <w:tcPr>
            <w:tcW w:w="0" w:type="auto"/>
            <w:tcMar>
              <w:top w:w="150" w:type="dxa"/>
              <w:left w:w="240" w:type="dxa"/>
              <w:bottom w:w="150" w:type="dxa"/>
              <w:right w:w="240" w:type="dxa"/>
            </w:tcMar>
            <w:vAlign w:val="center"/>
            <w:hideMark/>
          </w:tcPr>
          <w:p w14:paraId="09170BCB"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4</w:t>
            </w:r>
          </w:p>
        </w:tc>
        <w:tc>
          <w:tcPr>
            <w:tcW w:w="0" w:type="auto"/>
            <w:tcMar>
              <w:top w:w="150" w:type="dxa"/>
              <w:left w:w="240" w:type="dxa"/>
              <w:bottom w:w="150" w:type="dxa"/>
              <w:right w:w="0" w:type="dxa"/>
            </w:tcMar>
            <w:vAlign w:val="center"/>
            <w:hideMark/>
          </w:tcPr>
          <w:p w14:paraId="542C27F6"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2.5</w:t>
            </w:r>
          </w:p>
        </w:tc>
      </w:tr>
      <w:tr w:rsidR="008A3742" w:rsidRPr="00D17CAE" w14:paraId="5CD6DFE4" w14:textId="77777777" w:rsidTr="00D17CAE">
        <w:tc>
          <w:tcPr>
            <w:tcW w:w="0" w:type="auto"/>
            <w:tcMar>
              <w:top w:w="150" w:type="dxa"/>
              <w:left w:w="0" w:type="dxa"/>
              <w:bottom w:w="150" w:type="dxa"/>
              <w:right w:w="240" w:type="dxa"/>
            </w:tcMar>
            <w:vAlign w:val="center"/>
            <w:hideMark/>
          </w:tcPr>
          <w:p w14:paraId="2811226A"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b/>
                <w:bCs/>
                <w:kern w:val="0"/>
                <w:sz w:val="21"/>
                <w:szCs w:val="21"/>
                <w14:ligatures w14:val="none"/>
              </w:rPr>
              <w:t>Education level</w:t>
            </w:r>
          </w:p>
        </w:tc>
        <w:tc>
          <w:tcPr>
            <w:tcW w:w="0" w:type="auto"/>
            <w:tcMar>
              <w:top w:w="150" w:type="dxa"/>
              <w:left w:w="240" w:type="dxa"/>
              <w:bottom w:w="150" w:type="dxa"/>
              <w:right w:w="240" w:type="dxa"/>
            </w:tcMar>
            <w:vAlign w:val="center"/>
            <w:hideMark/>
          </w:tcPr>
          <w:p w14:paraId="34621513"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A1 (Graduate nurse)</w:t>
            </w:r>
          </w:p>
        </w:tc>
        <w:tc>
          <w:tcPr>
            <w:tcW w:w="0" w:type="auto"/>
            <w:tcMar>
              <w:top w:w="150" w:type="dxa"/>
              <w:left w:w="240" w:type="dxa"/>
              <w:bottom w:w="150" w:type="dxa"/>
              <w:right w:w="240" w:type="dxa"/>
            </w:tcMar>
            <w:vAlign w:val="center"/>
            <w:hideMark/>
          </w:tcPr>
          <w:p w14:paraId="31CF4834"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87</w:t>
            </w:r>
          </w:p>
        </w:tc>
        <w:tc>
          <w:tcPr>
            <w:tcW w:w="0" w:type="auto"/>
            <w:tcMar>
              <w:top w:w="150" w:type="dxa"/>
              <w:left w:w="240" w:type="dxa"/>
              <w:bottom w:w="150" w:type="dxa"/>
              <w:right w:w="0" w:type="dxa"/>
            </w:tcMar>
            <w:vAlign w:val="center"/>
            <w:hideMark/>
          </w:tcPr>
          <w:p w14:paraId="7811C59C"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55.4</w:t>
            </w:r>
          </w:p>
        </w:tc>
      </w:tr>
      <w:tr w:rsidR="008A3742" w:rsidRPr="00D17CAE" w14:paraId="16FC7F35" w14:textId="77777777" w:rsidTr="00D17CAE">
        <w:tc>
          <w:tcPr>
            <w:tcW w:w="0" w:type="auto"/>
            <w:tcMar>
              <w:top w:w="150" w:type="dxa"/>
              <w:left w:w="0" w:type="dxa"/>
              <w:bottom w:w="150" w:type="dxa"/>
              <w:right w:w="240" w:type="dxa"/>
            </w:tcMar>
            <w:vAlign w:val="center"/>
            <w:hideMark/>
          </w:tcPr>
          <w:p w14:paraId="3A580F29"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5F4A6FDC"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A2 (Diploma nurse)</w:t>
            </w:r>
          </w:p>
        </w:tc>
        <w:tc>
          <w:tcPr>
            <w:tcW w:w="0" w:type="auto"/>
            <w:tcMar>
              <w:top w:w="150" w:type="dxa"/>
              <w:left w:w="240" w:type="dxa"/>
              <w:bottom w:w="150" w:type="dxa"/>
              <w:right w:w="240" w:type="dxa"/>
            </w:tcMar>
            <w:vAlign w:val="center"/>
            <w:hideMark/>
          </w:tcPr>
          <w:p w14:paraId="45B22E34"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31</w:t>
            </w:r>
          </w:p>
        </w:tc>
        <w:tc>
          <w:tcPr>
            <w:tcW w:w="0" w:type="auto"/>
            <w:tcMar>
              <w:top w:w="150" w:type="dxa"/>
              <w:left w:w="240" w:type="dxa"/>
              <w:bottom w:w="150" w:type="dxa"/>
              <w:right w:w="0" w:type="dxa"/>
            </w:tcMar>
            <w:vAlign w:val="center"/>
            <w:hideMark/>
          </w:tcPr>
          <w:p w14:paraId="5FA34E37"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19.7</w:t>
            </w:r>
          </w:p>
        </w:tc>
      </w:tr>
      <w:tr w:rsidR="008A3742" w:rsidRPr="00D17CAE" w14:paraId="0762E49B" w14:textId="77777777" w:rsidTr="00D17CAE">
        <w:tc>
          <w:tcPr>
            <w:tcW w:w="0" w:type="auto"/>
            <w:tcMar>
              <w:top w:w="150" w:type="dxa"/>
              <w:left w:w="0" w:type="dxa"/>
              <w:bottom w:w="150" w:type="dxa"/>
              <w:right w:w="240" w:type="dxa"/>
            </w:tcMar>
            <w:vAlign w:val="center"/>
            <w:hideMark/>
          </w:tcPr>
          <w:p w14:paraId="6FA8C4F4"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3898C764"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A0 (</w:t>
            </w:r>
            <w:proofErr w:type="gramStart"/>
            <w:r w:rsidRPr="00D17CAE">
              <w:rPr>
                <w:rFonts w:ascii="Times New Roman" w:eastAsia="Times New Roman" w:hAnsi="Times New Roman" w:cs="Times New Roman"/>
                <w:kern w:val="0"/>
                <w:sz w:val="21"/>
                <w:szCs w:val="21"/>
                <w14:ligatures w14:val="none"/>
              </w:rPr>
              <w:t>Bachelor's</w:t>
            </w:r>
            <w:proofErr w:type="gramEnd"/>
            <w:r w:rsidRPr="00D17CAE">
              <w:rPr>
                <w:rFonts w:ascii="Times New Roman" w:eastAsia="Times New Roman" w:hAnsi="Times New Roman" w:cs="Times New Roman"/>
                <w:kern w:val="0"/>
                <w:sz w:val="21"/>
                <w:szCs w:val="21"/>
                <w14:ligatures w14:val="none"/>
              </w:rPr>
              <w:t xml:space="preserve"> degree)</w:t>
            </w:r>
          </w:p>
        </w:tc>
        <w:tc>
          <w:tcPr>
            <w:tcW w:w="0" w:type="auto"/>
            <w:tcMar>
              <w:top w:w="150" w:type="dxa"/>
              <w:left w:w="240" w:type="dxa"/>
              <w:bottom w:w="150" w:type="dxa"/>
              <w:right w:w="240" w:type="dxa"/>
            </w:tcMar>
            <w:vAlign w:val="center"/>
            <w:hideMark/>
          </w:tcPr>
          <w:p w14:paraId="58261FD1"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39</w:t>
            </w:r>
          </w:p>
        </w:tc>
        <w:tc>
          <w:tcPr>
            <w:tcW w:w="0" w:type="auto"/>
            <w:tcMar>
              <w:top w:w="150" w:type="dxa"/>
              <w:left w:w="240" w:type="dxa"/>
              <w:bottom w:w="150" w:type="dxa"/>
              <w:right w:w="0" w:type="dxa"/>
            </w:tcMar>
            <w:vAlign w:val="center"/>
            <w:hideMark/>
          </w:tcPr>
          <w:p w14:paraId="499F829F"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24.8</w:t>
            </w:r>
          </w:p>
        </w:tc>
      </w:tr>
      <w:tr w:rsidR="008A3742" w:rsidRPr="00D17CAE" w14:paraId="78F96C34" w14:textId="77777777" w:rsidTr="00D17CAE">
        <w:tc>
          <w:tcPr>
            <w:tcW w:w="0" w:type="auto"/>
            <w:tcMar>
              <w:top w:w="150" w:type="dxa"/>
              <w:left w:w="0" w:type="dxa"/>
              <w:bottom w:w="150" w:type="dxa"/>
              <w:right w:w="240" w:type="dxa"/>
            </w:tcMar>
            <w:vAlign w:val="center"/>
            <w:hideMark/>
          </w:tcPr>
          <w:p w14:paraId="77E8D5C9"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b/>
                <w:bCs/>
                <w:kern w:val="0"/>
                <w:sz w:val="21"/>
                <w:szCs w:val="21"/>
                <w14:ligatures w14:val="none"/>
              </w:rPr>
              <w:t>Years of experience</w:t>
            </w:r>
          </w:p>
        </w:tc>
        <w:tc>
          <w:tcPr>
            <w:tcW w:w="0" w:type="auto"/>
            <w:tcMar>
              <w:top w:w="150" w:type="dxa"/>
              <w:left w:w="240" w:type="dxa"/>
              <w:bottom w:w="150" w:type="dxa"/>
              <w:right w:w="240" w:type="dxa"/>
            </w:tcMar>
            <w:vAlign w:val="center"/>
            <w:hideMark/>
          </w:tcPr>
          <w:p w14:paraId="3A5E8B29"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&lt;4 years</w:t>
            </w:r>
          </w:p>
        </w:tc>
        <w:tc>
          <w:tcPr>
            <w:tcW w:w="0" w:type="auto"/>
            <w:tcMar>
              <w:top w:w="150" w:type="dxa"/>
              <w:left w:w="240" w:type="dxa"/>
              <w:bottom w:w="150" w:type="dxa"/>
              <w:right w:w="240" w:type="dxa"/>
            </w:tcMar>
            <w:vAlign w:val="center"/>
            <w:hideMark/>
          </w:tcPr>
          <w:p w14:paraId="580D8992"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24</w:t>
            </w:r>
          </w:p>
        </w:tc>
        <w:tc>
          <w:tcPr>
            <w:tcW w:w="0" w:type="auto"/>
            <w:tcMar>
              <w:top w:w="150" w:type="dxa"/>
              <w:left w:w="240" w:type="dxa"/>
              <w:bottom w:w="150" w:type="dxa"/>
              <w:right w:w="0" w:type="dxa"/>
            </w:tcMar>
            <w:vAlign w:val="center"/>
            <w:hideMark/>
          </w:tcPr>
          <w:p w14:paraId="1A63928A"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15.3</w:t>
            </w:r>
          </w:p>
        </w:tc>
      </w:tr>
      <w:tr w:rsidR="008A3742" w:rsidRPr="00D17CAE" w14:paraId="0A853BAE" w14:textId="77777777" w:rsidTr="00D17CAE">
        <w:tc>
          <w:tcPr>
            <w:tcW w:w="0" w:type="auto"/>
            <w:tcMar>
              <w:top w:w="150" w:type="dxa"/>
              <w:left w:w="0" w:type="dxa"/>
              <w:bottom w:w="150" w:type="dxa"/>
              <w:right w:w="240" w:type="dxa"/>
            </w:tcMar>
            <w:vAlign w:val="center"/>
            <w:hideMark/>
          </w:tcPr>
          <w:p w14:paraId="13B91050"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3DB3857C"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5–9 years</w:t>
            </w:r>
          </w:p>
        </w:tc>
        <w:tc>
          <w:tcPr>
            <w:tcW w:w="0" w:type="auto"/>
            <w:tcMar>
              <w:top w:w="150" w:type="dxa"/>
              <w:left w:w="240" w:type="dxa"/>
              <w:bottom w:w="150" w:type="dxa"/>
              <w:right w:w="240" w:type="dxa"/>
            </w:tcMar>
            <w:vAlign w:val="center"/>
            <w:hideMark/>
          </w:tcPr>
          <w:p w14:paraId="2B14B745"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16</w:t>
            </w:r>
          </w:p>
        </w:tc>
        <w:tc>
          <w:tcPr>
            <w:tcW w:w="0" w:type="auto"/>
            <w:tcMar>
              <w:top w:w="150" w:type="dxa"/>
              <w:left w:w="240" w:type="dxa"/>
              <w:bottom w:w="150" w:type="dxa"/>
              <w:right w:w="0" w:type="dxa"/>
            </w:tcMar>
            <w:vAlign w:val="center"/>
            <w:hideMark/>
          </w:tcPr>
          <w:p w14:paraId="54C7A802"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10.2</w:t>
            </w:r>
          </w:p>
        </w:tc>
      </w:tr>
      <w:tr w:rsidR="008A3742" w:rsidRPr="00D17CAE" w14:paraId="5E5049DE" w14:textId="77777777" w:rsidTr="00D17CAE">
        <w:tc>
          <w:tcPr>
            <w:tcW w:w="0" w:type="auto"/>
            <w:tcMar>
              <w:top w:w="150" w:type="dxa"/>
              <w:left w:w="0" w:type="dxa"/>
              <w:bottom w:w="150" w:type="dxa"/>
              <w:right w:w="240" w:type="dxa"/>
            </w:tcMar>
            <w:vAlign w:val="center"/>
            <w:hideMark/>
          </w:tcPr>
          <w:p w14:paraId="344F4BB7"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61188C96"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10–14 years</w:t>
            </w:r>
          </w:p>
        </w:tc>
        <w:tc>
          <w:tcPr>
            <w:tcW w:w="0" w:type="auto"/>
            <w:tcMar>
              <w:top w:w="150" w:type="dxa"/>
              <w:left w:w="240" w:type="dxa"/>
              <w:bottom w:w="150" w:type="dxa"/>
              <w:right w:w="240" w:type="dxa"/>
            </w:tcMar>
            <w:vAlign w:val="center"/>
            <w:hideMark/>
          </w:tcPr>
          <w:p w14:paraId="05D63FEC"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24</w:t>
            </w:r>
          </w:p>
        </w:tc>
        <w:tc>
          <w:tcPr>
            <w:tcW w:w="0" w:type="auto"/>
            <w:tcMar>
              <w:top w:w="150" w:type="dxa"/>
              <w:left w:w="240" w:type="dxa"/>
              <w:bottom w:w="150" w:type="dxa"/>
              <w:right w:w="0" w:type="dxa"/>
            </w:tcMar>
            <w:vAlign w:val="center"/>
            <w:hideMark/>
          </w:tcPr>
          <w:p w14:paraId="075EE3A8"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15.3</w:t>
            </w:r>
          </w:p>
        </w:tc>
      </w:tr>
      <w:tr w:rsidR="008A3742" w:rsidRPr="00D17CAE" w14:paraId="31A8DF63" w14:textId="77777777" w:rsidTr="00D17CAE">
        <w:tc>
          <w:tcPr>
            <w:tcW w:w="0" w:type="auto"/>
            <w:tcMar>
              <w:top w:w="150" w:type="dxa"/>
              <w:left w:w="0" w:type="dxa"/>
              <w:bottom w:w="150" w:type="dxa"/>
              <w:right w:w="240" w:type="dxa"/>
            </w:tcMar>
            <w:vAlign w:val="center"/>
            <w:hideMark/>
          </w:tcPr>
          <w:p w14:paraId="492EBF6F"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2172F3D8"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15–19 years</w:t>
            </w:r>
          </w:p>
        </w:tc>
        <w:tc>
          <w:tcPr>
            <w:tcW w:w="0" w:type="auto"/>
            <w:tcMar>
              <w:top w:w="150" w:type="dxa"/>
              <w:left w:w="240" w:type="dxa"/>
              <w:bottom w:w="150" w:type="dxa"/>
              <w:right w:w="240" w:type="dxa"/>
            </w:tcMar>
            <w:vAlign w:val="center"/>
            <w:hideMark/>
          </w:tcPr>
          <w:p w14:paraId="52017C3C"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24</w:t>
            </w:r>
          </w:p>
        </w:tc>
        <w:tc>
          <w:tcPr>
            <w:tcW w:w="0" w:type="auto"/>
            <w:tcMar>
              <w:top w:w="150" w:type="dxa"/>
              <w:left w:w="240" w:type="dxa"/>
              <w:bottom w:w="150" w:type="dxa"/>
              <w:right w:w="0" w:type="dxa"/>
            </w:tcMar>
            <w:vAlign w:val="center"/>
            <w:hideMark/>
          </w:tcPr>
          <w:p w14:paraId="1E07F0AD"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15.3</w:t>
            </w:r>
          </w:p>
        </w:tc>
      </w:tr>
      <w:tr w:rsidR="008A3742" w:rsidRPr="00D17CAE" w14:paraId="53564E0A" w14:textId="77777777" w:rsidTr="00D17CAE">
        <w:tc>
          <w:tcPr>
            <w:tcW w:w="0" w:type="auto"/>
            <w:tcMar>
              <w:top w:w="150" w:type="dxa"/>
              <w:left w:w="0" w:type="dxa"/>
              <w:bottom w:w="150" w:type="dxa"/>
              <w:right w:w="240" w:type="dxa"/>
            </w:tcMar>
            <w:vAlign w:val="center"/>
            <w:hideMark/>
          </w:tcPr>
          <w:p w14:paraId="368E97D5"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17638911"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20–24 years</w:t>
            </w:r>
          </w:p>
        </w:tc>
        <w:tc>
          <w:tcPr>
            <w:tcW w:w="0" w:type="auto"/>
            <w:tcMar>
              <w:top w:w="150" w:type="dxa"/>
              <w:left w:w="240" w:type="dxa"/>
              <w:bottom w:w="150" w:type="dxa"/>
              <w:right w:w="240" w:type="dxa"/>
            </w:tcMar>
            <w:vAlign w:val="center"/>
            <w:hideMark/>
          </w:tcPr>
          <w:p w14:paraId="608E1DFA"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16</w:t>
            </w:r>
          </w:p>
        </w:tc>
        <w:tc>
          <w:tcPr>
            <w:tcW w:w="0" w:type="auto"/>
            <w:tcMar>
              <w:top w:w="150" w:type="dxa"/>
              <w:left w:w="240" w:type="dxa"/>
              <w:bottom w:w="150" w:type="dxa"/>
              <w:right w:w="0" w:type="dxa"/>
            </w:tcMar>
            <w:vAlign w:val="center"/>
            <w:hideMark/>
          </w:tcPr>
          <w:p w14:paraId="4720E0A1"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10.2</w:t>
            </w:r>
          </w:p>
        </w:tc>
      </w:tr>
      <w:tr w:rsidR="008A3742" w:rsidRPr="00D17CAE" w14:paraId="4638681D" w14:textId="77777777" w:rsidTr="00D17CAE">
        <w:tc>
          <w:tcPr>
            <w:tcW w:w="0" w:type="auto"/>
            <w:tcMar>
              <w:top w:w="150" w:type="dxa"/>
              <w:left w:w="0" w:type="dxa"/>
              <w:bottom w:w="150" w:type="dxa"/>
              <w:right w:w="240" w:type="dxa"/>
            </w:tcMar>
            <w:vAlign w:val="center"/>
            <w:hideMark/>
          </w:tcPr>
          <w:p w14:paraId="30FCAF66"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68E1A6C2"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≥25 years</w:t>
            </w:r>
          </w:p>
        </w:tc>
        <w:tc>
          <w:tcPr>
            <w:tcW w:w="0" w:type="auto"/>
            <w:tcMar>
              <w:top w:w="150" w:type="dxa"/>
              <w:left w:w="240" w:type="dxa"/>
              <w:bottom w:w="150" w:type="dxa"/>
              <w:right w:w="240" w:type="dxa"/>
            </w:tcMar>
            <w:vAlign w:val="center"/>
            <w:hideMark/>
          </w:tcPr>
          <w:p w14:paraId="33C73DFD"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55</w:t>
            </w:r>
          </w:p>
        </w:tc>
        <w:tc>
          <w:tcPr>
            <w:tcW w:w="0" w:type="auto"/>
            <w:tcMar>
              <w:top w:w="150" w:type="dxa"/>
              <w:left w:w="240" w:type="dxa"/>
              <w:bottom w:w="150" w:type="dxa"/>
              <w:right w:w="0" w:type="dxa"/>
            </w:tcMar>
            <w:vAlign w:val="center"/>
            <w:hideMark/>
          </w:tcPr>
          <w:p w14:paraId="7DA1E0C2"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35.0</w:t>
            </w:r>
          </w:p>
        </w:tc>
      </w:tr>
      <w:tr w:rsidR="008A3742" w:rsidRPr="00D17CAE" w14:paraId="13C70E49" w14:textId="77777777" w:rsidTr="00D17CAE">
        <w:tc>
          <w:tcPr>
            <w:tcW w:w="0" w:type="auto"/>
            <w:tcMar>
              <w:top w:w="150" w:type="dxa"/>
              <w:left w:w="0" w:type="dxa"/>
              <w:bottom w:w="150" w:type="dxa"/>
              <w:right w:w="240" w:type="dxa"/>
            </w:tcMar>
            <w:vAlign w:val="center"/>
            <w:hideMark/>
          </w:tcPr>
          <w:p w14:paraId="7CFF011D"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b/>
                <w:bCs/>
                <w:kern w:val="0"/>
                <w:sz w:val="21"/>
                <w:szCs w:val="21"/>
                <w14:ligatures w14:val="none"/>
              </w:rPr>
              <w:lastRenderedPageBreak/>
              <w:t>Continuing education</w:t>
            </w:r>
          </w:p>
        </w:tc>
        <w:tc>
          <w:tcPr>
            <w:tcW w:w="0" w:type="auto"/>
            <w:tcMar>
              <w:top w:w="150" w:type="dxa"/>
              <w:left w:w="240" w:type="dxa"/>
              <w:bottom w:w="150" w:type="dxa"/>
              <w:right w:w="240" w:type="dxa"/>
            </w:tcMar>
            <w:vAlign w:val="center"/>
            <w:hideMark/>
          </w:tcPr>
          <w:p w14:paraId="5DDABAE8"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Yes</w:t>
            </w:r>
          </w:p>
        </w:tc>
        <w:tc>
          <w:tcPr>
            <w:tcW w:w="0" w:type="auto"/>
            <w:tcMar>
              <w:top w:w="150" w:type="dxa"/>
              <w:left w:w="240" w:type="dxa"/>
              <w:bottom w:w="150" w:type="dxa"/>
              <w:right w:w="240" w:type="dxa"/>
            </w:tcMar>
            <w:vAlign w:val="center"/>
            <w:hideMark/>
          </w:tcPr>
          <w:p w14:paraId="2B413C69"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16</w:t>
            </w:r>
          </w:p>
        </w:tc>
        <w:tc>
          <w:tcPr>
            <w:tcW w:w="0" w:type="auto"/>
            <w:tcMar>
              <w:top w:w="150" w:type="dxa"/>
              <w:left w:w="240" w:type="dxa"/>
              <w:bottom w:w="150" w:type="dxa"/>
              <w:right w:w="0" w:type="dxa"/>
            </w:tcMar>
            <w:vAlign w:val="center"/>
            <w:hideMark/>
          </w:tcPr>
          <w:p w14:paraId="00B751BA"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10.2</w:t>
            </w:r>
          </w:p>
        </w:tc>
      </w:tr>
      <w:tr w:rsidR="008A3742" w:rsidRPr="00D17CAE" w14:paraId="1212C469" w14:textId="77777777" w:rsidTr="00D17CAE">
        <w:tc>
          <w:tcPr>
            <w:tcW w:w="0" w:type="auto"/>
            <w:tcMar>
              <w:top w:w="150" w:type="dxa"/>
              <w:left w:w="0" w:type="dxa"/>
              <w:bottom w:w="150" w:type="dxa"/>
              <w:right w:w="240" w:type="dxa"/>
            </w:tcMar>
            <w:vAlign w:val="center"/>
            <w:hideMark/>
          </w:tcPr>
          <w:p w14:paraId="567BC576"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65531505"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No</w:t>
            </w:r>
          </w:p>
        </w:tc>
        <w:tc>
          <w:tcPr>
            <w:tcW w:w="0" w:type="auto"/>
            <w:tcMar>
              <w:top w:w="150" w:type="dxa"/>
              <w:left w:w="240" w:type="dxa"/>
              <w:bottom w:w="150" w:type="dxa"/>
              <w:right w:w="240" w:type="dxa"/>
            </w:tcMar>
            <w:vAlign w:val="center"/>
            <w:hideMark/>
          </w:tcPr>
          <w:p w14:paraId="3F5A5E8C"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141</w:t>
            </w:r>
          </w:p>
        </w:tc>
        <w:tc>
          <w:tcPr>
            <w:tcW w:w="0" w:type="auto"/>
            <w:tcMar>
              <w:top w:w="150" w:type="dxa"/>
              <w:left w:w="240" w:type="dxa"/>
              <w:bottom w:w="150" w:type="dxa"/>
              <w:right w:w="0" w:type="dxa"/>
            </w:tcMar>
            <w:vAlign w:val="center"/>
            <w:hideMark/>
          </w:tcPr>
          <w:p w14:paraId="08E9F2C2"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89.8</w:t>
            </w:r>
          </w:p>
        </w:tc>
      </w:tr>
    </w:tbl>
    <w:p w14:paraId="7505B201"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Interpretation:</w:t>
      </w:r>
      <w:r w:rsidRPr="00301E47">
        <w:rPr>
          <w:rFonts w:ascii="Times New Roman" w:eastAsia="Times New Roman" w:hAnsi="Times New Roman" w:cs="Times New Roman"/>
          <w:color w:val="0F1115"/>
          <w:kern w:val="0"/>
          <w14:ligatures w14:val="none"/>
        </w:rPr>
        <w:t> The sample was predominantly male (59.9%), highly experienced (35% had ≥25 years of experience), and had A1-level education (55.4%). Alarmingly, only 10.2% had participated in continuing education.</w:t>
      </w:r>
    </w:p>
    <w:p w14:paraId="768AC39A"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3.2. Knowledge of Post-Operative Complications</w:t>
      </w:r>
    </w:p>
    <w:p w14:paraId="447ED2B9"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All 157 nurses (100%) reported having encountered post-operative complications during their professional careers. Table 2 presents the types of complications most frequently encountered.</w:t>
      </w:r>
    </w:p>
    <w:p w14:paraId="5066CCB6"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Table 2</w:t>
      </w:r>
      <w:r w:rsidRPr="00301E47">
        <w:rPr>
          <w:rFonts w:ascii="Times New Roman" w:eastAsia="Times New Roman" w:hAnsi="Times New Roman" w:cs="Times New Roman"/>
          <w:color w:val="0F1115"/>
          <w:kern w:val="0"/>
          <w14:ligatures w14:val="none"/>
        </w:rPr>
        <w:br/>
        <w:t>*Most Frequently Encountered Post-Operative Complications (N = 157)*</w:t>
      </w:r>
    </w:p>
    <w:tbl>
      <w:tblPr>
        <w:tblW w:w="3202"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752"/>
        <w:gridCol w:w="795"/>
        <w:gridCol w:w="655"/>
      </w:tblGrid>
      <w:tr w:rsidR="008A3742" w:rsidRPr="00D17CAE" w14:paraId="49C7330E" w14:textId="77777777" w:rsidTr="00D17CAE">
        <w:trPr>
          <w:tblHeader/>
        </w:trPr>
        <w:tc>
          <w:tcPr>
            <w:tcW w:w="2164" w:type="dxa"/>
            <w:tcBorders>
              <w:top w:val="single" w:sz="4" w:space="0" w:color="auto"/>
              <w:bottom w:val="single" w:sz="4" w:space="0" w:color="auto"/>
            </w:tcBorders>
            <w:tcMar>
              <w:top w:w="150" w:type="dxa"/>
              <w:left w:w="0" w:type="dxa"/>
              <w:bottom w:w="150" w:type="dxa"/>
              <w:right w:w="240" w:type="dxa"/>
            </w:tcMar>
            <w:vAlign w:val="center"/>
            <w:hideMark/>
          </w:tcPr>
          <w:p w14:paraId="12C8433A"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Complication</w:t>
            </w:r>
          </w:p>
        </w:tc>
        <w:tc>
          <w:tcPr>
            <w:tcW w:w="490" w:type="dxa"/>
            <w:tcBorders>
              <w:top w:val="single" w:sz="4" w:space="0" w:color="auto"/>
              <w:bottom w:val="single" w:sz="4" w:space="0" w:color="auto"/>
            </w:tcBorders>
            <w:tcMar>
              <w:top w:w="150" w:type="dxa"/>
              <w:left w:w="240" w:type="dxa"/>
              <w:bottom w:w="150" w:type="dxa"/>
              <w:right w:w="240" w:type="dxa"/>
            </w:tcMar>
            <w:vAlign w:val="center"/>
            <w:hideMark/>
          </w:tcPr>
          <w:p w14:paraId="27C7CB22"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36C8A0A2"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w:t>
            </w:r>
          </w:p>
        </w:tc>
      </w:tr>
      <w:tr w:rsidR="008A3742" w:rsidRPr="00D17CAE" w14:paraId="575118EA" w14:textId="77777777" w:rsidTr="00D17CAE">
        <w:tc>
          <w:tcPr>
            <w:tcW w:w="2164" w:type="dxa"/>
            <w:tcBorders>
              <w:top w:val="single" w:sz="4" w:space="0" w:color="auto"/>
            </w:tcBorders>
            <w:tcMar>
              <w:top w:w="150" w:type="dxa"/>
              <w:left w:w="0" w:type="dxa"/>
              <w:bottom w:w="150" w:type="dxa"/>
              <w:right w:w="240" w:type="dxa"/>
            </w:tcMar>
            <w:vAlign w:val="center"/>
            <w:hideMark/>
          </w:tcPr>
          <w:p w14:paraId="79FE6F82"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Bleeding</w:t>
            </w:r>
          </w:p>
        </w:tc>
        <w:tc>
          <w:tcPr>
            <w:tcW w:w="490" w:type="dxa"/>
            <w:tcBorders>
              <w:top w:val="single" w:sz="4" w:space="0" w:color="auto"/>
            </w:tcBorders>
            <w:tcMar>
              <w:top w:w="150" w:type="dxa"/>
              <w:left w:w="240" w:type="dxa"/>
              <w:bottom w:w="150" w:type="dxa"/>
              <w:right w:w="240" w:type="dxa"/>
            </w:tcMar>
            <w:vAlign w:val="center"/>
            <w:hideMark/>
          </w:tcPr>
          <w:p w14:paraId="3108BCBF"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118</w:t>
            </w:r>
          </w:p>
        </w:tc>
        <w:tc>
          <w:tcPr>
            <w:tcW w:w="548" w:type="dxa"/>
            <w:tcBorders>
              <w:top w:val="single" w:sz="4" w:space="0" w:color="auto"/>
            </w:tcBorders>
            <w:tcMar>
              <w:top w:w="150" w:type="dxa"/>
              <w:left w:w="240" w:type="dxa"/>
              <w:bottom w:w="150" w:type="dxa"/>
              <w:right w:w="0" w:type="dxa"/>
            </w:tcMar>
            <w:vAlign w:val="center"/>
            <w:hideMark/>
          </w:tcPr>
          <w:p w14:paraId="373DC23B"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75.2</w:t>
            </w:r>
          </w:p>
        </w:tc>
      </w:tr>
      <w:tr w:rsidR="008A3742" w:rsidRPr="00D17CAE" w14:paraId="55D3AF84" w14:textId="77777777" w:rsidTr="00D17CAE">
        <w:tc>
          <w:tcPr>
            <w:tcW w:w="2164" w:type="dxa"/>
            <w:tcMar>
              <w:top w:w="150" w:type="dxa"/>
              <w:left w:w="0" w:type="dxa"/>
              <w:bottom w:w="150" w:type="dxa"/>
              <w:right w:w="240" w:type="dxa"/>
            </w:tcMar>
            <w:vAlign w:val="center"/>
            <w:hideMark/>
          </w:tcPr>
          <w:p w14:paraId="5D35ADC9"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Pneumonia</w:t>
            </w:r>
          </w:p>
        </w:tc>
        <w:tc>
          <w:tcPr>
            <w:tcW w:w="490" w:type="dxa"/>
            <w:tcMar>
              <w:top w:w="150" w:type="dxa"/>
              <w:left w:w="240" w:type="dxa"/>
              <w:bottom w:w="150" w:type="dxa"/>
              <w:right w:w="240" w:type="dxa"/>
            </w:tcMar>
            <w:vAlign w:val="center"/>
            <w:hideMark/>
          </w:tcPr>
          <w:p w14:paraId="6F58DD9F"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16</w:t>
            </w:r>
          </w:p>
        </w:tc>
        <w:tc>
          <w:tcPr>
            <w:tcW w:w="548" w:type="dxa"/>
            <w:tcMar>
              <w:top w:w="150" w:type="dxa"/>
              <w:left w:w="240" w:type="dxa"/>
              <w:bottom w:w="150" w:type="dxa"/>
              <w:right w:w="0" w:type="dxa"/>
            </w:tcMar>
            <w:vAlign w:val="center"/>
            <w:hideMark/>
          </w:tcPr>
          <w:p w14:paraId="3F3B024A"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10.2</w:t>
            </w:r>
          </w:p>
        </w:tc>
      </w:tr>
      <w:tr w:rsidR="008A3742" w:rsidRPr="00D17CAE" w14:paraId="0FA8F65A" w14:textId="77777777" w:rsidTr="00D17CAE">
        <w:tc>
          <w:tcPr>
            <w:tcW w:w="2164" w:type="dxa"/>
            <w:tcMar>
              <w:top w:w="150" w:type="dxa"/>
              <w:left w:w="0" w:type="dxa"/>
              <w:bottom w:w="150" w:type="dxa"/>
              <w:right w:w="240" w:type="dxa"/>
            </w:tcMar>
            <w:vAlign w:val="center"/>
            <w:hideMark/>
          </w:tcPr>
          <w:p w14:paraId="3501449A"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Deep vein thrombosis</w:t>
            </w:r>
          </w:p>
        </w:tc>
        <w:tc>
          <w:tcPr>
            <w:tcW w:w="490" w:type="dxa"/>
            <w:tcMar>
              <w:top w:w="150" w:type="dxa"/>
              <w:left w:w="240" w:type="dxa"/>
              <w:bottom w:w="150" w:type="dxa"/>
              <w:right w:w="240" w:type="dxa"/>
            </w:tcMar>
            <w:vAlign w:val="center"/>
            <w:hideMark/>
          </w:tcPr>
          <w:p w14:paraId="0CB1A622"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16</w:t>
            </w:r>
          </w:p>
        </w:tc>
        <w:tc>
          <w:tcPr>
            <w:tcW w:w="548" w:type="dxa"/>
            <w:tcMar>
              <w:top w:w="150" w:type="dxa"/>
              <w:left w:w="240" w:type="dxa"/>
              <w:bottom w:w="150" w:type="dxa"/>
              <w:right w:w="0" w:type="dxa"/>
            </w:tcMar>
            <w:vAlign w:val="center"/>
            <w:hideMark/>
          </w:tcPr>
          <w:p w14:paraId="163F2631"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10.2</w:t>
            </w:r>
          </w:p>
        </w:tc>
      </w:tr>
      <w:tr w:rsidR="008A3742" w:rsidRPr="00D17CAE" w14:paraId="58BFADD5" w14:textId="77777777" w:rsidTr="00D17CAE">
        <w:tc>
          <w:tcPr>
            <w:tcW w:w="2164" w:type="dxa"/>
            <w:tcMar>
              <w:top w:w="150" w:type="dxa"/>
              <w:left w:w="0" w:type="dxa"/>
              <w:bottom w:w="150" w:type="dxa"/>
              <w:right w:w="240" w:type="dxa"/>
            </w:tcMar>
            <w:vAlign w:val="center"/>
            <w:hideMark/>
          </w:tcPr>
          <w:p w14:paraId="5FFF9849"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Infection</w:t>
            </w:r>
          </w:p>
        </w:tc>
        <w:tc>
          <w:tcPr>
            <w:tcW w:w="490" w:type="dxa"/>
            <w:tcMar>
              <w:top w:w="150" w:type="dxa"/>
              <w:left w:w="240" w:type="dxa"/>
              <w:bottom w:w="150" w:type="dxa"/>
              <w:right w:w="240" w:type="dxa"/>
            </w:tcMar>
            <w:vAlign w:val="center"/>
            <w:hideMark/>
          </w:tcPr>
          <w:p w14:paraId="6B820E32"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8</w:t>
            </w:r>
          </w:p>
        </w:tc>
        <w:tc>
          <w:tcPr>
            <w:tcW w:w="548" w:type="dxa"/>
            <w:tcMar>
              <w:top w:w="150" w:type="dxa"/>
              <w:left w:w="240" w:type="dxa"/>
              <w:bottom w:w="150" w:type="dxa"/>
              <w:right w:w="0" w:type="dxa"/>
            </w:tcMar>
            <w:vAlign w:val="center"/>
            <w:hideMark/>
          </w:tcPr>
          <w:p w14:paraId="776780A8"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5.1</w:t>
            </w:r>
          </w:p>
        </w:tc>
      </w:tr>
    </w:tbl>
    <w:p w14:paraId="4C7CA782"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Interpretation:</w:t>
      </w:r>
      <w:r w:rsidRPr="00301E47">
        <w:rPr>
          <w:rFonts w:ascii="Times New Roman" w:eastAsia="Times New Roman" w:hAnsi="Times New Roman" w:cs="Times New Roman"/>
          <w:color w:val="0F1115"/>
          <w:kern w:val="0"/>
          <w14:ligatures w14:val="none"/>
        </w:rPr>
        <w:t xml:space="preserve"> Bleeding was the </w:t>
      </w:r>
      <w:proofErr w:type="gramStart"/>
      <w:r w:rsidRPr="00301E47">
        <w:rPr>
          <w:rFonts w:ascii="Times New Roman" w:eastAsia="Times New Roman" w:hAnsi="Times New Roman" w:cs="Times New Roman"/>
          <w:color w:val="0F1115"/>
          <w:kern w:val="0"/>
          <w14:ligatures w14:val="none"/>
        </w:rPr>
        <w:t>most commonly reported</w:t>
      </w:r>
      <w:proofErr w:type="gramEnd"/>
      <w:r w:rsidRPr="00301E47">
        <w:rPr>
          <w:rFonts w:ascii="Times New Roman" w:eastAsia="Times New Roman" w:hAnsi="Times New Roman" w:cs="Times New Roman"/>
          <w:color w:val="0F1115"/>
          <w:kern w:val="0"/>
          <w14:ligatures w14:val="none"/>
        </w:rPr>
        <w:t xml:space="preserve"> complication (75.2%), followed by pneumonia and deep vein thrombosis (10.2% each). Infection, while less frequent (5.1%), remains clinically significant.</w:t>
      </w:r>
    </w:p>
    <w:p w14:paraId="65330BFA"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3.3. Preventive Practices</w:t>
      </w:r>
    </w:p>
    <w:p w14:paraId="725F6948"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Table 3 presents the preventive methods used by nurses.</w:t>
      </w:r>
    </w:p>
    <w:p w14:paraId="5156EBD6"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lastRenderedPageBreak/>
        <w:t>Table 3</w:t>
      </w:r>
      <w:r w:rsidRPr="00301E47">
        <w:rPr>
          <w:rFonts w:ascii="Times New Roman" w:eastAsia="Times New Roman" w:hAnsi="Times New Roman" w:cs="Times New Roman"/>
          <w:color w:val="0F1115"/>
          <w:kern w:val="0"/>
          <w14:ligatures w14:val="none"/>
        </w:rPr>
        <w:br/>
        <w:t>*Preventive Methods Used for Post-Operative Infections (N = 157)*</w:t>
      </w:r>
    </w:p>
    <w:tbl>
      <w:tblPr>
        <w:tblW w:w="314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800"/>
        <w:gridCol w:w="690"/>
        <w:gridCol w:w="655"/>
      </w:tblGrid>
      <w:tr w:rsidR="008A3742" w:rsidRPr="00D17CAE" w14:paraId="04943278" w14:textId="77777777" w:rsidTr="00D17CAE">
        <w:trPr>
          <w:tblHeader/>
        </w:trPr>
        <w:tc>
          <w:tcPr>
            <w:tcW w:w="2222" w:type="dxa"/>
            <w:tcBorders>
              <w:top w:val="single" w:sz="4" w:space="0" w:color="auto"/>
              <w:bottom w:val="single" w:sz="4" w:space="0" w:color="auto"/>
            </w:tcBorders>
            <w:tcMar>
              <w:top w:w="150" w:type="dxa"/>
              <w:left w:w="0" w:type="dxa"/>
              <w:bottom w:w="150" w:type="dxa"/>
              <w:right w:w="240" w:type="dxa"/>
            </w:tcMar>
            <w:vAlign w:val="center"/>
            <w:hideMark/>
          </w:tcPr>
          <w:p w14:paraId="0EA2542D"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Preventive method</w:t>
            </w:r>
          </w:p>
        </w:tc>
        <w:tc>
          <w:tcPr>
            <w:tcW w:w="375" w:type="dxa"/>
            <w:tcBorders>
              <w:top w:val="single" w:sz="4" w:space="0" w:color="auto"/>
              <w:bottom w:val="single" w:sz="4" w:space="0" w:color="auto"/>
            </w:tcBorders>
            <w:tcMar>
              <w:top w:w="150" w:type="dxa"/>
              <w:left w:w="240" w:type="dxa"/>
              <w:bottom w:w="150" w:type="dxa"/>
              <w:right w:w="240" w:type="dxa"/>
            </w:tcMar>
            <w:vAlign w:val="center"/>
            <w:hideMark/>
          </w:tcPr>
          <w:p w14:paraId="0483F740"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55B10EDE"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w:t>
            </w:r>
          </w:p>
        </w:tc>
      </w:tr>
      <w:tr w:rsidR="008A3742" w:rsidRPr="00D17CAE" w14:paraId="519ABCC9" w14:textId="77777777" w:rsidTr="00D17CAE">
        <w:tc>
          <w:tcPr>
            <w:tcW w:w="2222" w:type="dxa"/>
            <w:tcBorders>
              <w:top w:val="single" w:sz="4" w:space="0" w:color="auto"/>
            </w:tcBorders>
            <w:tcMar>
              <w:top w:w="150" w:type="dxa"/>
              <w:left w:w="0" w:type="dxa"/>
              <w:bottom w:w="150" w:type="dxa"/>
              <w:right w:w="240" w:type="dxa"/>
            </w:tcMar>
            <w:vAlign w:val="center"/>
            <w:hideMark/>
          </w:tcPr>
          <w:p w14:paraId="4460D493"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Antibiotic prophylaxis</w:t>
            </w:r>
          </w:p>
        </w:tc>
        <w:tc>
          <w:tcPr>
            <w:tcW w:w="375" w:type="dxa"/>
            <w:tcBorders>
              <w:top w:val="single" w:sz="4" w:space="0" w:color="auto"/>
            </w:tcBorders>
            <w:tcMar>
              <w:top w:w="150" w:type="dxa"/>
              <w:left w:w="240" w:type="dxa"/>
              <w:bottom w:w="150" w:type="dxa"/>
              <w:right w:w="240" w:type="dxa"/>
            </w:tcMar>
            <w:vAlign w:val="center"/>
            <w:hideMark/>
          </w:tcPr>
          <w:p w14:paraId="51C7E0F8"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71</w:t>
            </w:r>
          </w:p>
        </w:tc>
        <w:tc>
          <w:tcPr>
            <w:tcW w:w="548" w:type="dxa"/>
            <w:tcBorders>
              <w:top w:val="single" w:sz="4" w:space="0" w:color="auto"/>
            </w:tcBorders>
            <w:tcMar>
              <w:top w:w="150" w:type="dxa"/>
              <w:left w:w="240" w:type="dxa"/>
              <w:bottom w:w="150" w:type="dxa"/>
              <w:right w:w="0" w:type="dxa"/>
            </w:tcMar>
            <w:vAlign w:val="center"/>
            <w:hideMark/>
          </w:tcPr>
          <w:p w14:paraId="7C0E7490"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45.2</w:t>
            </w:r>
          </w:p>
        </w:tc>
      </w:tr>
      <w:tr w:rsidR="008A3742" w:rsidRPr="00D17CAE" w14:paraId="2C320293" w14:textId="77777777" w:rsidTr="00D17CAE">
        <w:tc>
          <w:tcPr>
            <w:tcW w:w="2222" w:type="dxa"/>
            <w:tcMar>
              <w:top w:w="150" w:type="dxa"/>
              <w:left w:w="0" w:type="dxa"/>
              <w:bottom w:w="150" w:type="dxa"/>
              <w:right w:w="240" w:type="dxa"/>
            </w:tcMar>
            <w:vAlign w:val="center"/>
            <w:hideMark/>
          </w:tcPr>
          <w:p w14:paraId="38494A41"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Hand hygiene</w:t>
            </w:r>
          </w:p>
        </w:tc>
        <w:tc>
          <w:tcPr>
            <w:tcW w:w="375" w:type="dxa"/>
            <w:tcMar>
              <w:top w:w="150" w:type="dxa"/>
              <w:left w:w="240" w:type="dxa"/>
              <w:bottom w:w="150" w:type="dxa"/>
              <w:right w:w="240" w:type="dxa"/>
            </w:tcMar>
            <w:vAlign w:val="center"/>
            <w:hideMark/>
          </w:tcPr>
          <w:p w14:paraId="6EB27448"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38</w:t>
            </w:r>
          </w:p>
        </w:tc>
        <w:tc>
          <w:tcPr>
            <w:tcW w:w="548" w:type="dxa"/>
            <w:tcMar>
              <w:top w:w="150" w:type="dxa"/>
              <w:left w:w="240" w:type="dxa"/>
              <w:bottom w:w="150" w:type="dxa"/>
              <w:right w:w="0" w:type="dxa"/>
            </w:tcMar>
            <w:vAlign w:val="center"/>
            <w:hideMark/>
          </w:tcPr>
          <w:p w14:paraId="4F23D1BC"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24.2</w:t>
            </w:r>
          </w:p>
        </w:tc>
      </w:tr>
      <w:tr w:rsidR="008A3742" w:rsidRPr="00D17CAE" w14:paraId="613C3149" w14:textId="77777777" w:rsidTr="00D17CAE">
        <w:tc>
          <w:tcPr>
            <w:tcW w:w="2222" w:type="dxa"/>
            <w:tcMar>
              <w:top w:w="150" w:type="dxa"/>
              <w:left w:w="0" w:type="dxa"/>
              <w:bottom w:w="150" w:type="dxa"/>
              <w:right w:w="240" w:type="dxa"/>
            </w:tcMar>
            <w:vAlign w:val="center"/>
            <w:hideMark/>
          </w:tcPr>
          <w:p w14:paraId="15997CC0"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Patient education</w:t>
            </w:r>
          </w:p>
        </w:tc>
        <w:tc>
          <w:tcPr>
            <w:tcW w:w="375" w:type="dxa"/>
            <w:tcMar>
              <w:top w:w="150" w:type="dxa"/>
              <w:left w:w="240" w:type="dxa"/>
              <w:bottom w:w="150" w:type="dxa"/>
              <w:right w:w="240" w:type="dxa"/>
            </w:tcMar>
            <w:vAlign w:val="center"/>
            <w:hideMark/>
          </w:tcPr>
          <w:p w14:paraId="3C537FD5"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32</w:t>
            </w:r>
          </w:p>
        </w:tc>
        <w:tc>
          <w:tcPr>
            <w:tcW w:w="548" w:type="dxa"/>
            <w:tcMar>
              <w:top w:w="150" w:type="dxa"/>
              <w:left w:w="240" w:type="dxa"/>
              <w:bottom w:w="150" w:type="dxa"/>
              <w:right w:w="0" w:type="dxa"/>
            </w:tcMar>
            <w:vAlign w:val="center"/>
            <w:hideMark/>
          </w:tcPr>
          <w:p w14:paraId="6A5BDD0D"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20.3</w:t>
            </w:r>
          </w:p>
        </w:tc>
      </w:tr>
      <w:tr w:rsidR="008A3742" w:rsidRPr="00D17CAE" w14:paraId="3D861FCA" w14:textId="77777777" w:rsidTr="00D17CAE">
        <w:tc>
          <w:tcPr>
            <w:tcW w:w="2222" w:type="dxa"/>
            <w:tcMar>
              <w:top w:w="150" w:type="dxa"/>
              <w:left w:w="0" w:type="dxa"/>
              <w:bottom w:w="150" w:type="dxa"/>
              <w:right w:w="240" w:type="dxa"/>
            </w:tcMar>
            <w:vAlign w:val="center"/>
            <w:hideMark/>
          </w:tcPr>
          <w:p w14:paraId="5D3B9722"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Aseptic wound care</w:t>
            </w:r>
          </w:p>
        </w:tc>
        <w:tc>
          <w:tcPr>
            <w:tcW w:w="375" w:type="dxa"/>
            <w:tcMar>
              <w:top w:w="150" w:type="dxa"/>
              <w:left w:w="240" w:type="dxa"/>
              <w:bottom w:w="150" w:type="dxa"/>
              <w:right w:w="240" w:type="dxa"/>
            </w:tcMar>
            <w:vAlign w:val="center"/>
            <w:hideMark/>
          </w:tcPr>
          <w:p w14:paraId="5221D67B"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16</w:t>
            </w:r>
          </w:p>
        </w:tc>
        <w:tc>
          <w:tcPr>
            <w:tcW w:w="548" w:type="dxa"/>
            <w:tcMar>
              <w:top w:w="150" w:type="dxa"/>
              <w:left w:w="240" w:type="dxa"/>
              <w:bottom w:w="150" w:type="dxa"/>
              <w:right w:w="0" w:type="dxa"/>
            </w:tcMar>
            <w:vAlign w:val="center"/>
            <w:hideMark/>
          </w:tcPr>
          <w:p w14:paraId="772E126F"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10.1</w:t>
            </w:r>
          </w:p>
        </w:tc>
      </w:tr>
    </w:tbl>
    <w:p w14:paraId="5D7E5EC6"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Interpretation:</w:t>
      </w:r>
      <w:r w:rsidRPr="00301E47">
        <w:rPr>
          <w:rFonts w:ascii="Times New Roman" w:eastAsia="Times New Roman" w:hAnsi="Times New Roman" w:cs="Times New Roman"/>
          <w:color w:val="0F1115"/>
          <w:kern w:val="0"/>
          <w14:ligatures w14:val="none"/>
        </w:rPr>
        <w:t> Antibiotic prophylaxis was the most frequently used method (45.2%). Hand hygiene (24.2%) and patient education (20.3%) were underutilized relative to their known effectiveness.</w:t>
      </w:r>
    </w:p>
    <w:p w14:paraId="5406BC54"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3.4. Attitudes Toward Prevention</w:t>
      </w:r>
    </w:p>
    <w:p w14:paraId="2173B9A9"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Table 4</w:t>
      </w:r>
      <w:r w:rsidRPr="00301E47">
        <w:rPr>
          <w:rFonts w:ascii="Times New Roman" w:eastAsia="Times New Roman" w:hAnsi="Times New Roman" w:cs="Times New Roman"/>
          <w:color w:val="0F1115"/>
          <w:kern w:val="0"/>
          <w14:ligatures w14:val="none"/>
        </w:rPr>
        <w:br/>
        <w:t>*Attitudes Toward Prevention of Post-Operative Complications (N = 157)*</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128"/>
        <w:gridCol w:w="1769"/>
        <w:gridCol w:w="795"/>
        <w:gridCol w:w="713"/>
      </w:tblGrid>
      <w:tr w:rsidR="008A3742" w:rsidRPr="00D17CAE" w14:paraId="34932A83" w14:textId="77777777" w:rsidTr="00D17CAE">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6FA64562"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Attitude item</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8C0BB42"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4DCBA26"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2DE4894"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w:t>
            </w:r>
          </w:p>
        </w:tc>
      </w:tr>
      <w:tr w:rsidR="008A3742" w:rsidRPr="00D17CAE" w14:paraId="1BC515F1" w14:textId="77777777" w:rsidTr="00D17CAE">
        <w:tc>
          <w:tcPr>
            <w:tcW w:w="0" w:type="auto"/>
            <w:tcBorders>
              <w:top w:val="single" w:sz="4" w:space="0" w:color="auto"/>
            </w:tcBorders>
            <w:tcMar>
              <w:top w:w="150" w:type="dxa"/>
              <w:left w:w="0" w:type="dxa"/>
              <w:bottom w:w="150" w:type="dxa"/>
              <w:right w:w="240" w:type="dxa"/>
            </w:tcMar>
            <w:vAlign w:val="center"/>
            <w:hideMark/>
          </w:tcPr>
          <w:p w14:paraId="0CD2A7C7"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b/>
                <w:bCs/>
                <w:kern w:val="0"/>
                <w:sz w:val="21"/>
                <w:szCs w:val="21"/>
                <w14:ligatures w14:val="none"/>
              </w:rPr>
              <w:t>Importance of prevention</w:t>
            </w:r>
          </w:p>
        </w:tc>
        <w:tc>
          <w:tcPr>
            <w:tcW w:w="0" w:type="auto"/>
            <w:tcBorders>
              <w:top w:val="single" w:sz="4" w:space="0" w:color="auto"/>
            </w:tcBorders>
            <w:tcMar>
              <w:top w:w="150" w:type="dxa"/>
              <w:left w:w="240" w:type="dxa"/>
              <w:bottom w:w="150" w:type="dxa"/>
              <w:right w:w="240" w:type="dxa"/>
            </w:tcMar>
            <w:vAlign w:val="center"/>
            <w:hideMark/>
          </w:tcPr>
          <w:p w14:paraId="087B3C03"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Very important</w:t>
            </w:r>
          </w:p>
        </w:tc>
        <w:tc>
          <w:tcPr>
            <w:tcW w:w="0" w:type="auto"/>
            <w:tcBorders>
              <w:top w:val="single" w:sz="4" w:space="0" w:color="auto"/>
            </w:tcBorders>
            <w:tcMar>
              <w:top w:w="150" w:type="dxa"/>
              <w:left w:w="240" w:type="dxa"/>
              <w:bottom w:w="150" w:type="dxa"/>
              <w:right w:w="240" w:type="dxa"/>
            </w:tcMar>
            <w:vAlign w:val="center"/>
            <w:hideMark/>
          </w:tcPr>
          <w:p w14:paraId="7AB9F3D6"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157</w:t>
            </w:r>
          </w:p>
        </w:tc>
        <w:tc>
          <w:tcPr>
            <w:tcW w:w="0" w:type="auto"/>
            <w:tcBorders>
              <w:top w:val="single" w:sz="4" w:space="0" w:color="auto"/>
            </w:tcBorders>
            <w:tcMar>
              <w:top w:w="150" w:type="dxa"/>
              <w:left w:w="240" w:type="dxa"/>
              <w:bottom w:w="150" w:type="dxa"/>
              <w:right w:w="0" w:type="dxa"/>
            </w:tcMar>
            <w:vAlign w:val="center"/>
            <w:hideMark/>
          </w:tcPr>
          <w:p w14:paraId="4ACC5426"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100.0</w:t>
            </w:r>
          </w:p>
        </w:tc>
      </w:tr>
      <w:tr w:rsidR="008A3742" w:rsidRPr="00D17CAE" w14:paraId="0142FACB" w14:textId="77777777" w:rsidTr="00D17CAE">
        <w:tc>
          <w:tcPr>
            <w:tcW w:w="0" w:type="auto"/>
            <w:tcMar>
              <w:top w:w="150" w:type="dxa"/>
              <w:left w:w="0" w:type="dxa"/>
              <w:bottom w:w="150" w:type="dxa"/>
              <w:right w:w="240" w:type="dxa"/>
            </w:tcMar>
            <w:vAlign w:val="center"/>
            <w:hideMark/>
          </w:tcPr>
          <w:p w14:paraId="72E773BF"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b/>
                <w:bCs/>
                <w:kern w:val="0"/>
                <w:sz w:val="21"/>
                <w:szCs w:val="21"/>
                <w14:ligatures w14:val="none"/>
              </w:rPr>
              <w:t>Importance of patient education</w:t>
            </w:r>
          </w:p>
        </w:tc>
        <w:tc>
          <w:tcPr>
            <w:tcW w:w="0" w:type="auto"/>
            <w:tcMar>
              <w:top w:w="150" w:type="dxa"/>
              <w:left w:w="240" w:type="dxa"/>
              <w:bottom w:w="150" w:type="dxa"/>
              <w:right w:w="240" w:type="dxa"/>
            </w:tcMar>
            <w:vAlign w:val="center"/>
            <w:hideMark/>
          </w:tcPr>
          <w:p w14:paraId="3450653E"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Very important</w:t>
            </w:r>
          </w:p>
        </w:tc>
        <w:tc>
          <w:tcPr>
            <w:tcW w:w="0" w:type="auto"/>
            <w:tcMar>
              <w:top w:w="150" w:type="dxa"/>
              <w:left w:w="240" w:type="dxa"/>
              <w:bottom w:w="150" w:type="dxa"/>
              <w:right w:w="240" w:type="dxa"/>
            </w:tcMar>
            <w:vAlign w:val="center"/>
            <w:hideMark/>
          </w:tcPr>
          <w:p w14:paraId="0B48C2EF"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149</w:t>
            </w:r>
          </w:p>
        </w:tc>
        <w:tc>
          <w:tcPr>
            <w:tcW w:w="0" w:type="auto"/>
            <w:tcMar>
              <w:top w:w="150" w:type="dxa"/>
              <w:left w:w="240" w:type="dxa"/>
              <w:bottom w:w="150" w:type="dxa"/>
              <w:right w:w="0" w:type="dxa"/>
            </w:tcMar>
            <w:vAlign w:val="center"/>
            <w:hideMark/>
          </w:tcPr>
          <w:p w14:paraId="016B0246"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94.9</w:t>
            </w:r>
          </w:p>
        </w:tc>
      </w:tr>
      <w:tr w:rsidR="008A3742" w:rsidRPr="00D17CAE" w14:paraId="3B12F5AF" w14:textId="77777777" w:rsidTr="00D17CAE">
        <w:tc>
          <w:tcPr>
            <w:tcW w:w="0" w:type="auto"/>
            <w:tcMar>
              <w:top w:w="150" w:type="dxa"/>
              <w:left w:w="0" w:type="dxa"/>
              <w:bottom w:w="150" w:type="dxa"/>
              <w:right w:w="240" w:type="dxa"/>
            </w:tcMar>
            <w:vAlign w:val="center"/>
            <w:hideMark/>
          </w:tcPr>
          <w:p w14:paraId="019BFC8B"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58340159"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Not important</w:t>
            </w:r>
          </w:p>
        </w:tc>
        <w:tc>
          <w:tcPr>
            <w:tcW w:w="0" w:type="auto"/>
            <w:tcMar>
              <w:top w:w="150" w:type="dxa"/>
              <w:left w:w="240" w:type="dxa"/>
              <w:bottom w:w="150" w:type="dxa"/>
              <w:right w:w="240" w:type="dxa"/>
            </w:tcMar>
            <w:vAlign w:val="center"/>
            <w:hideMark/>
          </w:tcPr>
          <w:p w14:paraId="5E24A245"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8</w:t>
            </w:r>
          </w:p>
        </w:tc>
        <w:tc>
          <w:tcPr>
            <w:tcW w:w="0" w:type="auto"/>
            <w:tcMar>
              <w:top w:w="150" w:type="dxa"/>
              <w:left w:w="240" w:type="dxa"/>
              <w:bottom w:w="150" w:type="dxa"/>
              <w:right w:w="0" w:type="dxa"/>
            </w:tcMar>
            <w:vAlign w:val="center"/>
            <w:hideMark/>
          </w:tcPr>
          <w:p w14:paraId="3E721EC3"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5.1</w:t>
            </w:r>
          </w:p>
        </w:tc>
      </w:tr>
      <w:tr w:rsidR="008A3742" w:rsidRPr="00D17CAE" w14:paraId="60D581E8" w14:textId="77777777" w:rsidTr="00D17CAE">
        <w:tc>
          <w:tcPr>
            <w:tcW w:w="0" w:type="auto"/>
            <w:tcMar>
              <w:top w:w="150" w:type="dxa"/>
              <w:left w:w="0" w:type="dxa"/>
              <w:bottom w:w="150" w:type="dxa"/>
              <w:right w:w="240" w:type="dxa"/>
            </w:tcMar>
            <w:vAlign w:val="center"/>
            <w:hideMark/>
          </w:tcPr>
          <w:p w14:paraId="6168020E"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b/>
                <w:bCs/>
                <w:kern w:val="0"/>
                <w:sz w:val="21"/>
                <w:szCs w:val="21"/>
                <w14:ligatures w14:val="none"/>
              </w:rPr>
              <w:t>Confidence in identifying signs</w:t>
            </w:r>
          </w:p>
        </w:tc>
        <w:tc>
          <w:tcPr>
            <w:tcW w:w="0" w:type="auto"/>
            <w:tcMar>
              <w:top w:w="150" w:type="dxa"/>
              <w:left w:w="240" w:type="dxa"/>
              <w:bottom w:w="150" w:type="dxa"/>
              <w:right w:w="240" w:type="dxa"/>
            </w:tcMar>
            <w:vAlign w:val="center"/>
            <w:hideMark/>
          </w:tcPr>
          <w:p w14:paraId="6E23B7DD"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Very confident</w:t>
            </w:r>
          </w:p>
        </w:tc>
        <w:tc>
          <w:tcPr>
            <w:tcW w:w="0" w:type="auto"/>
            <w:tcMar>
              <w:top w:w="150" w:type="dxa"/>
              <w:left w:w="240" w:type="dxa"/>
              <w:bottom w:w="150" w:type="dxa"/>
              <w:right w:w="240" w:type="dxa"/>
            </w:tcMar>
            <w:vAlign w:val="center"/>
            <w:hideMark/>
          </w:tcPr>
          <w:p w14:paraId="6B517EE3"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149</w:t>
            </w:r>
          </w:p>
        </w:tc>
        <w:tc>
          <w:tcPr>
            <w:tcW w:w="0" w:type="auto"/>
            <w:tcMar>
              <w:top w:w="150" w:type="dxa"/>
              <w:left w:w="240" w:type="dxa"/>
              <w:bottom w:w="150" w:type="dxa"/>
              <w:right w:w="0" w:type="dxa"/>
            </w:tcMar>
            <w:vAlign w:val="center"/>
            <w:hideMark/>
          </w:tcPr>
          <w:p w14:paraId="307DAFFE"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94.9</w:t>
            </w:r>
          </w:p>
        </w:tc>
      </w:tr>
      <w:tr w:rsidR="008A3742" w:rsidRPr="00D17CAE" w14:paraId="397218A0" w14:textId="77777777" w:rsidTr="00D17CAE">
        <w:tc>
          <w:tcPr>
            <w:tcW w:w="0" w:type="auto"/>
            <w:tcMar>
              <w:top w:w="150" w:type="dxa"/>
              <w:left w:w="0" w:type="dxa"/>
              <w:bottom w:w="150" w:type="dxa"/>
              <w:right w:w="240" w:type="dxa"/>
            </w:tcMar>
            <w:vAlign w:val="center"/>
            <w:hideMark/>
          </w:tcPr>
          <w:p w14:paraId="79E58AED"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760FAAA5"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Confident</w:t>
            </w:r>
          </w:p>
        </w:tc>
        <w:tc>
          <w:tcPr>
            <w:tcW w:w="0" w:type="auto"/>
            <w:tcMar>
              <w:top w:w="150" w:type="dxa"/>
              <w:left w:w="240" w:type="dxa"/>
              <w:bottom w:w="150" w:type="dxa"/>
              <w:right w:w="240" w:type="dxa"/>
            </w:tcMar>
            <w:vAlign w:val="center"/>
            <w:hideMark/>
          </w:tcPr>
          <w:p w14:paraId="52126238"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8</w:t>
            </w:r>
          </w:p>
        </w:tc>
        <w:tc>
          <w:tcPr>
            <w:tcW w:w="0" w:type="auto"/>
            <w:tcMar>
              <w:top w:w="150" w:type="dxa"/>
              <w:left w:w="240" w:type="dxa"/>
              <w:bottom w:w="150" w:type="dxa"/>
              <w:right w:w="0" w:type="dxa"/>
            </w:tcMar>
            <w:vAlign w:val="center"/>
            <w:hideMark/>
          </w:tcPr>
          <w:p w14:paraId="264ED5F0"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5.1</w:t>
            </w:r>
          </w:p>
        </w:tc>
      </w:tr>
      <w:tr w:rsidR="008A3742" w:rsidRPr="00D17CAE" w14:paraId="5128D033" w14:textId="77777777" w:rsidTr="00D17CAE">
        <w:tc>
          <w:tcPr>
            <w:tcW w:w="0" w:type="auto"/>
            <w:tcMar>
              <w:top w:w="150" w:type="dxa"/>
              <w:left w:w="0" w:type="dxa"/>
              <w:bottom w:w="150" w:type="dxa"/>
              <w:right w:w="240" w:type="dxa"/>
            </w:tcMar>
            <w:vAlign w:val="center"/>
            <w:hideMark/>
          </w:tcPr>
          <w:p w14:paraId="6927940E"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b/>
                <w:bCs/>
                <w:kern w:val="0"/>
                <w:sz w:val="21"/>
                <w:szCs w:val="21"/>
                <w14:ligatures w14:val="none"/>
              </w:rPr>
              <w:t>Importance of collaboration</w:t>
            </w:r>
          </w:p>
        </w:tc>
        <w:tc>
          <w:tcPr>
            <w:tcW w:w="0" w:type="auto"/>
            <w:tcMar>
              <w:top w:w="150" w:type="dxa"/>
              <w:left w:w="240" w:type="dxa"/>
              <w:bottom w:w="150" w:type="dxa"/>
              <w:right w:w="240" w:type="dxa"/>
            </w:tcMar>
            <w:vAlign w:val="center"/>
            <w:hideMark/>
          </w:tcPr>
          <w:p w14:paraId="2E67C670"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Totally agree</w:t>
            </w:r>
          </w:p>
        </w:tc>
        <w:tc>
          <w:tcPr>
            <w:tcW w:w="0" w:type="auto"/>
            <w:tcMar>
              <w:top w:w="150" w:type="dxa"/>
              <w:left w:w="240" w:type="dxa"/>
              <w:bottom w:w="150" w:type="dxa"/>
              <w:right w:w="240" w:type="dxa"/>
            </w:tcMar>
            <w:vAlign w:val="center"/>
            <w:hideMark/>
          </w:tcPr>
          <w:p w14:paraId="5E3478FF"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157</w:t>
            </w:r>
          </w:p>
        </w:tc>
        <w:tc>
          <w:tcPr>
            <w:tcW w:w="0" w:type="auto"/>
            <w:tcMar>
              <w:top w:w="150" w:type="dxa"/>
              <w:left w:w="240" w:type="dxa"/>
              <w:bottom w:w="150" w:type="dxa"/>
              <w:right w:w="0" w:type="dxa"/>
            </w:tcMar>
            <w:vAlign w:val="center"/>
            <w:hideMark/>
          </w:tcPr>
          <w:p w14:paraId="1E12C553"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100.0</w:t>
            </w:r>
          </w:p>
        </w:tc>
      </w:tr>
    </w:tbl>
    <w:p w14:paraId="25C82692"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lastRenderedPageBreak/>
        <w:t>Interpretation:</w:t>
      </w:r>
      <w:r w:rsidRPr="00301E47">
        <w:rPr>
          <w:rFonts w:ascii="Times New Roman" w:eastAsia="Times New Roman" w:hAnsi="Times New Roman" w:cs="Times New Roman"/>
          <w:color w:val="0F1115"/>
          <w:kern w:val="0"/>
          <w14:ligatures w14:val="none"/>
        </w:rPr>
        <w:t> All nurses (100%) recognized the importance of prevention and collaboration. The majority (94.9%) considered patient education very important and felt very confident in identifying warning signs.</w:t>
      </w:r>
    </w:p>
    <w:p w14:paraId="0A7C740D"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3.5. Surveillance and Wound Assessment Practices</w:t>
      </w:r>
    </w:p>
    <w:p w14:paraId="637CD55C"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Table 5</w:t>
      </w:r>
      <w:r w:rsidRPr="00301E47">
        <w:rPr>
          <w:rFonts w:ascii="Times New Roman" w:eastAsia="Times New Roman" w:hAnsi="Times New Roman" w:cs="Times New Roman"/>
          <w:color w:val="0F1115"/>
          <w:kern w:val="0"/>
          <w14:ligatures w14:val="none"/>
        </w:rPr>
        <w:br/>
        <w:t>*Surveillance Frequency and Wound Assessment Methods (N = 157)*</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667"/>
        <w:gridCol w:w="2948"/>
        <w:gridCol w:w="690"/>
        <w:gridCol w:w="655"/>
      </w:tblGrid>
      <w:tr w:rsidR="008A3742" w:rsidRPr="00D17CAE" w14:paraId="218F8B48" w14:textId="77777777" w:rsidTr="00D17CAE">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471224EE"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E1F97A1"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D08B4CF"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20D4151"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w:t>
            </w:r>
          </w:p>
        </w:tc>
      </w:tr>
      <w:tr w:rsidR="008A3742" w:rsidRPr="00D17CAE" w14:paraId="72EB70BE" w14:textId="77777777" w:rsidTr="00D17CAE">
        <w:tc>
          <w:tcPr>
            <w:tcW w:w="0" w:type="auto"/>
            <w:tcBorders>
              <w:top w:val="single" w:sz="4" w:space="0" w:color="auto"/>
            </w:tcBorders>
            <w:tcMar>
              <w:top w:w="150" w:type="dxa"/>
              <w:left w:w="0" w:type="dxa"/>
              <w:bottom w:w="150" w:type="dxa"/>
              <w:right w:w="240" w:type="dxa"/>
            </w:tcMar>
            <w:vAlign w:val="center"/>
            <w:hideMark/>
          </w:tcPr>
          <w:p w14:paraId="1ADF0E3E"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b/>
                <w:bCs/>
                <w:kern w:val="0"/>
                <w:sz w:val="21"/>
                <w:szCs w:val="21"/>
                <w14:ligatures w14:val="none"/>
              </w:rPr>
              <w:t>Surveillance frequency</w:t>
            </w:r>
          </w:p>
        </w:tc>
        <w:tc>
          <w:tcPr>
            <w:tcW w:w="0" w:type="auto"/>
            <w:tcBorders>
              <w:top w:val="single" w:sz="4" w:space="0" w:color="auto"/>
            </w:tcBorders>
            <w:tcMar>
              <w:top w:w="150" w:type="dxa"/>
              <w:left w:w="240" w:type="dxa"/>
              <w:bottom w:w="150" w:type="dxa"/>
              <w:right w:w="240" w:type="dxa"/>
            </w:tcMar>
            <w:vAlign w:val="center"/>
            <w:hideMark/>
          </w:tcPr>
          <w:p w14:paraId="7A322621"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Every hour</w:t>
            </w:r>
          </w:p>
        </w:tc>
        <w:tc>
          <w:tcPr>
            <w:tcW w:w="0" w:type="auto"/>
            <w:tcBorders>
              <w:top w:val="single" w:sz="4" w:space="0" w:color="auto"/>
            </w:tcBorders>
            <w:tcMar>
              <w:top w:w="150" w:type="dxa"/>
              <w:left w:w="240" w:type="dxa"/>
              <w:bottom w:w="150" w:type="dxa"/>
              <w:right w:w="240" w:type="dxa"/>
            </w:tcMar>
            <w:vAlign w:val="center"/>
            <w:hideMark/>
          </w:tcPr>
          <w:p w14:paraId="70EDB65F"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86</w:t>
            </w:r>
          </w:p>
        </w:tc>
        <w:tc>
          <w:tcPr>
            <w:tcW w:w="0" w:type="auto"/>
            <w:tcBorders>
              <w:top w:val="single" w:sz="4" w:space="0" w:color="auto"/>
            </w:tcBorders>
            <w:tcMar>
              <w:top w:w="150" w:type="dxa"/>
              <w:left w:w="240" w:type="dxa"/>
              <w:bottom w:w="150" w:type="dxa"/>
              <w:right w:w="0" w:type="dxa"/>
            </w:tcMar>
            <w:vAlign w:val="center"/>
            <w:hideMark/>
          </w:tcPr>
          <w:p w14:paraId="6A7A5A69"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54.7</w:t>
            </w:r>
          </w:p>
        </w:tc>
      </w:tr>
      <w:tr w:rsidR="008A3742" w:rsidRPr="00D17CAE" w14:paraId="4CA0D668" w14:textId="77777777" w:rsidTr="00D17CAE">
        <w:tc>
          <w:tcPr>
            <w:tcW w:w="0" w:type="auto"/>
            <w:tcMar>
              <w:top w:w="150" w:type="dxa"/>
              <w:left w:w="0" w:type="dxa"/>
              <w:bottom w:w="150" w:type="dxa"/>
              <w:right w:w="240" w:type="dxa"/>
            </w:tcMar>
            <w:vAlign w:val="center"/>
            <w:hideMark/>
          </w:tcPr>
          <w:p w14:paraId="4D5119DD"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3B5A2241"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Every 4 hours</w:t>
            </w:r>
          </w:p>
        </w:tc>
        <w:tc>
          <w:tcPr>
            <w:tcW w:w="0" w:type="auto"/>
            <w:tcMar>
              <w:top w:w="150" w:type="dxa"/>
              <w:left w:w="240" w:type="dxa"/>
              <w:bottom w:w="150" w:type="dxa"/>
              <w:right w:w="240" w:type="dxa"/>
            </w:tcMar>
            <w:vAlign w:val="center"/>
            <w:hideMark/>
          </w:tcPr>
          <w:p w14:paraId="0BE0F1D5"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39</w:t>
            </w:r>
          </w:p>
        </w:tc>
        <w:tc>
          <w:tcPr>
            <w:tcW w:w="0" w:type="auto"/>
            <w:tcMar>
              <w:top w:w="150" w:type="dxa"/>
              <w:left w:w="240" w:type="dxa"/>
              <w:bottom w:w="150" w:type="dxa"/>
              <w:right w:w="0" w:type="dxa"/>
            </w:tcMar>
            <w:vAlign w:val="center"/>
            <w:hideMark/>
          </w:tcPr>
          <w:p w14:paraId="4FAA202A"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24.8</w:t>
            </w:r>
          </w:p>
        </w:tc>
      </w:tr>
      <w:tr w:rsidR="008A3742" w:rsidRPr="00D17CAE" w14:paraId="0335288A" w14:textId="77777777" w:rsidTr="00D17CAE">
        <w:tc>
          <w:tcPr>
            <w:tcW w:w="0" w:type="auto"/>
            <w:tcMar>
              <w:top w:w="150" w:type="dxa"/>
              <w:left w:w="0" w:type="dxa"/>
              <w:bottom w:w="150" w:type="dxa"/>
              <w:right w:w="240" w:type="dxa"/>
            </w:tcMar>
            <w:vAlign w:val="center"/>
            <w:hideMark/>
          </w:tcPr>
          <w:p w14:paraId="514E23E1"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3DC34F3F"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Every 2 hours</w:t>
            </w:r>
          </w:p>
        </w:tc>
        <w:tc>
          <w:tcPr>
            <w:tcW w:w="0" w:type="auto"/>
            <w:tcMar>
              <w:top w:w="150" w:type="dxa"/>
              <w:left w:w="240" w:type="dxa"/>
              <w:bottom w:w="150" w:type="dxa"/>
              <w:right w:w="240" w:type="dxa"/>
            </w:tcMar>
            <w:vAlign w:val="center"/>
            <w:hideMark/>
          </w:tcPr>
          <w:p w14:paraId="08C3FBEE"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32</w:t>
            </w:r>
          </w:p>
        </w:tc>
        <w:tc>
          <w:tcPr>
            <w:tcW w:w="0" w:type="auto"/>
            <w:tcMar>
              <w:top w:w="150" w:type="dxa"/>
              <w:left w:w="240" w:type="dxa"/>
              <w:bottom w:w="150" w:type="dxa"/>
              <w:right w:w="0" w:type="dxa"/>
            </w:tcMar>
            <w:vAlign w:val="center"/>
            <w:hideMark/>
          </w:tcPr>
          <w:p w14:paraId="61A49D58"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20.3</w:t>
            </w:r>
          </w:p>
        </w:tc>
      </w:tr>
      <w:tr w:rsidR="008A3742" w:rsidRPr="00D17CAE" w14:paraId="694929F1" w14:textId="77777777" w:rsidTr="00D17CAE">
        <w:tc>
          <w:tcPr>
            <w:tcW w:w="0" w:type="auto"/>
            <w:tcMar>
              <w:top w:w="150" w:type="dxa"/>
              <w:left w:w="0" w:type="dxa"/>
              <w:bottom w:w="150" w:type="dxa"/>
              <w:right w:w="240" w:type="dxa"/>
            </w:tcMar>
            <w:vAlign w:val="center"/>
            <w:hideMark/>
          </w:tcPr>
          <w:p w14:paraId="2960FB5E"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b/>
                <w:bCs/>
                <w:kern w:val="0"/>
                <w:sz w:val="21"/>
                <w:szCs w:val="21"/>
                <w14:ligatures w14:val="none"/>
              </w:rPr>
              <w:t>Wound assessment method</w:t>
            </w:r>
          </w:p>
        </w:tc>
        <w:tc>
          <w:tcPr>
            <w:tcW w:w="0" w:type="auto"/>
            <w:tcMar>
              <w:top w:w="150" w:type="dxa"/>
              <w:left w:w="240" w:type="dxa"/>
              <w:bottom w:w="150" w:type="dxa"/>
              <w:right w:w="240" w:type="dxa"/>
            </w:tcMar>
            <w:vAlign w:val="center"/>
            <w:hideMark/>
          </w:tcPr>
          <w:p w14:paraId="089818B3"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Regular visual inspection</w:t>
            </w:r>
          </w:p>
        </w:tc>
        <w:tc>
          <w:tcPr>
            <w:tcW w:w="0" w:type="auto"/>
            <w:tcMar>
              <w:top w:w="150" w:type="dxa"/>
              <w:left w:w="240" w:type="dxa"/>
              <w:bottom w:w="150" w:type="dxa"/>
              <w:right w:w="240" w:type="dxa"/>
            </w:tcMar>
            <w:vAlign w:val="center"/>
            <w:hideMark/>
          </w:tcPr>
          <w:p w14:paraId="4DF84373"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94</w:t>
            </w:r>
          </w:p>
        </w:tc>
        <w:tc>
          <w:tcPr>
            <w:tcW w:w="0" w:type="auto"/>
            <w:tcMar>
              <w:top w:w="150" w:type="dxa"/>
              <w:left w:w="240" w:type="dxa"/>
              <w:bottom w:w="150" w:type="dxa"/>
              <w:right w:w="0" w:type="dxa"/>
            </w:tcMar>
            <w:vAlign w:val="center"/>
            <w:hideMark/>
          </w:tcPr>
          <w:p w14:paraId="48406400"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59.9</w:t>
            </w:r>
          </w:p>
        </w:tc>
      </w:tr>
      <w:tr w:rsidR="008A3742" w:rsidRPr="00D17CAE" w14:paraId="1E21B1EA" w14:textId="77777777" w:rsidTr="00D17CAE">
        <w:tc>
          <w:tcPr>
            <w:tcW w:w="0" w:type="auto"/>
            <w:tcMar>
              <w:top w:w="150" w:type="dxa"/>
              <w:left w:w="0" w:type="dxa"/>
              <w:bottom w:w="150" w:type="dxa"/>
              <w:right w:w="240" w:type="dxa"/>
            </w:tcMar>
            <w:vAlign w:val="center"/>
            <w:hideMark/>
          </w:tcPr>
          <w:p w14:paraId="36DAE981"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073CC35F"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Pain assessment</w:t>
            </w:r>
          </w:p>
        </w:tc>
        <w:tc>
          <w:tcPr>
            <w:tcW w:w="0" w:type="auto"/>
            <w:tcMar>
              <w:top w:w="150" w:type="dxa"/>
              <w:left w:w="240" w:type="dxa"/>
              <w:bottom w:w="150" w:type="dxa"/>
              <w:right w:w="240" w:type="dxa"/>
            </w:tcMar>
            <w:vAlign w:val="center"/>
            <w:hideMark/>
          </w:tcPr>
          <w:p w14:paraId="411FCE41"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47</w:t>
            </w:r>
          </w:p>
        </w:tc>
        <w:tc>
          <w:tcPr>
            <w:tcW w:w="0" w:type="auto"/>
            <w:tcMar>
              <w:top w:w="150" w:type="dxa"/>
              <w:left w:w="240" w:type="dxa"/>
              <w:bottom w:w="150" w:type="dxa"/>
              <w:right w:w="0" w:type="dxa"/>
            </w:tcMar>
            <w:vAlign w:val="center"/>
            <w:hideMark/>
          </w:tcPr>
          <w:p w14:paraId="7C387D09"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29.9</w:t>
            </w:r>
          </w:p>
        </w:tc>
      </w:tr>
      <w:tr w:rsidR="008A3742" w:rsidRPr="00D17CAE" w14:paraId="746418B3" w14:textId="77777777" w:rsidTr="00D17CAE">
        <w:tc>
          <w:tcPr>
            <w:tcW w:w="0" w:type="auto"/>
            <w:tcMar>
              <w:top w:w="150" w:type="dxa"/>
              <w:left w:w="0" w:type="dxa"/>
              <w:bottom w:w="150" w:type="dxa"/>
              <w:right w:w="240" w:type="dxa"/>
            </w:tcMar>
            <w:vAlign w:val="center"/>
            <w:hideMark/>
          </w:tcPr>
          <w:p w14:paraId="0DB32A37"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p>
        </w:tc>
        <w:tc>
          <w:tcPr>
            <w:tcW w:w="0" w:type="auto"/>
            <w:tcMar>
              <w:top w:w="150" w:type="dxa"/>
              <w:left w:w="240" w:type="dxa"/>
              <w:bottom w:w="150" w:type="dxa"/>
              <w:right w:w="240" w:type="dxa"/>
            </w:tcMar>
            <w:vAlign w:val="center"/>
            <w:hideMark/>
          </w:tcPr>
          <w:p w14:paraId="2D67290B"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Monitoring signs of infection</w:t>
            </w:r>
          </w:p>
        </w:tc>
        <w:tc>
          <w:tcPr>
            <w:tcW w:w="0" w:type="auto"/>
            <w:tcMar>
              <w:top w:w="150" w:type="dxa"/>
              <w:left w:w="240" w:type="dxa"/>
              <w:bottom w:w="150" w:type="dxa"/>
              <w:right w:w="240" w:type="dxa"/>
            </w:tcMar>
            <w:vAlign w:val="center"/>
            <w:hideMark/>
          </w:tcPr>
          <w:p w14:paraId="699E5326"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16</w:t>
            </w:r>
          </w:p>
        </w:tc>
        <w:tc>
          <w:tcPr>
            <w:tcW w:w="0" w:type="auto"/>
            <w:tcMar>
              <w:top w:w="150" w:type="dxa"/>
              <w:left w:w="240" w:type="dxa"/>
              <w:bottom w:w="150" w:type="dxa"/>
              <w:right w:w="0" w:type="dxa"/>
            </w:tcMar>
            <w:vAlign w:val="center"/>
            <w:hideMark/>
          </w:tcPr>
          <w:p w14:paraId="79E8D5EF"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10.2</w:t>
            </w:r>
          </w:p>
        </w:tc>
      </w:tr>
    </w:tbl>
    <w:p w14:paraId="3F147401"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Interpretation:</w:t>
      </w:r>
      <w:r w:rsidRPr="00301E47">
        <w:rPr>
          <w:rFonts w:ascii="Times New Roman" w:eastAsia="Times New Roman" w:hAnsi="Times New Roman" w:cs="Times New Roman"/>
          <w:color w:val="0F1115"/>
          <w:kern w:val="0"/>
          <w14:ligatures w14:val="none"/>
        </w:rPr>
        <w:t> Most nurses (54.7%) performed surveillance every hour. Wound assessment was primarily conducted through regular visual inspection (59.9%), with less emphasis on pain assessment (29.9%).</w:t>
      </w:r>
    </w:p>
    <w:p w14:paraId="0EB31046"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3.6. Training on Complication Management</w:t>
      </w:r>
    </w:p>
    <w:p w14:paraId="068412F8"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Table 6</w:t>
      </w:r>
      <w:r w:rsidRPr="00301E47">
        <w:rPr>
          <w:rFonts w:ascii="Times New Roman" w:eastAsia="Times New Roman" w:hAnsi="Times New Roman" w:cs="Times New Roman"/>
          <w:color w:val="0F1115"/>
          <w:kern w:val="0"/>
          <w14:ligatures w14:val="none"/>
        </w:rPr>
        <w:br/>
        <w:t>*Training Received on Complication Management (N = 157)*</w:t>
      </w:r>
    </w:p>
    <w:tbl>
      <w:tblPr>
        <w:tblW w:w="3081"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631"/>
        <w:gridCol w:w="795"/>
        <w:gridCol w:w="655"/>
      </w:tblGrid>
      <w:tr w:rsidR="008A3742" w:rsidRPr="00D17CAE" w14:paraId="1CE1241C" w14:textId="77777777" w:rsidTr="00D17CAE">
        <w:trPr>
          <w:tblHeader/>
        </w:trPr>
        <w:tc>
          <w:tcPr>
            <w:tcW w:w="2043" w:type="dxa"/>
            <w:tcBorders>
              <w:top w:val="single" w:sz="4" w:space="0" w:color="auto"/>
              <w:bottom w:val="single" w:sz="4" w:space="0" w:color="auto"/>
            </w:tcBorders>
            <w:tcMar>
              <w:top w:w="150" w:type="dxa"/>
              <w:left w:w="0" w:type="dxa"/>
              <w:bottom w:w="150" w:type="dxa"/>
              <w:right w:w="240" w:type="dxa"/>
            </w:tcMar>
            <w:vAlign w:val="center"/>
            <w:hideMark/>
          </w:tcPr>
          <w:p w14:paraId="13D856CA"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Response</w:t>
            </w:r>
          </w:p>
        </w:tc>
        <w:tc>
          <w:tcPr>
            <w:tcW w:w="490" w:type="dxa"/>
            <w:tcBorders>
              <w:top w:val="single" w:sz="4" w:space="0" w:color="auto"/>
              <w:bottom w:val="single" w:sz="4" w:space="0" w:color="auto"/>
            </w:tcBorders>
            <w:tcMar>
              <w:top w:w="150" w:type="dxa"/>
              <w:left w:w="240" w:type="dxa"/>
              <w:bottom w:w="150" w:type="dxa"/>
              <w:right w:w="240" w:type="dxa"/>
            </w:tcMar>
            <w:vAlign w:val="center"/>
            <w:hideMark/>
          </w:tcPr>
          <w:p w14:paraId="6D863AAD"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n</w:t>
            </w:r>
          </w:p>
        </w:tc>
        <w:tc>
          <w:tcPr>
            <w:tcW w:w="548" w:type="dxa"/>
            <w:tcBorders>
              <w:top w:val="single" w:sz="4" w:space="0" w:color="auto"/>
              <w:bottom w:val="single" w:sz="4" w:space="0" w:color="auto"/>
            </w:tcBorders>
            <w:tcMar>
              <w:top w:w="150" w:type="dxa"/>
              <w:left w:w="240" w:type="dxa"/>
              <w:bottom w:w="150" w:type="dxa"/>
              <w:right w:w="240" w:type="dxa"/>
            </w:tcMar>
            <w:vAlign w:val="center"/>
            <w:hideMark/>
          </w:tcPr>
          <w:p w14:paraId="518600FF"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w:t>
            </w:r>
          </w:p>
        </w:tc>
      </w:tr>
      <w:tr w:rsidR="008A3742" w:rsidRPr="00D17CAE" w14:paraId="469042FA" w14:textId="77777777" w:rsidTr="00D17CAE">
        <w:tc>
          <w:tcPr>
            <w:tcW w:w="2043" w:type="dxa"/>
            <w:tcBorders>
              <w:top w:val="single" w:sz="4" w:space="0" w:color="auto"/>
            </w:tcBorders>
            <w:tcMar>
              <w:top w:w="150" w:type="dxa"/>
              <w:left w:w="0" w:type="dxa"/>
              <w:bottom w:w="150" w:type="dxa"/>
              <w:right w:w="240" w:type="dxa"/>
            </w:tcMar>
            <w:vAlign w:val="center"/>
            <w:hideMark/>
          </w:tcPr>
          <w:p w14:paraId="0433081D"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No training</w:t>
            </w:r>
          </w:p>
        </w:tc>
        <w:tc>
          <w:tcPr>
            <w:tcW w:w="490" w:type="dxa"/>
            <w:tcBorders>
              <w:top w:val="single" w:sz="4" w:space="0" w:color="auto"/>
            </w:tcBorders>
            <w:tcMar>
              <w:top w:w="150" w:type="dxa"/>
              <w:left w:w="240" w:type="dxa"/>
              <w:bottom w:w="150" w:type="dxa"/>
              <w:right w:w="240" w:type="dxa"/>
            </w:tcMar>
            <w:vAlign w:val="center"/>
            <w:hideMark/>
          </w:tcPr>
          <w:p w14:paraId="34CAEE05"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126</w:t>
            </w:r>
          </w:p>
        </w:tc>
        <w:tc>
          <w:tcPr>
            <w:tcW w:w="548" w:type="dxa"/>
            <w:tcBorders>
              <w:top w:val="single" w:sz="4" w:space="0" w:color="auto"/>
            </w:tcBorders>
            <w:tcMar>
              <w:top w:w="150" w:type="dxa"/>
              <w:left w:w="240" w:type="dxa"/>
              <w:bottom w:w="150" w:type="dxa"/>
              <w:right w:w="0" w:type="dxa"/>
            </w:tcMar>
            <w:vAlign w:val="center"/>
            <w:hideMark/>
          </w:tcPr>
          <w:p w14:paraId="6819F31B"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80.3</w:t>
            </w:r>
          </w:p>
        </w:tc>
      </w:tr>
      <w:tr w:rsidR="008A3742" w:rsidRPr="00D17CAE" w14:paraId="6CFA402E" w14:textId="77777777" w:rsidTr="00D17CAE">
        <w:tc>
          <w:tcPr>
            <w:tcW w:w="2043" w:type="dxa"/>
            <w:tcMar>
              <w:top w:w="150" w:type="dxa"/>
              <w:left w:w="0" w:type="dxa"/>
              <w:bottom w:w="150" w:type="dxa"/>
              <w:right w:w="240" w:type="dxa"/>
            </w:tcMar>
            <w:vAlign w:val="center"/>
            <w:hideMark/>
          </w:tcPr>
          <w:p w14:paraId="27664770"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lastRenderedPageBreak/>
              <w:t>Yes, a long time ago</w:t>
            </w:r>
          </w:p>
        </w:tc>
        <w:tc>
          <w:tcPr>
            <w:tcW w:w="490" w:type="dxa"/>
            <w:tcMar>
              <w:top w:w="150" w:type="dxa"/>
              <w:left w:w="240" w:type="dxa"/>
              <w:bottom w:w="150" w:type="dxa"/>
              <w:right w:w="240" w:type="dxa"/>
            </w:tcMar>
            <w:vAlign w:val="center"/>
            <w:hideMark/>
          </w:tcPr>
          <w:p w14:paraId="19CF6CA1"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31</w:t>
            </w:r>
          </w:p>
        </w:tc>
        <w:tc>
          <w:tcPr>
            <w:tcW w:w="548" w:type="dxa"/>
            <w:tcMar>
              <w:top w:w="150" w:type="dxa"/>
              <w:left w:w="240" w:type="dxa"/>
              <w:bottom w:w="150" w:type="dxa"/>
              <w:right w:w="0" w:type="dxa"/>
            </w:tcMar>
            <w:vAlign w:val="center"/>
            <w:hideMark/>
          </w:tcPr>
          <w:p w14:paraId="45872744"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19.7</w:t>
            </w:r>
          </w:p>
        </w:tc>
      </w:tr>
      <w:tr w:rsidR="008A3742" w:rsidRPr="00D17CAE" w14:paraId="703C6893" w14:textId="77777777" w:rsidTr="00D17CAE">
        <w:tc>
          <w:tcPr>
            <w:tcW w:w="2043" w:type="dxa"/>
            <w:tcMar>
              <w:top w:w="150" w:type="dxa"/>
              <w:left w:w="0" w:type="dxa"/>
              <w:bottom w:w="150" w:type="dxa"/>
              <w:right w:w="240" w:type="dxa"/>
            </w:tcMar>
            <w:vAlign w:val="center"/>
            <w:hideMark/>
          </w:tcPr>
          <w:p w14:paraId="577D14CD"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Yes, recently</w:t>
            </w:r>
          </w:p>
        </w:tc>
        <w:tc>
          <w:tcPr>
            <w:tcW w:w="490" w:type="dxa"/>
            <w:tcMar>
              <w:top w:w="150" w:type="dxa"/>
              <w:left w:w="240" w:type="dxa"/>
              <w:bottom w:w="150" w:type="dxa"/>
              <w:right w:w="240" w:type="dxa"/>
            </w:tcMar>
            <w:vAlign w:val="center"/>
            <w:hideMark/>
          </w:tcPr>
          <w:p w14:paraId="7493F27B"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0</w:t>
            </w:r>
          </w:p>
        </w:tc>
        <w:tc>
          <w:tcPr>
            <w:tcW w:w="548" w:type="dxa"/>
            <w:tcMar>
              <w:top w:w="150" w:type="dxa"/>
              <w:left w:w="240" w:type="dxa"/>
              <w:bottom w:w="150" w:type="dxa"/>
              <w:right w:w="0" w:type="dxa"/>
            </w:tcMar>
            <w:vAlign w:val="center"/>
            <w:hideMark/>
          </w:tcPr>
          <w:p w14:paraId="6ACA5C1B" w14:textId="77777777" w:rsidR="008A3742" w:rsidRPr="00D17CAE" w:rsidRDefault="008A3742" w:rsidP="00D17CAE">
            <w:pPr>
              <w:spacing w:after="0" w:line="240" w:lineRule="auto"/>
              <w:rPr>
                <w:rFonts w:ascii="Times New Roman" w:eastAsia="Times New Roman" w:hAnsi="Times New Roman" w:cs="Times New Roman"/>
                <w:kern w:val="0"/>
                <w:sz w:val="21"/>
                <w:szCs w:val="21"/>
                <w14:ligatures w14:val="none"/>
              </w:rPr>
            </w:pPr>
            <w:r w:rsidRPr="00D17CAE">
              <w:rPr>
                <w:rFonts w:ascii="Times New Roman" w:eastAsia="Times New Roman" w:hAnsi="Times New Roman" w:cs="Times New Roman"/>
                <w:kern w:val="0"/>
                <w:sz w:val="21"/>
                <w:szCs w:val="21"/>
                <w14:ligatures w14:val="none"/>
              </w:rPr>
              <w:t>0.0</w:t>
            </w:r>
          </w:p>
        </w:tc>
      </w:tr>
    </w:tbl>
    <w:p w14:paraId="5884B77A"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Interpretation:</w:t>
      </w:r>
      <w:r w:rsidRPr="00301E47">
        <w:rPr>
          <w:rFonts w:ascii="Times New Roman" w:eastAsia="Times New Roman" w:hAnsi="Times New Roman" w:cs="Times New Roman"/>
          <w:color w:val="0F1115"/>
          <w:kern w:val="0"/>
          <w14:ligatures w14:val="none"/>
        </w:rPr>
        <w:t> </w:t>
      </w:r>
      <w:proofErr w:type="gramStart"/>
      <w:r w:rsidRPr="00301E47">
        <w:rPr>
          <w:rFonts w:ascii="Times New Roman" w:eastAsia="Times New Roman" w:hAnsi="Times New Roman" w:cs="Times New Roman"/>
          <w:color w:val="0F1115"/>
          <w:kern w:val="0"/>
          <w14:ligatures w14:val="none"/>
        </w:rPr>
        <w:t>The majority of</w:t>
      </w:r>
      <w:proofErr w:type="gramEnd"/>
      <w:r w:rsidRPr="00301E47">
        <w:rPr>
          <w:rFonts w:ascii="Times New Roman" w:eastAsia="Times New Roman" w:hAnsi="Times New Roman" w:cs="Times New Roman"/>
          <w:color w:val="0F1115"/>
          <w:kern w:val="0"/>
          <w14:ligatures w14:val="none"/>
        </w:rPr>
        <w:t xml:space="preserve"> nurses (80.3%) had received no formal training on complication management. The remaining 19.7% had been trained but not recently.</w:t>
      </w:r>
    </w:p>
    <w:p w14:paraId="767FA8B2"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3.7. Associations Between Variables and Clinical Practices</w:t>
      </w:r>
    </w:p>
    <w:p w14:paraId="1A77ABA7"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Table 7</w:t>
      </w:r>
      <w:r w:rsidRPr="00301E47">
        <w:rPr>
          <w:rFonts w:ascii="Times New Roman" w:eastAsia="Times New Roman" w:hAnsi="Times New Roman" w:cs="Times New Roman"/>
          <w:color w:val="0F1115"/>
          <w:kern w:val="0"/>
          <w14:ligatures w14:val="none"/>
        </w:rPr>
        <w:br/>
      </w:r>
      <w:r w:rsidRPr="00301E47">
        <w:rPr>
          <w:rFonts w:ascii="Times New Roman" w:eastAsia="Times New Roman" w:hAnsi="Times New Roman" w:cs="Times New Roman"/>
          <w:i/>
          <w:iCs/>
          <w:color w:val="0F1115"/>
          <w:kern w:val="0"/>
          <w14:ligatures w14:val="none"/>
        </w:rPr>
        <w:t>Association Between Age and Wound Assessment Method</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358"/>
        <w:gridCol w:w="1439"/>
        <w:gridCol w:w="1969"/>
        <w:gridCol w:w="1841"/>
        <w:gridCol w:w="1004"/>
        <w:gridCol w:w="966"/>
      </w:tblGrid>
      <w:tr w:rsidR="008A3742" w:rsidRPr="00301E47" w14:paraId="630A7013" w14:textId="77777777" w:rsidTr="00D17CAE">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7C00EA39"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Age group</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A2694A0"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Inspection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520AAFF"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Pain assessment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14CCF8F"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Infection signs</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AC34909"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Other</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0D5BEED"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Total</w:t>
            </w:r>
          </w:p>
        </w:tc>
      </w:tr>
      <w:tr w:rsidR="008A3742" w:rsidRPr="00301E47" w14:paraId="168CDDA4" w14:textId="77777777" w:rsidTr="00D17CAE">
        <w:tc>
          <w:tcPr>
            <w:tcW w:w="0" w:type="auto"/>
            <w:tcBorders>
              <w:top w:val="single" w:sz="4" w:space="0" w:color="auto"/>
            </w:tcBorders>
            <w:tcMar>
              <w:top w:w="150" w:type="dxa"/>
              <w:left w:w="0" w:type="dxa"/>
              <w:bottom w:w="150" w:type="dxa"/>
              <w:right w:w="240" w:type="dxa"/>
            </w:tcMar>
            <w:vAlign w:val="center"/>
            <w:hideMark/>
          </w:tcPr>
          <w:p w14:paraId="227A6AE9"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21–25 years</w:t>
            </w:r>
          </w:p>
        </w:tc>
        <w:tc>
          <w:tcPr>
            <w:tcW w:w="0" w:type="auto"/>
            <w:tcBorders>
              <w:top w:val="single" w:sz="4" w:space="0" w:color="auto"/>
            </w:tcBorders>
            <w:tcMar>
              <w:top w:w="150" w:type="dxa"/>
              <w:left w:w="240" w:type="dxa"/>
              <w:bottom w:w="150" w:type="dxa"/>
              <w:right w:w="240" w:type="dxa"/>
            </w:tcMar>
            <w:vAlign w:val="center"/>
            <w:hideMark/>
          </w:tcPr>
          <w:p w14:paraId="4D643699"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8</w:t>
            </w:r>
          </w:p>
        </w:tc>
        <w:tc>
          <w:tcPr>
            <w:tcW w:w="0" w:type="auto"/>
            <w:tcBorders>
              <w:top w:val="single" w:sz="4" w:space="0" w:color="auto"/>
            </w:tcBorders>
            <w:tcMar>
              <w:top w:w="150" w:type="dxa"/>
              <w:left w:w="240" w:type="dxa"/>
              <w:bottom w:w="150" w:type="dxa"/>
              <w:right w:w="240" w:type="dxa"/>
            </w:tcMar>
            <w:vAlign w:val="center"/>
            <w:hideMark/>
          </w:tcPr>
          <w:p w14:paraId="188F7023"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8</w:t>
            </w:r>
          </w:p>
        </w:tc>
        <w:tc>
          <w:tcPr>
            <w:tcW w:w="0" w:type="auto"/>
            <w:tcBorders>
              <w:top w:val="single" w:sz="4" w:space="0" w:color="auto"/>
            </w:tcBorders>
            <w:tcMar>
              <w:top w:w="150" w:type="dxa"/>
              <w:left w:w="240" w:type="dxa"/>
              <w:bottom w:w="150" w:type="dxa"/>
              <w:right w:w="240" w:type="dxa"/>
            </w:tcMar>
            <w:vAlign w:val="center"/>
            <w:hideMark/>
          </w:tcPr>
          <w:p w14:paraId="51CDBF69"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3</w:t>
            </w:r>
          </w:p>
        </w:tc>
        <w:tc>
          <w:tcPr>
            <w:tcW w:w="0" w:type="auto"/>
            <w:tcBorders>
              <w:top w:val="single" w:sz="4" w:space="0" w:color="auto"/>
            </w:tcBorders>
            <w:tcMar>
              <w:top w:w="150" w:type="dxa"/>
              <w:left w:w="240" w:type="dxa"/>
              <w:bottom w:w="150" w:type="dxa"/>
              <w:right w:w="240" w:type="dxa"/>
            </w:tcMar>
            <w:vAlign w:val="center"/>
            <w:hideMark/>
          </w:tcPr>
          <w:p w14:paraId="5D351109"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1</w:t>
            </w:r>
          </w:p>
        </w:tc>
        <w:tc>
          <w:tcPr>
            <w:tcW w:w="0" w:type="auto"/>
            <w:tcBorders>
              <w:top w:val="single" w:sz="4" w:space="0" w:color="auto"/>
            </w:tcBorders>
            <w:tcMar>
              <w:top w:w="150" w:type="dxa"/>
              <w:left w:w="240" w:type="dxa"/>
              <w:bottom w:w="150" w:type="dxa"/>
              <w:right w:w="0" w:type="dxa"/>
            </w:tcMar>
            <w:vAlign w:val="center"/>
            <w:hideMark/>
          </w:tcPr>
          <w:p w14:paraId="57DB63B4"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20</w:t>
            </w:r>
          </w:p>
        </w:tc>
      </w:tr>
      <w:tr w:rsidR="008A3742" w:rsidRPr="00301E47" w14:paraId="2740EC55" w14:textId="77777777" w:rsidTr="00D17CAE">
        <w:tc>
          <w:tcPr>
            <w:tcW w:w="0" w:type="auto"/>
            <w:tcMar>
              <w:top w:w="150" w:type="dxa"/>
              <w:left w:w="0" w:type="dxa"/>
              <w:bottom w:w="150" w:type="dxa"/>
              <w:right w:w="240" w:type="dxa"/>
            </w:tcMar>
            <w:vAlign w:val="center"/>
            <w:hideMark/>
          </w:tcPr>
          <w:p w14:paraId="351F899C"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26–30 years</w:t>
            </w:r>
          </w:p>
        </w:tc>
        <w:tc>
          <w:tcPr>
            <w:tcW w:w="0" w:type="auto"/>
            <w:tcMar>
              <w:top w:w="150" w:type="dxa"/>
              <w:left w:w="240" w:type="dxa"/>
              <w:bottom w:w="150" w:type="dxa"/>
              <w:right w:w="240" w:type="dxa"/>
            </w:tcMar>
            <w:vAlign w:val="center"/>
            <w:hideMark/>
          </w:tcPr>
          <w:p w14:paraId="15EF05E2"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30</w:t>
            </w:r>
          </w:p>
        </w:tc>
        <w:tc>
          <w:tcPr>
            <w:tcW w:w="0" w:type="auto"/>
            <w:tcMar>
              <w:top w:w="150" w:type="dxa"/>
              <w:left w:w="240" w:type="dxa"/>
              <w:bottom w:w="150" w:type="dxa"/>
              <w:right w:w="240" w:type="dxa"/>
            </w:tcMar>
            <w:vAlign w:val="center"/>
            <w:hideMark/>
          </w:tcPr>
          <w:p w14:paraId="0DC16B46"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12</w:t>
            </w:r>
          </w:p>
        </w:tc>
        <w:tc>
          <w:tcPr>
            <w:tcW w:w="0" w:type="auto"/>
            <w:tcMar>
              <w:top w:w="150" w:type="dxa"/>
              <w:left w:w="240" w:type="dxa"/>
              <w:bottom w:w="150" w:type="dxa"/>
              <w:right w:w="240" w:type="dxa"/>
            </w:tcMar>
            <w:vAlign w:val="center"/>
            <w:hideMark/>
          </w:tcPr>
          <w:p w14:paraId="503D0A6F"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240" w:type="dxa"/>
            </w:tcMar>
            <w:vAlign w:val="center"/>
            <w:hideMark/>
          </w:tcPr>
          <w:p w14:paraId="50C63265"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1</w:t>
            </w:r>
          </w:p>
        </w:tc>
        <w:tc>
          <w:tcPr>
            <w:tcW w:w="0" w:type="auto"/>
            <w:tcMar>
              <w:top w:w="150" w:type="dxa"/>
              <w:left w:w="240" w:type="dxa"/>
              <w:bottom w:w="150" w:type="dxa"/>
              <w:right w:w="0" w:type="dxa"/>
            </w:tcMar>
            <w:vAlign w:val="center"/>
            <w:hideMark/>
          </w:tcPr>
          <w:p w14:paraId="5E882003"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45</w:t>
            </w:r>
          </w:p>
        </w:tc>
      </w:tr>
      <w:tr w:rsidR="008A3742" w:rsidRPr="00301E47" w14:paraId="12272E9C" w14:textId="77777777" w:rsidTr="00D17CAE">
        <w:tc>
          <w:tcPr>
            <w:tcW w:w="0" w:type="auto"/>
            <w:tcMar>
              <w:top w:w="150" w:type="dxa"/>
              <w:left w:w="0" w:type="dxa"/>
              <w:bottom w:w="150" w:type="dxa"/>
              <w:right w:w="240" w:type="dxa"/>
            </w:tcMar>
            <w:vAlign w:val="center"/>
            <w:hideMark/>
          </w:tcPr>
          <w:p w14:paraId="00B7392C"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35–39 years</w:t>
            </w:r>
          </w:p>
        </w:tc>
        <w:tc>
          <w:tcPr>
            <w:tcW w:w="0" w:type="auto"/>
            <w:tcMar>
              <w:top w:w="150" w:type="dxa"/>
              <w:left w:w="240" w:type="dxa"/>
              <w:bottom w:w="150" w:type="dxa"/>
              <w:right w:w="240" w:type="dxa"/>
            </w:tcMar>
            <w:vAlign w:val="center"/>
            <w:hideMark/>
          </w:tcPr>
          <w:p w14:paraId="1018FA9E"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8</w:t>
            </w:r>
          </w:p>
        </w:tc>
        <w:tc>
          <w:tcPr>
            <w:tcW w:w="0" w:type="auto"/>
            <w:tcMar>
              <w:top w:w="150" w:type="dxa"/>
              <w:left w:w="240" w:type="dxa"/>
              <w:bottom w:w="150" w:type="dxa"/>
              <w:right w:w="240" w:type="dxa"/>
            </w:tcMar>
            <w:vAlign w:val="center"/>
            <w:hideMark/>
          </w:tcPr>
          <w:p w14:paraId="29534AA1"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240" w:type="dxa"/>
            </w:tcMar>
            <w:vAlign w:val="center"/>
            <w:hideMark/>
          </w:tcPr>
          <w:p w14:paraId="7B62CF8C"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240" w:type="dxa"/>
            </w:tcMar>
            <w:vAlign w:val="center"/>
            <w:hideMark/>
          </w:tcPr>
          <w:p w14:paraId="18C13A3E"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1</w:t>
            </w:r>
          </w:p>
        </w:tc>
        <w:tc>
          <w:tcPr>
            <w:tcW w:w="0" w:type="auto"/>
            <w:tcMar>
              <w:top w:w="150" w:type="dxa"/>
              <w:left w:w="240" w:type="dxa"/>
              <w:bottom w:w="150" w:type="dxa"/>
              <w:right w:w="0" w:type="dxa"/>
            </w:tcMar>
            <w:vAlign w:val="center"/>
            <w:hideMark/>
          </w:tcPr>
          <w:p w14:paraId="47E40882"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9</w:t>
            </w:r>
          </w:p>
        </w:tc>
      </w:tr>
      <w:tr w:rsidR="008A3742" w:rsidRPr="00301E47" w14:paraId="1DB1F084" w14:textId="77777777" w:rsidTr="00D17CAE">
        <w:tc>
          <w:tcPr>
            <w:tcW w:w="0" w:type="auto"/>
            <w:tcMar>
              <w:top w:w="150" w:type="dxa"/>
              <w:left w:w="0" w:type="dxa"/>
              <w:bottom w:w="150" w:type="dxa"/>
              <w:right w:w="240" w:type="dxa"/>
            </w:tcMar>
            <w:vAlign w:val="center"/>
            <w:hideMark/>
          </w:tcPr>
          <w:p w14:paraId="0433BFD0"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40–44 years</w:t>
            </w:r>
          </w:p>
        </w:tc>
        <w:tc>
          <w:tcPr>
            <w:tcW w:w="0" w:type="auto"/>
            <w:tcMar>
              <w:top w:w="150" w:type="dxa"/>
              <w:left w:w="240" w:type="dxa"/>
              <w:bottom w:w="150" w:type="dxa"/>
              <w:right w:w="240" w:type="dxa"/>
            </w:tcMar>
            <w:vAlign w:val="center"/>
            <w:hideMark/>
          </w:tcPr>
          <w:p w14:paraId="50523753"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24</w:t>
            </w:r>
          </w:p>
        </w:tc>
        <w:tc>
          <w:tcPr>
            <w:tcW w:w="0" w:type="auto"/>
            <w:tcMar>
              <w:top w:w="150" w:type="dxa"/>
              <w:left w:w="240" w:type="dxa"/>
              <w:bottom w:w="150" w:type="dxa"/>
              <w:right w:w="240" w:type="dxa"/>
            </w:tcMar>
            <w:vAlign w:val="center"/>
            <w:hideMark/>
          </w:tcPr>
          <w:p w14:paraId="7D213DCB"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22</w:t>
            </w:r>
          </w:p>
        </w:tc>
        <w:tc>
          <w:tcPr>
            <w:tcW w:w="0" w:type="auto"/>
            <w:tcMar>
              <w:top w:w="150" w:type="dxa"/>
              <w:left w:w="240" w:type="dxa"/>
              <w:bottom w:w="150" w:type="dxa"/>
              <w:right w:w="240" w:type="dxa"/>
            </w:tcMar>
            <w:vAlign w:val="center"/>
            <w:hideMark/>
          </w:tcPr>
          <w:p w14:paraId="7F4CA25B"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240" w:type="dxa"/>
            </w:tcMar>
            <w:vAlign w:val="center"/>
            <w:hideMark/>
          </w:tcPr>
          <w:p w14:paraId="39FD88CD"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1</w:t>
            </w:r>
          </w:p>
        </w:tc>
        <w:tc>
          <w:tcPr>
            <w:tcW w:w="0" w:type="auto"/>
            <w:tcMar>
              <w:top w:w="150" w:type="dxa"/>
              <w:left w:w="240" w:type="dxa"/>
              <w:bottom w:w="150" w:type="dxa"/>
              <w:right w:w="0" w:type="dxa"/>
            </w:tcMar>
            <w:vAlign w:val="center"/>
            <w:hideMark/>
          </w:tcPr>
          <w:p w14:paraId="4E75F12B"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49</w:t>
            </w:r>
          </w:p>
        </w:tc>
      </w:tr>
      <w:tr w:rsidR="008A3742" w:rsidRPr="00301E47" w14:paraId="6AFB2D66" w14:textId="77777777" w:rsidTr="00D17CAE">
        <w:tc>
          <w:tcPr>
            <w:tcW w:w="0" w:type="auto"/>
            <w:tcMar>
              <w:top w:w="150" w:type="dxa"/>
              <w:left w:w="0" w:type="dxa"/>
              <w:bottom w:w="150" w:type="dxa"/>
              <w:right w:w="240" w:type="dxa"/>
            </w:tcMar>
            <w:vAlign w:val="center"/>
            <w:hideMark/>
          </w:tcPr>
          <w:p w14:paraId="4E64AF06"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45–49 years</w:t>
            </w:r>
          </w:p>
        </w:tc>
        <w:tc>
          <w:tcPr>
            <w:tcW w:w="0" w:type="auto"/>
            <w:tcMar>
              <w:top w:w="150" w:type="dxa"/>
              <w:left w:w="240" w:type="dxa"/>
              <w:bottom w:w="150" w:type="dxa"/>
              <w:right w:w="240" w:type="dxa"/>
            </w:tcMar>
            <w:vAlign w:val="center"/>
            <w:hideMark/>
          </w:tcPr>
          <w:p w14:paraId="079B666E"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23</w:t>
            </w:r>
          </w:p>
        </w:tc>
        <w:tc>
          <w:tcPr>
            <w:tcW w:w="0" w:type="auto"/>
            <w:tcMar>
              <w:top w:w="150" w:type="dxa"/>
              <w:left w:w="240" w:type="dxa"/>
              <w:bottom w:w="150" w:type="dxa"/>
              <w:right w:w="240" w:type="dxa"/>
            </w:tcMar>
            <w:vAlign w:val="center"/>
            <w:hideMark/>
          </w:tcPr>
          <w:p w14:paraId="6FB536FE"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240" w:type="dxa"/>
            </w:tcMar>
            <w:vAlign w:val="center"/>
            <w:hideMark/>
          </w:tcPr>
          <w:p w14:paraId="160B8E7C"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1</w:t>
            </w:r>
          </w:p>
        </w:tc>
        <w:tc>
          <w:tcPr>
            <w:tcW w:w="0" w:type="auto"/>
            <w:tcMar>
              <w:top w:w="150" w:type="dxa"/>
              <w:left w:w="240" w:type="dxa"/>
              <w:bottom w:w="150" w:type="dxa"/>
              <w:right w:w="240" w:type="dxa"/>
            </w:tcMar>
            <w:vAlign w:val="center"/>
            <w:hideMark/>
          </w:tcPr>
          <w:p w14:paraId="5465E737"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0" w:type="dxa"/>
            </w:tcMar>
            <w:vAlign w:val="center"/>
            <w:hideMark/>
          </w:tcPr>
          <w:p w14:paraId="6463FD59"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26</w:t>
            </w:r>
          </w:p>
        </w:tc>
      </w:tr>
      <w:tr w:rsidR="008A3742" w:rsidRPr="00301E47" w14:paraId="69D63353" w14:textId="77777777" w:rsidTr="00D17CAE">
        <w:tc>
          <w:tcPr>
            <w:tcW w:w="0" w:type="auto"/>
            <w:tcMar>
              <w:top w:w="150" w:type="dxa"/>
              <w:left w:w="0" w:type="dxa"/>
              <w:bottom w:w="150" w:type="dxa"/>
              <w:right w:w="240" w:type="dxa"/>
            </w:tcMar>
            <w:vAlign w:val="center"/>
            <w:hideMark/>
          </w:tcPr>
          <w:p w14:paraId="41099BBD"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50–54 years</w:t>
            </w:r>
          </w:p>
        </w:tc>
        <w:tc>
          <w:tcPr>
            <w:tcW w:w="0" w:type="auto"/>
            <w:tcMar>
              <w:top w:w="150" w:type="dxa"/>
              <w:left w:w="240" w:type="dxa"/>
              <w:bottom w:w="150" w:type="dxa"/>
              <w:right w:w="240" w:type="dxa"/>
            </w:tcMar>
            <w:vAlign w:val="center"/>
            <w:hideMark/>
          </w:tcPr>
          <w:p w14:paraId="28A87AE7"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240" w:type="dxa"/>
            </w:tcMar>
            <w:vAlign w:val="center"/>
            <w:hideMark/>
          </w:tcPr>
          <w:p w14:paraId="627FB034"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4</w:t>
            </w:r>
          </w:p>
        </w:tc>
        <w:tc>
          <w:tcPr>
            <w:tcW w:w="0" w:type="auto"/>
            <w:tcMar>
              <w:top w:w="150" w:type="dxa"/>
              <w:left w:w="240" w:type="dxa"/>
              <w:bottom w:w="150" w:type="dxa"/>
              <w:right w:w="240" w:type="dxa"/>
            </w:tcMar>
            <w:vAlign w:val="center"/>
            <w:hideMark/>
          </w:tcPr>
          <w:p w14:paraId="5797B53F"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240" w:type="dxa"/>
            </w:tcMar>
            <w:vAlign w:val="center"/>
            <w:hideMark/>
          </w:tcPr>
          <w:p w14:paraId="7211237A"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0" w:type="dxa"/>
            </w:tcMar>
            <w:vAlign w:val="center"/>
            <w:hideMark/>
          </w:tcPr>
          <w:p w14:paraId="168AE740"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4</w:t>
            </w:r>
          </w:p>
        </w:tc>
      </w:tr>
      <w:tr w:rsidR="008A3742" w:rsidRPr="00301E47" w14:paraId="68215E1F" w14:textId="77777777" w:rsidTr="00D17CAE">
        <w:tc>
          <w:tcPr>
            <w:tcW w:w="0" w:type="auto"/>
            <w:tcMar>
              <w:top w:w="150" w:type="dxa"/>
              <w:left w:w="0" w:type="dxa"/>
              <w:bottom w:w="150" w:type="dxa"/>
              <w:right w:w="240" w:type="dxa"/>
            </w:tcMar>
            <w:vAlign w:val="center"/>
            <w:hideMark/>
          </w:tcPr>
          <w:p w14:paraId="597BF661"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≥55 years</w:t>
            </w:r>
          </w:p>
        </w:tc>
        <w:tc>
          <w:tcPr>
            <w:tcW w:w="0" w:type="auto"/>
            <w:tcMar>
              <w:top w:w="150" w:type="dxa"/>
              <w:left w:w="240" w:type="dxa"/>
              <w:bottom w:w="150" w:type="dxa"/>
              <w:right w:w="240" w:type="dxa"/>
            </w:tcMar>
            <w:vAlign w:val="center"/>
            <w:hideMark/>
          </w:tcPr>
          <w:p w14:paraId="03A7D16A"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240" w:type="dxa"/>
            </w:tcMar>
            <w:vAlign w:val="center"/>
            <w:hideMark/>
          </w:tcPr>
          <w:p w14:paraId="581991BE"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240" w:type="dxa"/>
            </w:tcMar>
            <w:vAlign w:val="center"/>
            <w:hideMark/>
          </w:tcPr>
          <w:p w14:paraId="67F915BD"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240" w:type="dxa"/>
            </w:tcMar>
            <w:vAlign w:val="center"/>
            <w:hideMark/>
          </w:tcPr>
          <w:p w14:paraId="59C3ED31"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2</w:t>
            </w:r>
          </w:p>
        </w:tc>
        <w:tc>
          <w:tcPr>
            <w:tcW w:w="0" w:type="auto"/>
            <w:tcMar>
              <w:top w:w="150" w:type="dxa"/>
              <w:left w:w="240" w:type="dxa"/>
              <w:bottom w:w="150" w:type="dxa"/>
              <w:right w:w="0" w:type="dxa"/>
            </w:tcMar>
            <w:vAlign w:val="center"/>
            <w:hideMark/>
          </w:tcPr>
          <w:p w14:paraId="4C6F6277"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kern w:val="0"/>
                <w:sz w:val="23"/>
                <w:szCs w:val="23"/>
                <w14:ligatures w14:val="none"/>
              </w:rPr>
              <w:t>4</w:t>
            </w:r>
          </w:p>
        </w:tc>
      </w:tr>
      <w:tr w:rsidR="008A3742" w:rsidRPr="00301E47" w14:paraId="796C8945" w14:textId="77777777" w:rsidTr="00D17CAE">
        <w:tc>
          <w:tcPr>
            <w:tcW w:w="0" w:type="auto"/>
            <w:tcMar>
              <w:top w:w="150" w:type="dxa"/>
              <w:left w:w="0" w:type="dxa"/>
              <w:bottom w:w="150" w:type="dxa"/>
              <w:right w:w="240" w:type="dxa"/>
            </w:tcMar>
            <w:vAlign w:val="center"/>
            <w:hideMark/>
          </w:tcPr>
          <w:p w14:paraId="6324C4DE"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b/>
                <w:bCs/>
                <w:kern w:val="0"/>
                <w:sz w:val="23"/>
                <w:szCs w:val="23"/>
                <w14:ligatures w14:val="none"/>
              </w:rPr>
              <w:t>Total</w:t>
            </w:r>
          </w:p>
        </w:tc>
        <w:tc>
          <w:tcPr>
            <w:tcW w:w="0" w:type="auto"/>
            <w:tcMar>
              <w:top w:w="150" w:type="dxa"/>
              <w:left w:w="240" w:type="dxa"/>
              <w:bottom w:w="150" w:type="dxa"/>
              <w:right w:w="240" w:type="dxa"/>
            </w:tcMar>
            <w:vAlign w:val="center"/>
            <w:hideMark/>
          </w:tcPr>
          <w:p w14:paraId="14A17149"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b/>
                <w:bCs/>
                <w:kern w:val="0"/>
                <w:sz w:val="23"/>
                <w:szCs w:val="23"/>
                <w14:ligatures w14:val="none"/>
              </w:rPr>
              <w:t>93</w:t>
            </w:r>
          </w:p>
        </w:tc>
        <w:tc>
          <w:tcPr>
            <w:tcW w:w="0" w:type="auto"/>
            <w:tcMar>
              <w:top w:w="150" w:type="dxa"/>
              <w:left w:w="240" w:type="dxa"/>
              <w:bottom w:w="150" w:type="dxa"/>
              <w:right w:w="240" w:type="dxa"/>
            </w:tcMar>
            <w:vAlign w:val="center"/>
            <w:hideMark/>
          </w:tcPr>
          <w:p w14:paraId="1083C1EF"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b/>
                <w:bCs/>
                <w:kern w:val="0"/>
                <w:sz w:val="23"/>
                <w:szCs w:val="23"/>
                <w14:ligatures w14:val="none"/>
              </w:rPr>
              <w:t>48</w:t>
            </w:r>
          </w:p>
        </w:tc>
        <w:tc>
          <w:tcPr>
            <w:tcW w:w="0" w:type="auto"/>
            <w:tcMar>
              <w:top w:w="150" w:type="dxa"/>
              <w:left w:w="240" w:type="dxa"/>
              <w:bottom w:w="150" w:type="dxa"/>
              <w:right w:w="240" w:type="dxa"/>
            </w:tcMar>
            <w:vAlign w:val="center"/>
            <w:hideMark/>
          </w:tcPr>
          <w:p w14:paraId="29B39B15"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b/>
                <w:bCs/>
                <w:kern w:val="0"/>
                <w:sz w:val="23"/>
                <w:szCs w:val="23"/>
                <w14:ligatures w14:val="none"/>
              </w:rPr>
              <w:t>8</w:t>
            </w:r>
          </w:p>
        </w:tc>
        <w:tc>
          <w:tcPr>
            <w:tcW w:w="0" w:type="auto"/>
            <w:tcMar>
              <w:top w:w="150" w:type="dxa"/>
              <w:left w:w="240" w:type="dxa"/>
              <w:bottom w:w="150" w:type="dxa"/>
              <w:right w:w="240" w:type="dxa"/>
            </w:tcMar>
            <w:vAlign w:val="center"/>
            <w:hideMark/>
          </w:tcPr>
          <w:p w14:paraId="6A514360"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b/>
                <w:bCs/>
                <w:kern w:val="0"/>
                <w:sz w:val="23"/>
                <w:szCs w:val="23"/>
                <w14:ligatures w14:val="none"/>
              </w:rPr>
              <w:t>8</w:t>
            </w:r>
          </w:p>
        </w:tc>
        <w:tc>
          <w:tcPr>
            <w:tcW w:w="0" w:type="auto"/>
            <w:tcMar>
              <w:top w:w="150" w:type="dxa"/>
              <w:left w:w="240" w:type="dxa"/>
              <w:bottom w:w="150" w:type="dxa"/>
              <w:right w:w="0" w:type="dxa"/>
            </w:tcMar>
            <w:vAlign w:val="center"/>
            <w:hideMark/>
          </w:tcPr>
          <w:p w14:paraId="4A92B668" w14:textId="77777777" w:rsidR="008A3742" w:rsidRPr="00301E47" w:rsidRDefault="008A3742" w:rsidP="00D17CAE">
            <w:pPr>
              <w:spacing w:after="0" w:line="240" w:lineRule="auto"/>
              <w:rPr>
                <w:rFonts w:ascii="Times New Roman" w:eastAsia="Times New Roman" w:hAnsi="Times New Roman" w:cs="Times New Roman"/>
                <w:kern w:val="0"/>
                <w:sz w:val="23"/>
                <w:szCs w:val="23"/>
                <w14:ligatures w14:val="none"/>
              </w:rPr>
            </w:pPr>
            <w:r w:rsidRPr="00301E47">
              <w:rPr>
                <w:rFonts w:ascii="Times New Roman" w:eastAsia="Times New Roman" w:hAnsi="Times New Roman" w:cs="Times New Roman"/>
                <w:b/>
                <w:bCs/>
                <w:kern w:val="0"/>
                <w:sz w:val="23"/>
                <w:szCs w:val="23"/>
                <w14:ligatures w14:val="none"/>
              </w:rPr>
              <w:t>157</w:t>
            </w:r>
          </w:p>
        </w:tc>
      </w:tr>
    </w:tbl>
    <w:p w14:paraId="53DB25EF"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 xml:space="preserve">*χ² = 54.55, </w:t>
      </w:r>
      <w:proofErr w:type="spellStart"/>
      <w:r w:rsidRPr="00301E47">
        <w:rPr>
          <w:rFonts w:ascii="Times New Roman" w:eastAsia="Times New Roman" w:hAnsi="Times New Roman" w:cs="Times New Roman"/>
          <w:color w:val="0F1115"/>
          <w:kern w:val="0"/>
          <w14:ligatures w14:val="none"/>
        </w:rPr>
        <w:t>df</w:t>
      </w:r>
      <w:proofErr w:type="spellEnd"/>
      <w:r w:rsidRPr="00301E47">
        <w:rPr>
          <w:rFonts w:ascii="Times New Roman" w:eastAsia="Times New Roman" w:hAnsi="Times New Roman" w:cs="Times New Roman"/>
          <w:color w:val="0F1115"/>
          <w:kern w:val="0"/>
          <w14:ligatures w14:val="none"/>
        </w:rPr>
        <w:t xml:space="preserve"> = 18, p &lt; 0.001 (significant)*</w:t>
      </w:r>
    </w:p>
    <w:p w14:paraId="194B240F"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Interpretation:</w:t>
      </w:r>
      <w:r w:rsidRPr="00301E47">
        <w:rPr>
          <w:rFonts w:ascii="Times New Roman" w:eastAsia="Times New Roman" w:hAnsi="Times New Roman" w:cs="Times New Roman"/>
          <w:color w:val="0F1115"/>
          <w:kern w:val="0"/>
          <w14:ligatures w14:val="none"/>
        </w:rPr>
        <w:t> There was a statistically significant association between age and wound assessment method (p &lt; 0.001). Younger nurses (21–30 years) incorporated pain assessment more frequently, while older nurses (≥45 years) relied more heavily on visual inspection.</w:t>
      </w:r>
    </w:p>
    <w:p w14:paraId="72B30BF1"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lastRenderedPageBreak/>
        <w:t>Table 8</w:t>
      </w:r>
      <w:r w:rsidRPr="00301E47">
        <w:rPr>
          <w:rFonts w:ascii="Times New Roman" w:eastAsia="Times New Roman" w:hAnsi="Times New Roman" w:cs="Times New Roman"/>
          <w:color w:val="0F1115"/>
          <w:kern w:val="0"/>
          <w14:ligatures w14:val="none"/>
        </w:rPr>
        <w:br/>
      </w:r>
      <w:r w:rsidRPr="00301E47">
        <w:rPr>
          <w:rFonts w:ascii="Times New Roman" w:eastAsia="Times New Roman" w:hAnsi="Times New Roman" w:cs="Times New Roman"/>
          <w:i/>
          <w:iCs/>
          <w:color w:val="0F1115"/>
          <w:kern w:val="0"/>
          <w14:ligatures w14:val="none"/>
        </w:rPr>
        <w:t>Association Between Gender and Wound Assessment Method</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859"/>
        <w:gridCol w:w="1355"/>
        <w:gridCol w:w="1840"/>
        <w:gridCol w:w="1723"/>
        <w:gridCol w:w="959"/>
        <w:gridCol w:w="924"/>
      </w:tblGrid>
      <w:tr w:rsidR="008A3742" w:rsidRPr="00435DEF" w14:paraId="5AC37D9A" w14:textId="77777777" w:rsidTr="00435DEF">
        <w:trPr>
          <w:tblHeader/>
        </w:trPr>
        <w:tc>
          <w:tcPr>
            <w:tcW w:w="0" w:type="auto"/>
            <w:tcMar>
              <w:top w:w="150" w:type="dxa"/>
              <w:left w:w="0" w:type="dxa"/>
              <w:bottom w:w="150" w:type="dxa"/>
              <w:right w:w="240" w:type="dxa"/>
            </w:tcMar>
            <w:vAlign w:val="center"/>
            <w:hideMark/>
          </w:tcPr>
          <w:p w14:paraId="59DE1B1A"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Gender</w:t>
            </w:r>
          </w:p>
        </w:tc>
        <w:tc>
          <w:tcPr>
            <w:tcW w:w="0" w:type="auto"/>
            <w:tcMar>
              <w:top w:w="150" w:type="dxa"/>
              <w:left w:w="240" w:type="dxa"/>
              <w:bottom w:w="150" w:type="dxa"/>
              <w:right w:w="240" w:type="dxa"/>
            </w:tcMar>
            <w:vAlign w:val="center"/>
            <w:hideMark/>
          </w:tcPr>
          <w:p w14:paraId="38C2ACB5"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Inspection</w:t>
            </w:r>
          </w:p>
        </w:tc>
        <w:tc>
          <w:tcPr>
            <w:tcW w:w="0" w:type="auto"/>
            <w:tcMar>
              <w:top w:w="150" w:type="dxa"/>
              <w:left w:w="240" w:type="dxa"/>
              <w:bottom w:w="150" w:type="dxa"/>
              <w:right w:w="240" w:type="dxa"/>
            </w:tcMar>
            <w:vAlign w:val="center"/>
            <w:hideMark/>
          </w:tcPr>
          <w:p w14:paraId="1F6863B0"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Pain assessment</w:t>
            </w:r>
          </w:p>
        </w:tc>
        <w:tc>
          <w:tcPr>
            <w:tcW w:w="0" w:type="auto"/>
            <w:tcMar>
              <w:top w:w="150" w:type="dxa"/>
              <w:left w:w="240" w:type="dxa"/>
              <w:bottom w:w="150" w:type="dxa"/>
              <w:right w:w="240" w:type="dxa"/>
            </w:tcMar>
            <w:vAlign w:val="center"/>
            <w:hideMark/>
          </w:tcPr>
          <w:p w14:paraId="02C518CE"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Infection signs</w:t>
            </w:r>
          </w:p>
        </w:tc>
        <w:tc>
          <w:tcPr>
            <w:tcW w:w="0" w:type="auto"/>
            <w:tcMar>
              <w:top w:w="150" w:type="dxa"/>
              <w:left w:w="240" w:type="dxa"/>
              <w:bottom w:w="150" w:type="dxa"/>
              <w:right w:w="240" w:type="dxa"/>
            </w:tcMar>
            <w:vAlign w:val="center"/>
            <w:hideMark/>
          </w:tcPr>
          <w:p w14:paraId="5E553D59"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Other</w:t>
            </w:r>
          </w:p>
        </w:tc>
        <w:tc>
          <w:tcPr>
            <w:tcW w:w="0" w:type="auto"/>
            <w:tcMar>
              <w:top w:w="150" w:type="dxa"/>
              <w:left w:w="240" w:type="dxa"/>
              <w:bottom w:w="150" w:type="dxa"/>
              <w:right w:w="240" w:type="dxa"/>
            </w:tcMar>
            <w:vAlign w:val="center"/>
            <w:hideMark/>
          </w:tcPr>
          <w:p w14:paraId="071F671D"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Total</w:t>
            </w:r>
          </w:p>
        </w:tc>
      </w:tr>
      <w:tr w:rsidR="008A3742" w:rsidRPr="00435DEF" w14:paraId="67964EF5" w14:textId="77777777" w:rsidTr="00435DEF">
        <w:tc>
          <w:tcPr>
            <w:tcW w:w="0" w:type="auto"/>
            <w:tcMar>
              <w:top w:w="150" w:type="dxa"/>
              <w:left w:w="0" w:type="dxa"/>
              <w:bottom w:w="150" w:type="dxa"/>
              <w:right w:w="240" w:type="dxa"/>
            </w:tcMar>
            <w:vAlign w:val="center"/>
            <w:hideMark/>
          </w:tcPr>
          <w:p w14:paraId="18B67462"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Female</w:t>
            </w:r>
          </w:p>
        </w:tc>
        <w:tc>
          <w:tcPr>
            <w:tcW w:w="0" w:type="auto"/>
            <w:tcMar>
              <w:top w:w="150" w:type="dxa"/>
              <w:left w:w="240" w:type="dxa"/>
              <w:bottom w:w="150" w:type="dxa"/>
              <w:right w:w="240" w:type="dxa"/>
            </w:tcMar>
            <w:vAlign w:val="center"/>
            <w:hideMark/>
          </w:tcPr>
          <w:p w14:paraId="2A9B9B9C"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31</w:t>
            </w:r>
          </w:p>
        </w:tc>
        <w:tc>
          <w:tcPr>
            <w:tcW w:w="0" w:type="auto"/>
            <w:tcMar>
              <w:top w:w="150" w:type="dxa"/>
              <w:left w:w="240" w:type="dxa"/>
              <w:bottom w:w="150" w:type="dxa"/>
              <w:right w:w="240" w:type="dxa"/>
            </w:tcMar>
            <w:vAlign w:val="center"/>
            <w:hideMark/>
          </w:tcPr>
          <w:p w14:paraId="2EAD7881"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39</w:t>
            </w:r>
          </w:p>
        </w:tc>
        <w:tc>
          <w:tcPr>
            <w:tcW w:w="0" w:type="auto"/>
            <w:tcMar>
              <w:top w:w="150" w:type="dxa"/>
              <w:left w:w="240" w:type="dxa"/>
              <w:bottom w:w="150" w:type="dxa"/>
              <w:right w:w="240" w:type="dxa"/>
            </w:tcMar>
            <w:vAlign w:val="center"/>
            <w:hideMark/>
          </w:tcPr>
          <w:p w14:paraId="4FF4B59E"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8</w:t>
            </w:r>
          </w:p>
        </w:tc>
        <w:tc>
          <w:tcPr>
            <w:tcW w:w="0" w:type="auto"/>
            <w:tcMar>
              <w:top w:w="150" w:type="dxa"/>
              <w:left w:w="240" w:type="dxa"/>
              <w:bottom w:w="150" w:type="dxa"/>
              <w:right w:w="240" w:type="dxa"/>
            </w:tcMar>
            <w:vAlign w:val="center"/>
            <w:hideMark/>
          </w:tcPr>
          <w:p w14:paraId="79E8568C"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8</w:t>
            </w:r>
          </w:p>
        </w:tc>
        <w:tc>
          <w:tcPr>
            <w:tcW w:w="0" w:type="auto"/>
            <w:tcMar>
              <w:top w:w="150" w:type="dxa"/>
              <w:left w:w="240" w:type="dxa"/>
              <w:bottom w:w="150" w:type="dxa"/>
              <w:right w:w="0" w:type="dxa"/>
            </w:tcMar>
            <w:vAlign w:val="center"/>
            <w:hideMark/>
          </w:tcPr>
          <w:p w14:paraId="614D2521"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86</w:t>
            </w:r>
          </w:p>
        </w:tc>
      </w:tr>
      <w:tr w:rsidR="008A3742" w:rsidRPr="00435DEF" w14:paraId="77207813" w14:textId="77777777" w:rsidTr="00435DEF">
        <w:tc>
          <w:tcPr>
            <w:tcW w:w="0" w:type="auto"/>
            <w:tcMar>
              <w:top w:w="150" w:type="dxa"/>
              <w:left w:w="0" w:type="dxa"/>
              <w:bottom w:w="150" w:type="dxa"/>
              <w:right w:w="240" w:type="dxa"/>
            </w:tcMar>
            <w:vAlign w:val="center"/>
            <w:hideMark/>
          </w:tcPr>
          <w:p w14:paraId="0C600365"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Male</w:t>
            </w:r>
          </w:p>
        </w:tc>
        <w:tc>
          <w:tcPr>
            <w:tcW w:w="0" w:type="auto"/>
            <w:tcMar>
              <w:top w:w="150" w:type="dxa"/>
              <w:left w:w="240" w:type="dxa"/>
              <w:bottom w:w="150" w:type="dxa"/>
              <w:right w:w="240" w:type="dxa"/>
            </w:tcMar>
            <w:vAlign w:val="center"/>
            <w:hideMark/>
          </w:tcPr>
          <w:p w14:paraId="5A6EECDE"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55</w:t>
            </w:r>
          </w:p>
        </w:tc>
        <w:tc>
          <w:tcPr>
            <w:tcW w:w="0" w:type="auto"/>
            <w:tcMar>
              <w:top w:w="150" w:type="dxa"/>
              <w:left w:w="240" w:type="dxa"/>
              <w:bottom w:w="150" w:type="dxa"/>
              <w:right w:w="240" w:type="dxa"/>
            </w:tcMar>
            <w:vAlign w:val="center"/>
            <w:hideMark/>
          </w:tcPr>
          <w:p w14:paraId="6C81DCCF"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16</w:t>
            </w:r>
          </w:p>
        </w:tc>
        <w:tc>
          <w:tcPr>
            <w:tcW w:w="0" w:type="auto"/>
            <w:tcMar>
              <w:top w:w="150" w:type="dxa"/>
              <w:left w:w="240" w:type="dxa"/>
              <w:bottom w:w="150" w:type="dxa"/>
              <w:right w:w="240" w:type="dxa"/>
            </w:tcMar>
            <w:vAlign w:val="center"/>
            <w:hideMark/>
          </w:tcPr>
          <w:p w14:paraId="4D00DB13"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0</w:t>
            </w:r>
          </w:p>
        </w:tc>
        <w:tc>
          <w:tcPr>
            <w:tcW w:w="0" w:type="auto"/>
            <w:tcMar>
              <w:top w:w="150" w:type="dxa"/>
              <w:left w:w="240" w:type="dxa"/>
              <w:bottom w:w="150" w:type="dxa"/>
              <w:right w:w="240" w:type="dxa"/>
            </w:tcMar>
            <w:vAlign w:val="center"/>
            <w:hideMark/>
          </w:tcPr>
          <w:p w14:paraId="34E134B4"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0</w:t>
            </w:r>
          </w:p>
        </w:tc>
        <w:tc>
          <w:tcPr>
            <w:tcW w:w="0" w:type="auto"/>
            <w:tcMar>
              <w:top w:w="150" w:type="dxa"/>
              <w:left w:w="240" w:type="dxa"/>
              <w:bottom w:w="150" w:type="dxa"/>
              <w:right w:w="0" w:type="dxa"/>
            </w:tcMar>
            <w:vAlign w:val="center"/>
            <w:hideMark/>
          </w:tcPr>
          <w:p w14:paraId="3EAFBE33"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71</w:t>
            </w:r>
          </w:p>
        </w:tc>
      </w:tr>
      <w:tr w:rsidR="008A3742" w:rsidRPr="00435DEF" w14:paraId="3DAFAD9E" w14:textId="77777777" w:rsidTr="00435DEF">
        <w:tc>
          <w:tcPr>
            <w:tcW w:w="0" w:type="auto"/>
            <w:tcMar>
              <w:top w:w="150" w:type="dxa"/>
              <w:left w:w="0" w:type="dxa"/>
              <w:bottom w:w="150" w:type="dxa"/>
              <w:right w:w="240" w:type="dxa"/>
            </w:tcMar>
            <w:vAlign w:val="center"/>
            <w:hideMark/>
          </w:tcPr>
          <w:p w14:paraId="33AB7108"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b/>
                <w:bCs/>
                <w:kern w:val="0"/>
                <w:sz w:val="21"/>
                <w:szCs w:val="21"/>
                <w14:ligatures w14:val="none"/>
              </w:rPr>
              <w:t>Total</w:t>
            </w:r>
          </w:p>
        </w:tc>
        <w:tc>
          <w:tcPr>
            <w:tcW w:w="0" w:type="auto"/>
            <w:tcMar>
              <w:top w:w="150" w:type="dxa"/>
              <w:left w:w="240" w:type="dxa"/>
              <w:bottom w:w="150" w:type="dxa"/>
              <w:right w:w="240" w:type="dxa"/>
            </w:tcMar>
            <w:vAlign w:val="center"/>
            <w:hideMark/>
          </w:tcPr>
          <w:p w14:paraId="531C0A9C"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b/>
                <w:bCs/>
                <w:kern w:val="0"/>
                <w:sz w:val="21"/>
                <w:szCs w:val="21"/>
                <w14:ligatures w14:val="none"/>
              </w:rPr>
              <w:t>86</w:t>
            </w:r>
          </w:p>
        </w:tc>
        <w:tc>
          <w:tcPr>
            <w:tcW w:w="0" w:type="auto"/>
            <w:tcMar>
              <w:top w:w="150" w:type="dxa"/>
              <w:left w:w="240" w:type="dxa"/>
              <w:bottom w:w="150" w:type="dxa"/>
              <w:right w:w="240" w:type="dxa"/>
            </w:tcMar>
            <w:vAlign w:val="center"/>
            <w:hideMark/>
          </w:tcPr>
          <w:p w14:paraId="75CFE02E"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b/>
                <w:bCs/>
                <w:kern w:val="0"/>
                <w:sz w:val="21"/>
                <w:szCs w:val="21"/>
                <w14:ligatures w14:val="none"/>
              </w:rPr>
              <w:t>55</w:t>
            </w:r>
          </w:p>
        </w:tc>
        <w:tc>
          <w:tcPr>
            <w:tcW w:w="0" w:type="auto"/>
            <w:tcMar>
              <w:top w:w="150" w:type="dxa"/>
              <w:left w:w="240" w:type="dxa"/>
              <w:bottom w:w="150" w:type="dxa"/>
              <w:right w:w="240" w:type="dxa"/>
            </w:tcMar>
            <w:vAlign w:val="center"/>
            <w:hideMark/>
          </w:tcPr>
          <w:p w14:paraId="42D838ED"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b/>
                <w:bCs/>
                <w:kern w:val="0"/>
                <w:sz w:val="21"/>
                <w:szCs w:val="21"/>
                <w14:ligatures w14:val="none"/>
              </w:rPr>
              <w:t>8</w:t>
            </w:r>
          </w:p>
        </w:tc>
        <w:tc>
          <w:tcPr>
            <w:tcW w:w="0" w:type="auto"/>
            <w:tcMar>
              <w:top w:w="150" w:type="dxa"/>
              <w:left w:w="240" w:type="dxa"/>
              <w:bottom w:w="150" w:type="dxa"/>
              <w:right w:w="240" w:type="dxa"/>
            </w:tcMar>
            <w:vAlign w:val="center"/>
            <w:hideMark/>
          </w:tcPr>
          <w:p w14:paraId="7C0CAB72"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b/>
                <w:bCs/>
                <w:kern w:val="0"/>
                <w:sz w:val="21"/>
                <w:szCs w:val="21"/>
                <w14:ligatures w14:val="none"/>
              </w:rPr>
              <w:t>8</w:t>
            </w:r>
          </w:p>
        </w:tc>
        <w:tc>
          <w:tcPr>
            <w:tcW w:w="0" w:type="auto"/>
            <w:tcMar>
              <w:top w:w="150" w:type="dxa"/>
              <w:left w:w="240" w:type="dxa"/>
              <w:bottom w:w="150" w:type="dxa"/>
              <w:right w:w="0" w:type="dxa"/>
            </w:tcMar>
            <w:vAlign w:val="center"/>
            <w:hideMark/>
          </w:tcPr>
          <w:p w14:paraId="0D1A1BF8"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b/>
                <w:bCs/>
                <w:kern w:val="0"/>
                <w:sz w:val="21"/>
                <w:szCs w:val="21"/>
                <w14:ligatures w14:val="none"/>
              </w:rPr>
              <w:t>157</w:t>
            </w:r>
          </w:p>
        </w:tc>
      </w:tr>
    </w:tbl>
    <w:p w14:paraId="17A46CE7"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 xml:space="preserve">*χ² = 20.91, </w:t>
      </w:r>
      <w:proofErr w:type="spellStart"/>
      <w:r w:rsidRPr="00301E47">
        <w:rPr>
          <w:rFonts w:ascii="Times New Roman" w:eastAsia="Times New Roman" w:hAnsi="Times New Roman" w:cs="Times New Roman"/>
          <w:color w:val="0F1115"/>
          <w:kern w:val="0"/>
          <w14:ligatures w14:val="none"/>
        </w:rPr>
        <w:t>df</w:t>
      </w:r>
      <w:proofErr w:type="spellEnd"/>
      <w:r w:rsidRPr="00301E47">
        <w:rPr>
          <w:rFonts w:ascii="Times New Roman" w:eastAsia="Times New Roman" w:hAnsi="Times New Roman" w:cs="Times New Roman"/>
          <w:color w:val="0F1115"/>
          <w:kern w:val="0"/>
          <w14:ligatures w14:val="none"/>
        </w:rPr>
        <w:t xml:space="preserve"> = 3, p &lt; 0.001 (significant)*</w:t>
      </w:r>
    </w:p>
    <w:p w14:paraId="19F29FFB"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Interpretation:</w:t>
      </w:r>
      <w:r w:rsidRPr="00301E47">
        <w:rPr>
          <w:rFonts w:ascii="Times New Roman" w:eastAsia="Times New Roman" w:hAnsi="Times New Roman" w:cs="Times New Roman"/>
          <w:color w:val="0F1115"/>
          <w:kern w:val="0"/>
          <w14:ligatures w14:val="none"/>
        </w:rPr>
        <w:t> A significant association was found between gender and wound assessment method (p &lt; 0.001). Female nurses were more likely to incorporate pain assessment, while male nurses favored visual inspection.</w:t>
      </w:r>
    </w:p>
    <w:p w14:paraId="0BF00D4B"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Table 9</w:t>
      </w:r>
      <w:r w:rsidRPr="00301E47">
        <w:rPr>
          <w:rFonts w:ascii="Times New Roman" w:eastAsia="Times New Roman" w:hAnsi="Times New Roman" w:cs="Times New Roman"/>
          <w:color w:val="0F1115"/>
          <w:kern w:val="0"/>
          <w14:ligatures w14:val="none"/>
        </w:rPr>
        <w:br/>
      </w:r>
      <w:r w:rsidRPr="00301E47">
        <w:rPr>
          <w:rFonts w:ascii="Times New Roman" w:eastAsia="Times New Roman" w:hAnsi="Times New Roman" w:cs="Times New Roman"/>
          <w:i/>
          <w:iCs/>
          <w:color w:val="0F1115"/>
          <w:kern w:val="0"/>
          <w14:ligatures w14:val="none"/>
        </w:rPr>
        <w:t>Association Between Years of Experience and Wound Assessment Method</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19"/>
        <w:gridCol w:w="1355"/>
        <w:gridCol w:w="1840"/>
        <w:gridCol w:w="1723"/>
        <w:gridCol w:w="959"/>
        <w:gridCol w:w="924"/>
      </w:tblGrid>
      <w:tr w:rsidR="008A3742" w:rsidRPr="00435DEF" w14:paraId="63FE86CE" w14:textId="77777777" w:rsidTr="00435DEF">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133AB710"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Years of experience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E8D98DC"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Inspection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92E04AB"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Pain assessment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575D84E"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Infection signs</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4F80D69"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Other</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B27769E"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Total</w:t>
            </w:r>
          </w:p>
        </w:tc>
      </w:tr>
      <w:tr w:rsidR="008A3742" w:rsidRPr="00435DEF" w14:paraId="490FAC1D" w14:textId="77777777" w:rsidTr="00435DEF">
        <w:tc>
          <w:tcPr>
            <w:tcW w:w="0" w:type="auto"/>
            <w:tcBorders>
              <w:top w:val="single" w:sz="4" w:space="0" w:color="auto"/>
            </w:tcBorders>
            <w:tcMar>
              <w:top w:w="150" w:type="dxa"/>
              <w:left w:w="0" w:type="dxa"/>
              <w:bottom w:w="150" w:type="dxa"/>
              <w:right w:w="240" w:type="dxa"/>
            </w:tcMar>
            <w:vAlign w:val="center"/>
            <w:hideMark/>
          </w:tcPr>
          <w:p w14:paraId="36866CF8"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&lt;4 years</w:t>
            </w:r>
          </w:p>
        </w:tc>
        <w:tc>
          <w:tcPr>
            <w:tcW w:w="0" w:type="auto"/>
            <w:tcBorders>
              <w:top w:val="single" w:sz="4" w:space="0" w:color="auto"/>
            </w:tcBorders>
            <w:tcMar>
              <w:top w:w="150" w:type="dxa"/>
              <w:left w:w="240" w:type="dxa"/>
              <w:bottom w:w="150" w:type="dxa"/>
              <w:right w:w="240" w:type="dxa"/>
            </w:tcMar>
            <w:vAlign w:val="center"/>
            <w:hideMark/>
          </w:tcPr>
          <w:p w14:paraId="5E0F41A8"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24</w:t>
            </w:r>
          </w:p>
        </w:tc>
        <w:tc>
          <w:tcPr>
            <w:tcW w:w="0" w:type="auto"/>
            <w:tcBorders>
              <w:top w:val="single" w:sz="4" w:space="0" w:color="auto"/>
            </w:tcBorders>
            <w:tcMar>
              <w:top w:w="150" w:type="dxa"/>
              <w:left w:w="240" w:type="dxa"/>
              <w:bottom w:w="150" w:type="dxa"/>
              <w:right w:w="240" w:type="dxa"/>
            </w:tcMar>
            <w:vAlign w:val="center"/>
            <w:hideMark/>
          </w:tcPr>
          <w:p w14:paraId="0A56A286"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17</w:t>
            </w:r>
          </w:p>
        </w:tc>
        <w:tc>
          <w:tcPr>
            <w:tcW w:w="0" w:type="auto"/>
            <w:tcBorders>
              <w:top w:val="single" w:sz="4" w:space="0" w:color="auto"/>
            </w:tcBorders>
            <w:tcMar>
              <w:top w:w="150" w:type="dxa"/>
              <w:left w:w="240" w:type="dxa"/>
              <w:bottom w:w="150" w:type="dxa"/>
              <w:right w:w="240" w:type="dxa"/>
            </w:tcMar>
            <w:vAlign w:val="center"/>
            <w:hideMark/>
          </w:tcPr>
          <w:p w14:paraId="38A5B603"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8</w:t>
            </w:r>
          </w:p>
        </w:tc>
        <w:tc>
          <w:tcPr>
            <w:tcW w:w="0" w:type="auto"/>
            <w:tcBorders>
              <w:top w:val="single" w:sz="4" w:space="0" w:color="auto"/>
            </w:tcBorders>
            <w:tcMar>
              <w:top w:w="150" w:type="dxa"/>
              <w:left w:w="240" w:type="dxa"/>
              <w:bottom w:w="150" w:type="dxa"/>
              <w:right w:w="240" w:type="dxa"/>
            </w:tcMar>
            <w:vAlign w:val="center"/>
            <w:hideMark/>
          </w:tcPr>
          <w:p w14:paraId="484467EE"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0</w:t>
            </w:r>
          </w:p>
        </w:tc>
        <w:tc>
          <w:tcPr>
            <w:tcW w:w="0" w:type="auto"/>
            <w:tcBorders>
              <w:top w:val="single" w:sz="4" w:space="0" w:color="auto"/>
            </w:tcBorders>
            <w:tcMar>
              <w:top w:w="150" w:type="dxa"/>
              <w:left w:w="240" w:type="dxa"/>
              <w:bottom w:w="150" w:type="dxa"/>
              <w:right w:w="0" w:type="dxa"/>
            </w:tcMar>
            <w:vAlign w:val="center"/>
            <w:hideMark/>
          </w:tcPr>
          <w:p w14:paraId="0354034F"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49</w:t>
            </w:r>
          </w:p>
        </w:tc>
      </w:tr>
      <w:tr w:rsidR="008A3742" w:rsidRPr="00435DEF" w14:paraId="18082427" w14:textId="77777777" w:rsidTr="00435DEF">
        <w:tc>
          <w:tcPr>
            <w:tcW w:w="0" w:type="auto"/>
            <w:tcMar>
              <w:top w:w="150" w:type="dxa"/>
              <w:left w:w="0" w:type="dxa"/>
              <w:bottom w:w="150" w:type="dxa"/>
              <w:right w:w="240" w:type="dxa"/>
            </w:tcMar>
            <w:vAlign w:val="center"/>
            <w:hideMark/>
          </w:tcPr>
          <w:p w14:paraId="794ABA23"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5–9 years</w:t>
            </w:r>
          </w:p>
        </w:tc>
        <w:tc>
          <w:tcPr>
            <w:tcW w:w="0" w:type="auto"/>
            <w:tcMar>
              <w:top w:w="150" w:type="dxa"/>
              <w:left w:w="240" w:type="dxa"/>
              <w:bottom w:w="150" w:type="dxa"/>
              <w:right w:w="240" w:type="dxa"/>
            </w:tcMar>
            <w:vAlign w:val="center"/>
            <w:hideMark/>
          </w:tcPr>
          <w:p w14:paraId="42D3CD3F"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16</w:t>
            </w:r>
          </w:p>
        </w:tc>
        <w:tc>
          <w:tcPr>
            <w:tcW w:w="0" w:type="auto"/>
            <w:tcMar>
              <w:top w:w="150" w:type="dxa"/>
              <w:left w:w="240" w:type="dxa"/>
              <w:bottom w:w="150" w:type="dxa"/>
              <w:right w:w="240" w:type="dxa"/>
            </w:tcMar>
            <w:vAlign w:val="center"/>
            <w:hideMark/>
          </w:tcPr>
          <w:p w14:paraId="5275BF61"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2</w:t>
            </w:r>
          </w:p>
        </w:tc>
        <w:tc>
          <w:tcPr>
            <w:tcW w:w="0" w:type="auto"/>
            <w:tcMar>
              <w:top w:w="150" w:type="dxa"/>
              <w:left w:w="240" w:type="dxa"/>
              <w:bottom w:w="150" w:type="dxa"/>
              <w:right w:w="240" w:type="dxa"/>
            </w:tcMar>
            <w:vAlign w:val="center"/>
            <w:hideMark/>
          </w:tcPr>
          <w:p w14:paraId="0A3BCFBF"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0</w:t>
            </w:r>
          </w:p>
        </w:tc>
        <w:tc>
          <w:tcPr>
            <w:tcW w:w="0" w:type="auto"/>
            <w:tcMar>
              <w:top w:w="150" w:type="dxa"/>
              <w:left w:w="240" w:type="dxa"/>
              <w:bottom w:w="150" w:type="dxa"/>
              <w:right w:w="240" w:type="dxa"/>
            </w:tcMar>
            <w:vAlign w:val="center"/>
            <w:hideMark/>
          </w:tcPr>
          <w:p w14:paraId="339D8E41"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0</w:t>
            </w:r>
          </w:p>
        </w:tc>
        <w:tc>
          <w:tcPr>
            <w:tcW w:w="0" w:type="auto"/>
            <w:tcMar>
              <w:top w:w="150" w:type="dxa"/>
              <w:left w:w="240" w:type="dxa"/>
              <w:bottom w:w="150" w:type="dxa"/>
              <w:right w:w="0" w:type="dxa"/>
            </w:tcMar>
            <w:vAlign w:val="center"/>
            <w:hideMark/>
          </w:tcPr>
          <w:p w14:paraId="3E673279"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18</w:t>
            </w:r>
          </w:p>
        </w:tc>
      </w:tr>
      <w:tr w:rsidR="008A3742" w:rsidRPr="00435DEF" w14:paraId="74EC5ED4" w14:textId="77777777" w:rsidTr="00435DEF">
        <w:tc>
          <w:tcPr>
            <w:tcW w:w="0" w:type="auto"/>
            <w:tcMar>
              <w:top w:w="150" w:type="dxa"/>
              <w:left w:w="0" w:type="dxa"/>
              <w:bottom w:w="150" w:type="dxa"/>
              <w:right w:w="240" w:type="dxa"/>
            </w:tcMar>
            <w:vAlign w:val="center"/>
            <w:hideMark/>
          </w:tcPr>
          <w:p w14:paraId="0B5F97A1"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10–14 years</w:t>
            </w:r>
          </w:p>
        </w:tc>
        <w:tc>
          <w:tcPr>
            <w:tcW w:w="0" w:type="auto"/>
            <w:tcMar>
              <w:top w:w="150" w:type="dxa"/>
              <w:left w:w="240" w:type="dxa"/>
              <w:bottom w:w="150" w:type="dxa"/>
              <w:right w:w="240" w:type="dxa"/>
            </w:tcMar>
            <w:vAlign w:val="center"/>
            <w:hideMark/>
          </w:tcPr>
          <w:p w14:paraId="6D48BC73"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16</w:t>
            </w:r>
          </w:p>
        </w:tc>
        <w:tc>
          <w:tcPr>
            <w:tcW w:w="0" w:type="auto"/>
            <w:tcMar>
              <w:top w:w="150" w:type="dxa"/>
              <w:left w:w="240" w:type="dxa"/>
              <w:bottom w:w="150" w:type="dxa"/>
              <w:right w:w="240" w:type="dxa"/>
            </w:tcMar>
            <w:vAlign w:val="center"/>
            <w:hideMark/>
          </w:tcPr>
          <w:p w14:paraId="1A727420"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3</w:t>
            </w:r>
          </w:p>
        </w:tc>
        <w:tc>
          <w:tcPr>
            <w:tcW w:w="0" w:type="auto"/>
            <w:tcMar>
              <w:top w:w="150" w:type="dxa"/>
              <w:left w:w="240" w:type="dxa"/>
              <w:bottom w:w="150" w:type="dxa"/>
              <w:right w:w="240" w:type="dxa"/>
            </w:tcMar>
            <w:vAlign w:val="center"/>
            <w:hideMark/>
          </w:tcPr>
          <w:p w14:paraId="33DDBC21"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0</w:t>
            </w:r>
          </w:p>
        </w:tc>
        <w:tc>
          <w:tcPr>
            <w:tcW w:w="0" w:type="auto"/>
            <w:tcMar>
              <w:top w:w="150" w:type="dxa"/>
              <w:left w:w="240" w:type="dxa"/>
              <w:bottom w:w="150" w:type="dxa"/>
              <w:right w:w="240" w:type="dxa"/>
            </w:tcMar>
            <w:vAlign w:val="center"/>
            <w:hideMark/>
          </w:tcPr>
          <w:p w14:paraId="5C8702EC"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0</w:t>
            </w:r>
          </w:p>
        </w:tc>
        <w:tc>
          <w:tcPr>
            <w:tcW w:w="0" w:type="auto"/>
            <w:tcMar>
              <w:top w:w="150" w:type="dxa"/>
              <w:left w:w="240" w:type="dxa"/>
              <w:bottom w:w="150" w:type="dxa"/>
              <w:right w:w="0" w:type="dxa"/>
            </w:tcMar>
            <w:vAlign w:val="center"/>
            <w:hideMark/>
          </w:tcPr>
          <w:p w14:paraId="4287F5C5"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19</w:t>
            </w:r>
          </w:p>
        </w:tc>
      </w:tr>
      <w:tr w:rsidR="008A3742" w:rsidRPr="00435DEF" w14:paraId="5F314175" w14:textId="77777777" w:rsidTr="00435DEF">
        <w:tc>
          <w:tcPr>
            <w:tcW w:w="0" w:type="auto"/>
            <w:tcMar>
              <w:top w:w="150" w:type="dxa"/>
              <w:left w:w="0" w:type="dxa"/>
              <w:bottom w:w="150" w:type="dxa"/>
              <w:right w:w="240" w:type="dxa"/>
            </w:tcMar>
            <w:vAlign w:val="center"/>
            <w:hideMark/>
          </w:tcPr>
          <w:p w14:paraId="2AFEEA2C"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15–19 years</w:t>
            </w:r>
          </w:p>
        </w:tc>
        <w:tc>
          <w:tcPr>
            <w:tcW w:w="0" w:type="auto"/>
            <w:tcMar>
              <w:top w:w="150" w:type="dxa"/>
              <w:left w:w="240" w:type="dxa"/>
              <w:bottom w:w="150" w:type="dxa"/>
              <w:right w:w="240" w:type="dxa"/>
            </w:tcMar>
            <w:vAlign w:val="center"/>
            <w:hideMark/>
          </w:tcPr>
          <w:p w14:paraId="106A56E8"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24</w:t>
            </w:r>
          </w:p>
        </w:tc>
        <w:tc>
          <w:tcPr>
            <w:tcW w:w="0" w:type="auto"/>
            <w:tcMar>
              <w:top w:w="150" w:type="dxa"/>
              <w:left w:w="240" w:type="dxa"/>
              <w:bottom w:w="150" w:type="dxa"/>
              <w:right w:w="240" w:type="dxa"/>
            </w:tcMar>
            <w:vAlign w:val="center"/>
            <w:hideMark/>
          </w:tcPr>
          <w:p w14:paraId="5A94A93E"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1</w:t>
            </w:r>
          </w:p>
        </w:tc>
        <w:tc>
          <w:tcPr>
            <w:tcW w:w="0" w:type="auto"/>
            <w:tcMar>
              <w:top w:w="150" w:type="dxa"/>
              <w:left w:w="240" w:type="dxa"/>
              <w:bottom w:w="150" w:type="dxa"/>
              <w:right w:w="240" w:type="dxa"/>
            </w:tcMar>
            <w:vAlign w:val="center"/>
            <w:hideMark/>
          </w:tcPr>
          <w:p w14:paraId="142D9AC0"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0</w:t>
            </w:r>
          </w:p>
        </w:tc>
        <w:tc>
          <w:tcPr>
            <w:tcW w:w="0" w:type="auto"/>
            <w:tcMar>
              <w:top w:w="150" w:type="dxa"/>
              <w:left w:w="240" w:type="dxa"/>
              <w:bottom w:w="150" w:type="dxa"/>
              <w:right w:w="240" w:type="dxa"/>
            </w:tcMar>
            <w:vAlign w:val="center"/>
            <w:hideMark/>
          </w:tcPr>
          <w:p w14:paraId="34966874"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0</w:t>
            </w:r>
          </w:p>
        </w:tc>
        <w:tc>
          <w:tcPr>
            <w:tcW w:w="0" w:type="auto"/>
            <w:tcMar>
              <w:top w:w="150" w:type="dxa"/>
              <w:left w:w="240" w:type="dxa"/>
              <w:bottom w:w="150" w:type="dxa"/>
              <w:right w:w="0" w:type="dxa"/>
            </w:tcMar>
            <w:vAlign w:val="center"/>
            <w:hideMark/>
          </w:tcPr>
          <w:p w14:paraId="09320688"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25</w:t>
            </w:r>
          </w:p>
        </w:tc>
      </w:tr>
      <w:tr w:rsidR="008A3742" w:rsidRPr="00435DEF" w14:paraId="6D749267" w14:textId="77777777" w:rsidTr="00435DEF">
        <w:tc>
          <w:tcPr>
            <w:tcW w:w="0" w:type="auto"/>
            <w:tcMar>
              <w:top w:w="150" w:type="dxa"/>
              <w:left w:w="0" w:type="dxa"/>
              <w:bottom w:w="150" w:type="dxa"/>
              <w:right w:w="240" w:type="dxa"/>
            </w:tcMar>
            <w:vAlign w:val="center"/>
            <w:hideMark/>
          </w:tcPr>
          <w:p w14:paraId="7FA90C3A"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20–24 years</w:t>
            </w:r>
          </w:p>
        </w:tc>
        <w:tc>
          <w:tcPr>
            <w:tcW w:w="0" w:type="auto"/>
            <w:tcMar>
              <w:top w:w="150" w:type="dxa"/>
              <w:left w:w="240" w:type="dxa"/>
              <w:bottom w:w="150" w:type="dxa"/>
              <w:right w:w="240" w:type="dxa"/>
            </w:tcMar>
            <w:vAlign w:val="center"/>
            <w:hideMark/>
          </w:tcPr>
          <w:p w14:paraId="13470E66"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16</w:t>
            </w:r>
          </w:p>
        </w:tc>
        <w:tc>
          <w:tcPr>
            <w:tcW w:w="0" w:type="auto"/>
            <w:tcMar>
              <w:top w:w="150" w:type="dxa"/>
              <w:left w:w="240" w:type="dxa"/>
              <w:bottom w:w="150" w:type="dxa"/>
              <w:right w:w="240" w:type="dxa"/>
            </w:tcMar>
            <w:vAlign w:val="center"/>
            <w:hideMark/>
          </w:tcPr>
          <w:p w14:paraId="2800262A"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2</w:t>
            </w:r>
          </w:p>
        </w:tc>
        <w:tc>
          <w:tcPr>
            <w:tcW w:w="0" w:type="auto"/>
            <w:tcMar>
              <w:top w:w="150" w:type="dxa"/>
              <w:left w:w="240" w:type="dxa"/>
              <w:bottom w:w="150" w:type="dxa"/>
              <w:right w:w="240" w:type="dxa"/>
            </w:tcMar>
            <w:vAlign w:val="center"/>
            <w:hideMark/>
          </w:tcPr>
          <w:p w14:paraId="28C4DB32"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0</w:t>
            </w:r>
          </w:p>
        </w:tc>
        <w:tc>
          <w:tcPr>
            <w:tcW w:w="0" w:type="auto"/>
            <w:tcMar>
              <w:top w:w="150" w:type="dxa"/>
              <w:left w:w="240" w:type="dxa"/>
              <w:bottom w:w="150" w:type="dxa"/>
              <w:right w:w="240" w:type="dxa"/>
            </w:tcMar>
            <w:vAlign w:val="center"/>
            <w:hideMark/>
          </w:tcPr>
          <w:p w14:paraId="2319E103"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0</w:t>
            </w:r>
          </w:p>
        </w:tc>
        <w:tc>
          <w:tcPr>
            <w:tcW w:w="0" w:type="auto"/>
            <w:tcMar>
              <w:top w:w="150" w:type="dxa"/>
              <w:left w:w="240" w:type="dxa"/>
              <w:bottom w:w="150" w:type="dxa"/>
              <w:right w:w="0" w:type="dxa"/>
            </w:tcMar>
            <w:vAlign w:val="center"/>
            <w:hideMark/>
          </w:tcPr>
          <w:p w14:paraId="32D9ED62"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18</w:t>
            </w:r>
          </w:p>
        </w:tc>
      </w:tr>
      <w:tr w:rsidR="008A3742" w:rsidRPr="00435DEF" w14:paraId="6507D234" w14:textId="77777777" w:rsidTr="00435DEF">
        <w:tc>
          <w:tcPr>
            <w:tcW w:w="0" w:type="auto"/>
            <w:tcMar>
              <w:top w:w="150" w:type="dxa"/>
              <w:left w:w="0" w:type="dxa"/>
              <w:bottom w:w="150" w:type="dxa"/>
              <w:right w:w="240" w:type="dxa"/>
            </w:tcMar>
            <w:vAlign w:val="center"/>
            <w:hideMark/>
          </w:tcPr>
          <w:p w14:paraId="2C217666"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≥25 years</w:t>
            </w:r>
          </w:p>
        </w:tc>
        <w:tc>
          <w:tcPr>
            <w:tcW w:w="0" w:type="auto"/>
            <w:tcMar>
              <w:top w:w="150" w:type="dxa"/>
              <w:left w:w="240" w:type="dxa"/>
              <w:bottom w:w="150" w:type="dxa"/>
              <w:right w:w="240" w:type="dxa"/>
            </w:tcMar>
            <w:vAlign w:val="center"/>
            <w:hideMark/>
          </w:tcPr>
          <w:p w14:paraId="1AC7FFFF"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16</w:t>
            </w:r>
          </w:p>
        </w:tc>
        <w:tc>
          <w:tcPr>
            <w:tcW w:w="0" w:type="auto"/>
            <w:tcMar>
              <w:top w:w="150" w:type="dxa"/>
              <w:left w:w="240" w:type="dxa"/>
              <w:bottom w:w="150" w:type="dxa"/>
              <w:right w:w="240" w:type="dxa"/>
            </w:tcMar>
            <w:vAlign w:val="center"/>
            <w:hideMark/>
          </w:tcPr>
          <w:p w14:paraId="05B4A46B"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4</w:t>
            </w:r>
          </w:p>
        </w:tc>
        <w:tc>
          <w:tcPr>
            <w:tcW w:w="0" w:type="auto"/>
            <w:tcMar>
              <w:top w:w="150" w:type="dxa"/>
              <w:left w:w="240" w:type="dxa"/>
              <w:bottom w:w="150" w:type="dxa"/>
              <w:right w:w="240" w:type="dxa"/>
            </w:tcMar>
            <w:vAlign w:val="center"/>
            <w:hideMark/>
          </w:tcPr>
          <w:p w14:paraId="7E145AFC"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0</w:t>
            </w:r>
          </w:p>
        </w:tc>
        <w:tc>
          <w:tcPr>
            <w:tcW w:w="0" w:type="auto"/>
            <w:tcMar>
              <w:top w:w="150" w:type="dxa"/>
              <w:left w:w="240" w:type="dxa"/>
              <w:bottom w:w="150" w:type="dxa"/>
              <w:right w:w="240" w:type="dxa"/>
            </w:tcMar>
            <w:vAlign w:val="center"/>
            <w:hideMark/>
          </w:tcPr>
          <w:p w14:paraId="6DF365A3"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8</w:t>
            </w:r>
          </w:p>
        </w:tc>
        <w:tc>
          <w:tcPr>
            <w:tcW w:w="0" w:type="auto"/>
            <w:tcMar>
              <w:top w:w="150" w:type="dxa"/>
              <w:left w:w="240" w:type="dxa"/>
              <w:bottom w:w="150" w:type="dxa"/>
              <w:right w:w="0" w:type="dxa"/>
            </w:tcMar>
            <w:vAlign w:val="center"/>
            <w:hideMark/>
          </w:tcPr>
          <w:p w14:paraId="2D8F143A"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kern w:val="0"/>
                <w:sz w:val="21"/>
                <w:szCs w:val="21"/>
                <w14:ligatures w14:val="none"/>
              </w:rPr>
              <w:t>28</w:t>
            </w:r>
          </w:p>
        </w:tc>
      </w:tr>
      <w:tr w:rsidR="008A3742" w:rsidRPr="00435DEF" w14:paraId="3F409D81" w14:textId="77777777" w:rsidTr="00435DEF">
        <w:tc>
          <w:tcPr>
            <w:tcW w:w="0" w:type="auto"/>
            <w:tcMar>
              <w:top w:w="150" w:type="dxa"/>
              <w:left w:w="0" w:type="dxa"/>
              <w:bottom w:w="150" w:type="dxa"/>
              <w:right w:w="240" w:type="dxa"/>
            </w:tcMar>
            <w:vAlign w:val="center"/>
            <w:hideMark/>
          </w:tcPr>
          <w:p w14:paraId="78180C9F"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b/>
                <w:bCs/>
                <w:kern w:val="0"/>
                <w:sz w:val="21"/>
                <w:szCs w:val="21"/>
                <w14:ligatures w14:val="none"/>
              </w:rPr>
              <w:t>Total</w:t>
            </w:r>
          </w:p>
        </w:tc>
        <w:tc>
          <w:tcPr>
            <w:tcW w:w="0" w:type="auto"/>
            <w:tcMar>
              <w:top w:w="150" w:type="dxa"/>
              <w:left w:w="240" w:type="dxa"/>
              <w:bottom w:w="150" w:type="dxa"/>
              <w:right w:w="240" w:type="dxa"/>
            </w:tcMar>
            <w:vAlign w:val="center"/>
            <w:hideMark/>
          </w:tcPr>
          <w:p w14:paraId="4DA93A01"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b/>
                <w:bCs/>
                <w:kern w:val="0"/>
                <w:sz w:val="21"/>
                <w:szCs w:val="21"/>
                <w14:ligatures w14:val="none"/>
              </w:rPr>
              <w:t>112</w:t>
            </w:r>
          </w:p>
        </w:tc>
        <w:tc>
          <w:tcPr>
            <w:tcW w:w="0" w:type="auto"/>
            <w:tcMar>
              <w:top w:w="150" w:type="dxa"/>
              <w:left w:w="240" w:type="dxa"/>
              <w:bottom w:w="150" w:type="dxa"/>
              <w:right w:w="240" w:type="dxa"/>
            </w:tcMar>
            <w:vAlign w:val="center"/>
            <w:hideMark/>
          </w:tcPr>
          <w:p w14:paraId="70231725"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b/>
                <w:bCs/>
                <w:kern w:val="0"/>
                <w:sz w:val="21"/>
                <w:szCs w:val="21"/>
                <w14:ligatures w14:val="none"/>
              </w:rPr>
              <w:t>29</w:t>
            </w:r>
          </w:p>
        </w:tc>
        <w:tc>
          <w:tcPr>
            <w:tcW w:w="0" w:type="auto"/>
            <w:tcMar>
              <w:top w:w="150" w:type="dxa"/>
              <w:left w:w="240" w:type="dxa"/>
              <w:bottom w:w="150" w:type="dxa"/>
              <w:right w:w="240" w:type="dxa"/>
            </w:tcMar>
            <w:vAlign w:val="center"/>
            <w:hideMark/>
          </w:tcPr>
          <w:p w14:paraId="0D3BDE08"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b/>
                <w:bCs/>
                <w:kern w:val="0"/>
                <w:sz w:val="21"/>
                <w:szCs w:val="21"/>
                <w14:ligatures w14:val="none"/>
              </w:rPr>
              <w:t>8</w:t>
            </w:r>
          </w:p>
        </w:tc>
        <w:tc>
          <w:tcPr>
            <w:tcW w:w="0" w:type="auto"/>
            <w:tcMar>
              <w:top w:w="150" w:type="dxa"/>
              <w:left w:w="240" w:type="dxa"/>
              <w:bottom w:w="150" w:type="dxa"/>
              <w:right w:w="240" w:type="dxa"/>
            </w:tcMar>
            <w:vAlign w:val="center"/>
            <w:hideMark/>
          </w:tcPr>
          <w:p w14:paraId="4CC1887C"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b/>
                <w:bCs/>
                <w:kern w:val="0"/>
                <w:sz w:val="21"/>
                <w:szCs w:val="21"/>
                <w14:ligatures w14:val="none"/>
              </w:rPr>
              <w:t>8</w:t>
            </w:r>
          </w:p>
        </w:tc>
        <w:tc>
          <w:tcPr>
            <w:tcW w:w="0" w:type="auto"/>
            <w:tcMar>
              <w:top w:w="150" w:type="dxa"/>
              <w:left w:w="240" w:type="dxa"/>
              <w:bottom w:w="150" w:type="dxa"/>
              <w:right w:w="0" w:type="dxa"/>
            </w:tcMar>
            <w:vAlign w:val="center"/>
            <w:hideMark/>
          </w:tcPr>
          <w:p w14:paraId="379DE400" w14:textId="77777777" w:rsidR="008A3742" w:rsidRPr="00435DEF" w:rsidRDefault="008A3742" w:rsidP="00435DEF">
            <w:pPr>
              <w:spacing w:after="0" w:line="240" w:lineRule="auto"/>
              <w:rPr>
                <w:rFonts w:ascii="Times New Roman" w:eastAsia="Times New Roman" w:hAnsi="Times New Roman" w:cs="Times New Roman"/>
                <w:kern w:val="0"/>
                <w:sz w:val="21"/>
                <w:szCs w:val="21"/>
                <w14:ligatures w14:val="none"/>
              </w:rPr>
            </w:pPr>
            <w:r w:rsidRPr="00435DEF">
              <w:rPr>
                <w:rFonts w:ascii="Times New Roman" w:eastAsia="Times New Roman" w:hAnsi="Times New Roman" w:cs="Times New Roman"/>
                <w:b/>
                <w:bCs/>
                <w:kern w:val="0"/>
                <w:sz w:val="21"/>
                <w:szCs w:val="21"/>
                <w14:ligatures w14:val="none"/>
              </w:rPr>
              <w:t>157</w:t>
            </w:r>
          </w:p>
        </w:tc>
      </w:tr>
    </w:tbl>
    <w:p w14:paraId="2CE73EF9"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 xml:space="preserve">*χ² = 66.62, </w:t>
      </w:r>
      <w:proofErr w:type="spellStart"/>
      <w:r w:rsidRPr="00301E47">
        <w:rPr>
          <w:rFonts w:ascii="Times New Roman" w:eastAsia="Times New Roman" w:hAnsi="Times New Roman" w:cs="Times New Roman"/>
          <w:color w:val="0F1115"/>
          <w:kern w:val="0"/>
          <w14:ligatures w14:val="none"/>
        </w:rPr>
        <w:t>df</w:t>
      </w:r>
      <w:proofErr w:type="spellEnd"/>
      <w:r w:rsidRPr="00301E47">
        <w:rPr>
          <w:rFonts w:ascii="Times New Roman" w:eastAsia="Times New Roman" w:hAnsi="Times New Roman" w:cs="Times New Roman"/>
          <w:color w:val="0F1115"/>
          <w:kern w:val="0"/>
          <w14:ligatures w14:val="none"/>
        </w:rPr>
        <w:t xml:space="preserve"> = 15, p &lt; 0.001 (significant)*</w:t>
      </w:r>
    </w:p>
    <w:p w14:paraId="3E679985"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lastRenderedPageBreak/>
        <w:t>Interpretation:</w:t>
      </w:r>
      <w:r w:rsidRPr="00301E47">
        <w:rPr>
          <w:rFonts w:ascii="Times New Roman" w:eastAsia="Times New Roman" w:hAnsi="Times New Roman" w:cs="Times New Roman"/>
          <w:color w:val="0F1115"/>
          <w:kern w:val="0"/>
          <w14:ligatures w14:val="none"/>
        </w:rPr>
        <w:t> There was a significant association between years of experience and wound assessment method (p &lt; 0.001). Less experienced nurses (≤4 years) incorporated pain assessment and infection sign monitoring more frequently than highly experienced nurses.</w:t>
      </w:r>
    </w:p>
    <w:p w14:paraId="27794C99"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Table 10</w:t>
      </w:r>
      <w:r w:rsidRPr="00301E47">
        <w:rPr>
          <w:rFonts w:ascii="Times New Roman" w:eastAsia="Times New Roman" w:hAnsi="Times New Roman" w:cs="Times New Roman"/>
          <w:color w:val="0F1115"/>
          <w:kern w:val="0"/>
          <w14:ligatures w14:val="none"/>
        </w:rPr>
        <w:br/>
      </w:r>
      <w:r w:rsidRPr="00301E47">
        <w:rPr>
          <w:rFonts w:ascii="Times New Roman" w:eastAsia="Times New Roman" w:hAnsi="Times New Roman" w:cs="Times New Roman"/>
          <w:i/>
          <w:iCs/>
          <w:color w:val="0F1115"/>
          <w:kern w:val="0"/>
          <w14:ligatures w14:val="none"/>
        </w:rPr>
        <w:t>Association Between Education Level and Wound Assessment Method</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092"/>
        <w:gridCol w:w="1355"/>
        <w:gridCol w:w="1840"/>
        <w:gridCol w:w="1723"/>
        <w:gridCol w:w="959"/>
        <w:gridCol w:w="924"/>
      </w:tblGrid>
      <w:tr w:rsidR="008A3742" w:rsidRPr="005F1E17" w14:paraId="3A1EC18E" w14:textId="77777777" w:rsidTr="00435DEF">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737C55C8"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Education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3F3CF73"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Inspection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B6A1092"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Pain assessment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F0A87CE"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Infection signs</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208D0B7"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Other</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73BBF18"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Total</w:t>
            </w:r>
          </w:p>
        </w:tc>
      </w:tr>
      <w:tr w:rsidR="008A3742" w:rsidRPr="005F1E17" w14:paraId="2167E817" w14:textId="77777777" w:rsidTr="00435DEF">
        <w:tc>
          <w:tcPr>
            <w:tcW w:w="0" w:type="auto"/>
            <w:tcBorders>
              <w:top w:val="single" w:sz="4" w:space="0" w:color="auto"/>
            </w:tcBorders>
            <w:tcMar>
              <w:top w:w="150" w:type="dxa"/>
              <w:left w:w="0" w:type="dxa"/>
              <w:bottom w:w="150" w:type="dxa"/>
              <w:right w:w="240" w:type="dxa"/>
            </w:tcMar>
            <w:vAlign w:val="center"/>
            <w:hideMark/>
          </w:tcPr>
          <w:p w14:paraId="48F43A27"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A0</w:t>
            </w:r>
          </w:p>
        </w:tc>
        <w:tc>
          <w:tcPr>
            <w:tcW w:w="0" w:type="auto"/>
            <w:tcBorders>
              <w:top w:val="single" w:sz="4" w:space="0" w:color="auto"/>
            </w:tcBorders>
            <w:tcMar>
              <w:top w:w="150" w:type="dxa"/>
              <w:left w:w="240" w:type="dxa"/>
              <w:bottom w:w="150" w:type="dxa"/>
              <w:right w:w="240" w:type="dxa"/>
            </w:tcMar>
            <w:vAlign w:val="center"/>
            <w:hideMark/>
          </w:tcPr>
          <w:p w14:paraId="5C67D4A4"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38</w:t>
            </w:r>
          </w:p>
        </w:tc>
        <w:tc>
          <w:tcPr>
            <w:tcW w:w="0" w:type="auto"/>
            <w:tcBorders>
              <w:top w:val="single" w:sz="4" w:space="0" w:color="auto"/>
            </w:tcBorders>
            <w:tcMar>
              <w:top w:w="150" w:type="dxa"/>
              <w:left w:w="240" w:type="dxa"/>
              <w:bottom w:w="150" w:type="dxa"/>
              <w:right w:w="240" w:type="dxa"/>
            </w:tcMar>
            <w:vAlign w:val="center"/>
            <w:hideMark/>
          </w:tcPr>
          <w:p w14:paraId="165575B1"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2</w:t>
            </w:r>
          </w:p>
        </w:tc>
        <w:tc>
          <w:tcPr>
            <w:tcW w:w="0" w:type="auto"/>
            <w:tcBorders>
              <w:top w:val="single" w:sz="4" w:space="0" w:color="auto"/>
            </w:tcBorders>
            <w:tcMar>
              <w:top w:w="150" w:type="dxa"/>
              <w:left w:w="240" w:type="dxa"/>
              <w:bottom w:w="150" w:type="dxa"/>
              <w:right w:w="240" w:type="dxa"/>
            </w:tcMar>
            <w:vAlign w:val="center"/>
            <w:hideMark/>
          </w:tcPr>
          <w:p w14:paraId="6790C02B"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20</w:t>
            </w:r>
          </w:p>
        </w:tc>
        <w:tc>
          <w:tcPr>
            <w:tcW w:w="0" w:type="auto"/>
            <w:tcBorders>
              <w:top w:val="single" w:sz="4" w:space="0" w:color="auto"/>
            </w:tcBorders>
            <w:tcMar>
              <w:top w:w="150" w:type="dxa"/>
              <w:left w:w="240" w:type="dxa"/>
              <w:bottom w:w="150" w:type="dxa"/>
              <w:right w:w="240" w:type="dxa"/>
            </w:tcMar>
            <w:vAlign w:val="center"/>
            <w:hideMark/>
          </w:tcPr>
          <w:p w14:paraId="37292CA7"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0</w:t>
            </w:r>
          </w:p>
        </w:tc>
        <w:tc>
          <w:tcPr>
            <w:tcW w:w="0" w:type="auto"/>
            <w:tcBorders>
              <w:top w:val="single" w:sz="4" w:space="0" w:color="auto"/>
            </w:tcBorders>
            <w:tcMar>
              <w:top w:w="150" w:type="dxa"/>
              <w:left w:w="240" w:type="dxa"/>
              <w:bottom w:w="150" w:type="dxa"/>
              <w:right w:w="0" w:type="dxa"/>
            </w:tcMar>
            <w:vAlign w:val="center"/>
            <w:hideMark/>
          </w:tcPr>
          <w:p w14:paraId="41A2E63F"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60</w:t>
            </w:r>
          </w:p>
        </w:tc>
      </w:tr>
      <w:tr w:rsidR="008A3742" w:rsidRPr="005F1E17" w14:paraId="65E3D3E6" w14:textId="77777777" w:rsidTr="00435DEF">
        <w:tc>
          <w:tcPr>
            <w:tcW w:w="0" w:type="auto"/>
            <w:tcMar>
              <w:top w:w="150" w:type="dxa"/>
              <w:left w:w="0" w:type="dxa"/>
              <w:bottom w:w="150" w:type="dxa"/>
              <w:right w:w="240" w:type="dxa"/>
            </w:tcMar>
            <w:vAlign w:val="center"/>
            <w:hideMark/>
          </w:tcPr>
          <w:p w14:paraId="2A3F6EBB"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A1</w:t>
            </w:r>
          </w:p>
        </w:tc>
        <w:tc>
          <w:tcPr>
            <w:tcW w:w="0" w:type="auto"/>
            <w:tcMar>
              <w:top w:w="150" w:type="dxa"/>
              <w:left w:w="240" w:type="dxa"/>
              <w:bottom w:w="150" w:type="dxa"/>
              <w:right w:w="240" w:type="dxa"/>
            </w:tcMar>
            <w:vAlign w:val="center"/>
            <w:hideMark/>
          </w:tcPr>
          <w:p w14:paraId="5E87D47F"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7</w:t>
            </w:r>
          </w:p>
        </w:tc>
        <w:tc>
          <w:tcPr>
            <w:tcW w:w="0" w:type="auto"/>
            <w:tcMar>
              <w:top w:w="150" w:type="dxa"/>
              <w:left w:w="240" w:type="dxa"/>
              <w:bottom w:w="150" w:type="dxa"/>
              <w:right w:w="240" w:type="dxa"/>
            </w:tcMar>
            <w:vAlign w:val="center"/>
            <w:hideMark/>
          </w:tcPr>
          <w:p w14:paraId="1BF000CD"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7</w:t>
            </w:r>
          </w:p>
        </w:tc>
        <w:tc>
          <w:tcPr>
            <w:tcW w:w="0" w:type="auto"/>
            <w:tcMar>
              <w:top w:w="150" w:type="dxa"/>
              <w:left w:w="240" w:type="dxa"/>
              <w:bottom w:w="150" w:type="dxa"/>
              <w:right w:w="240" w:type="dxa"/>
            </w:tcMar>
            <w:vAlign w:val="center"/>
            <w:hideMark/>
          </w:tcPr>
          <w:p w14:paraId="615B8B31"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59</w:t>
            </w:r>
          </w:p>
        </w:tc>
        <w:tc>
          <w:tcPr>
            <w:tcW w:w="0" w:type="auto"/>
            <w:tcMar>
              <w:top w:w="150" w:type="dxa"/>
              <w:left w:w="240" w:type="dxa"/>
              <w:bottom w:w="150" w:type="dxa"/>
              <w:right w:w="240" w:type="dxa"/>
            </w:tcMar>
            <w:vAlign w:val="center"/>
            <w:hideMark/>
          </w:tcPr>
          <w:p w14:paraId="0FF7C506"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0</w:t>
            </w:r>
          </w:p>
        </w:tc>
        <w:tc>
          <w:tcPr>
            <w:tcW w:w="0" w:type="auto"/>
            <w:tcMar>
              <w:top w:w="150" w:type="dxa"/>
              <w:left w:w="240" w:type="dxa"/>
              <w:bottom w:w="150" w:type="dxa"/>
              <w:right w:w="0" w:type="dxa"/>
            </w:tcMar>
            <w:vAlign w:val="center"/>
            <w:hideMark/>
          </w:tcPr>
          <w:p w14:paraId="2F4E3213"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73</w:t>
            </w:r>
          </w:p>
        </w:tc>
      </w:tr>
      <w:tr w:rsidR="008A3742" w:rsidRPr="005F1E17" w14:paraId="41270D6F" w14:textId="77777777" w:rsidTr="00435DEF">
        <w:tc>
          <w:tcPr>
            <w:tcW w:w="0" w:type="auto"/>
            <w:tcMar>
              <w:top w:w="150" w:type="dxa"/>
              <w:left w:w="0" w:type="dxa"/>
              <w:bottom w:w="150" w:type="dxa"/>
              <w:right w:w="240" w:type="dxa"/>
            </w:tcMar>
            <w:vAlign w:val="center"/>
            <w:hideMark/>
          </w:tcPr>
          <w:p w14:paraId="704505F4"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A2</w:t>
            </w:r>
          </w:p>
        </w:tc>
        <w:tc>
          <w:tcPr>
            <w:tcW w:w="0" w:type="auto"/>
            <w:tcMar>
              <w:top w:w="150" w:type="dxa"/>
              <w:left w:w="240" w:type="dxa"/>
              <w:bottom w:w="150" w:type="dxa"/>
              <w:right w:w="240" w:type="dxa"/>
            </w:tcMar>
            <w:vAlign w:val="center"/>
            <w:hideMark/>
          </w:tcPr>
          <w:p w14:paraId="230254F5"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1</w:t>
            </w:r>
          </w:p>
        </w:tc>
        <w:tc>
          <w:tcPr>
            <w:tcW w:w="0" w:type="auto"/>
            <w:tcMar>
              <w:top w:w="150" w:type="dxa"/>
              <w:left w:w="240" w:type="dxa"/>
              <w:bottom w:w="150" w:type="dxa"/>
              <w:right w:w="240" w:type="dxa"/>
            </w:tcMar>
            <w:vAlign w:val="center"/>
            <w:hideMark/>
          </w:tcPr>
          <w:p w14:paraId="2B820376"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3</w:t>
            </w:r>
          </w:p>
        </w:tc>
        <w:tc>
          <w:tcPr>
            <w:tcW w:w="0" w:type="auto"/>
            <w:tcMar>
              <w:top w:w="150" w:type="dxa"/>
              <w:left w:w="240" w:type="dxa"/>
              <w:bottom w:w="150" w:type="dxa"/>
              <w:right w:w="240" w:type="dxa"/>
            </w:tcMar>
            <w:vAlign w:val="center"/>
            <w:hideMark/>
          </w:tcPr>
          <w:p w14:paraId="35CB9225"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20</w:t>
            </w:r>
          </w:p>
        </w:tc>
        <w:tc>
          <w:tcPr>
            <w:tcW w:w="0" w:type="auto"/>
            <w:tcMar>
              <w:top w:w="150" w:type="dxa"/>
              <w:left w:w="240" w:type="dxa"/>
              <w:bottom w:w="150" w:type="dxa"/>
              <w:right w:w="240" w:type="dxa"/>
            </w:tcMar>
            <w:vAlign w:val="center"/>
            <w:hideMark/>
          </w:tcPr>
          <w:p w14:paraId="5DB26BD5"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0</w:t>
            </w:r>
          </w:p>
        </w:tc>
        <w:tc>
          <w:tcPr>
            <w:tcW w:w="0" w:type="auto"/>
            <w:tcMar>
              <w:top w:w="150" w:type="dxa"/>
              <w:left w:w="240" w:type="dxa"/>
              <w:bottom w:w="150" w:type="dxa"/>
              <w:right w:w="0" w:type="dxa"/>
            </w:tcMar>
            <w:vAlign w:val="center"/>
            <w:hideMark/>
          </w:tcPr>
          <w:p w14:paraId="20DFB4C8"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24</w:t>
            </w:r>
          </w:p>
        </w:tc>
      </w:tr>
      <w:tr w:rsidR="008A3742" w:rsidRPr="005F1E17" w14:paraId="34EAACF7" w14:textId="77777777" w:rsidTr="00435DEF">
        <w:tc>
          <w:tcPr>
            <w:tcW w:w="0" w:type="auto"/>
            <w:tcMar>
              <w:top w:w="150" w:type="dxa"/>
              <w:left w:w="0" w:type="dxa"/>
              <w:bottom w:w="150" w:type="dxa"/>
              <w:right w:w="240" w:type="dxa"/>
            </w:tcMar>
            <w:vAlign w:val="center"/>
            <w:hideMark/>
          </w:tcPr>
          <w:p w14:paraId="123B3EAF"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b/>
                <w:bCs/>
                <w:kern w:val="0"/>
                <w:sz w:val="21"/>
                <w:szCs w:val="21"/>
                <w14:ligatures w14:val="none"/>
              </w:rPr>
              <w:t>Total</w:t>
            </w:r>
          </w:p>
        </w:tc>
        <w:tc>
          <w:tcPr>
            <w:tcW w:w="0" w:type="auto"/>
            <w:tcMar>
              <w:top w:w="150" w:type="dxa"/>
              <w:left w:w="240" w:type="dxa"/>
              <w:bottom w:w="150" w:type="dxa"/>
              <w:right w:w="240" w:type="dxa"/>
            </w:tcMar>
            <w:vAlign w:val="center"/>
            <w:hideMark/>
          </w:tcPr>
          <w:p w14:paraId="05E06D82"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b/>
                <w:bCs/>
                <w:kern w:val="0"/>
                <w:sz w:val="21"/>
                <w:szCs w:val="21"/>
                <w14:ligatures w14:val="none"/>
              </w:rPr>
              <w:t>46</w:t>
            </w:r>
          </w:p>
        </w:tc>
        <w:tc>
          <w:tcPr>
            <w:tcW w:w="0" w:type="auto"/>
            <w:tcMar>
              <w:top w:w="150" w:type="dxa"/>
              <w:left w:w="240" w:type="dxa"/>
              <w:bottom w:w="150" w:type="dxa"/>
              <w:right w:w="240" w:type="dxa"/>
            </w:tcMar>
            <w:vAlign w:val="center"/>
            <w:hideMark/>
          </w:tcPr>
          <w:p w14:paraId="0DD5D4F8"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b/>
                <w:bCs/>
                <w:kern w:val="0"/>
                <w:sz w:val="21"/>
                <w:szCs w:val="21"/>
                <w14:ligatures w14:val="none"/>
              </w:rPr>
              <w:t>12</w:t>
            </w:r>
          </w:p>
        </w:tc>
        <w:tc>
          <w:tcPr>
            <w:tcW w:w="0" w:type="auto"/>
            <w:tcMar>
              <w:top w:w="150" w:type="dxa"/>
              <w:left w:w="240" w:type="dxa"/>
              <w:bottom w:w="150" w:type="dxa"/>
              <w:right w:w="240" w:type="dxa"/>
            </w:tcMar>
            <w:vAlign w:val="center"/>
            <w:hideMark/>
          </w:tcPr>
          <w:p w14:paraId="5F57DF2C"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b/>
                <w:bCs/>
                <w:kern w:val="0"/>
                <w:sz w:val="21"/>
                <w:szCs w:val="21"/>
                <w14:ligatures w14:val="none"/>
              </w:rPr>
              <w:t>99</w:t>
            </w:r>
          </w:p>
        </w:tc>
        <w:tc>
          <w:tcPr>
            <w:tcW w:w="0" w:type="auto"/>
            <w:tcMar>
              <w:top w:w="150" w:type="dxa"/>
              <w:left w:w="240" w:type="dxa"/>
              <w:bottom w:w="150" w:type="dxa"/>
              <w:right w:w="240" w:type="dxa"/>
            </w:tcMar>
            <w:vAlign w:val="center"/>
            <w:hideMark/>
          </w:tcPr>
          <w:p w14:paraId="491973D9"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b/>
                <w:bCs/>
                <w:kern w:val="0"/>
                <w:sz w:val="21"/>
                <w:szCs w:val="21"/>
                <w14:ligatures w14:val="none"/>
              </w:rPr>
              <w:t>0</w:t>
            </w:r>
          </w:p>
        </w:tc>
        <w:tc>
          <w:tcPr>
            <w:tcW w:w="0" w:type="auto"/>
            <w:tcMar>
              <w:top w:w="150" w:type="dxa"/>
              <w:left w:w="240" w:type="dxa"/>
              <w:bottom w:w="150" w:type="dxa"/>
              <w:right w:w="0" w:type="dxa"/>
            </w:tcMar>
            <w:vAlign w:val="center"/>
            <w:hideMark/>
          </w:tcPr>
          <w:p w14:paraId="707E3601" w14:textId="77777777" w:rsidR="008A3742" w:rsidRPr="005F1E17" w:rsidRDefault="008A3742" w:rsidP="00435DEF">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b/>
                <w:bCs/>
                <w:kern w:val="0"/>
                <w:sz w:val="21"/>
                <w:szCs w:val="21"/>
                <w14:ligatures w14:val="none"/>
              </w:rPr>
              <w:t>157</w:t>
            </w:r>
          </w:p>
        </w:tc>
      </w:tr>
    </w:tbl>
    <w:p w14:paraId="29FA4916"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 xml:space="preserve">*χ² = 66.62, </w:t>
      </w:r>
      <w:proofErr w:type="spellStart"/>
      <w:r w:rsidRPr="00301E47">
        <w:rPr>
          <w:rFonts w:ascii="Times New Roman" w:eastAsia="Times New Roman" w:hAnsi="Times New Roman" w:cs="Times New Roman"/>
          <w:color w:val="0F1115"/>
          <w:kern w:val="0"/>
          <w14:ligatures w14:val="none"/>
        </w:rPr>
        <w:t>df</w:t>
      </w:r>
      <w:proofErr w:type="spellEnd"/>
      <w:r w:rsidRPr="00301E47">
        <w:rPr>
          <w:rFonts w:ascii="Times New Roman" w:eastAsia="Times New Roman" w:hAnsi="Times New Roman" w:cs="Times New Roman"/>
          <w:color w:val="0F1115"/>
          <w:kern w:val="0"/>
          <w14:ligatures w14:val="none"/>
        </w:rPr>
        <w:t xml:space="preserve"> = 6, p &lt; 0.001 (significant)*</w:t>
      </w:r>
    </w:p>
    <w:p w14:paraId="01D2A42B"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Interpretation:</w:t>
      </w:r>
      <w:r w:rsidRPr="00301E47">
        <w:rPr>
          <w:rFonts w:ascii="Times New Roman" w:eastAsia="Times New Roman" w:hAnsi="Times New Roman" w:cs="Times New Roman"/>
          <w:color w:val="0F1115"/>
          <w:kern w:val="0"/>
          <w14:ligatures w14:val="none"/>
        </w:rPr>
        <w:t> A significant association was found between education level and wound assessment method (p &lt; 0.001). A0-level nurses prioritized monitoring infection signs, while A1-level nurses favored inspection, and A2-level nurses used diverse approaches.</w:t>
      </w:r>
    </w:p>
    <w:p w14:paraId="13CC1ED9" w14:textId="77777777" w:rsidR="008A3742" w:rsidRPr="00301E47" w:rsidRDefault="008A3742" w:rsidP="008A3742">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301E47">
        <w:rPr>
          <w:rFonts w:ascii="Times New Roman" w:eastAsia="Times New Roman" w:hAnsi="Times New Roman" w:cs="Times New Roman"/>
          <w:b/>
          <w:bCs/>
          <w:color w:val="0F1115"/>
          <w:kern w:val="0"/>
          <w:sz w:val="33"/>
          <w:szCs w:val="33"/>
          <w14:ligatures w14:val="none"/>
        </w:rPr>
        <w:t>4. Discussion</w:t>
      </w:r>
    </w:p>
    <w:p w14:paraId="18C82EB6"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4.1. Summary of Key Findings</w:t>
      </w:r>
    </w:p>
    <w:p w14:paraId="52B4B613"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 xml:space="preserve">This study provides the first systematic assessment of nurses' KAP regarding prevention of post-operative complications at HGR </w:t>
      </w:r>
      <w:proofErr w:type="spellStart"/>
      <w:r w:rsidRPr="00301E47">
        <w:rPr>
          <w:rFonts w:ascii="Times New Roman" w:eastAsia="Times New Roman" w:hAnsi="Times New Roman" w:cs="Times New Roman"/>
          <w:color w:val="0F1115"/>
          <w:kern w:val="0"/>
          <w14:ligatures w14:val="none"/>
        </w:rPr>
        <w:t>Wangata</w:t>
      </w:r>
      <w:proofErr w:type="spellEnd"/>
      <w:r w:rsidRPr="00301E47">
        <w:rPr>
          <w:rFonts w:ascii="Times New Roman" w:eastAsia="Times New Roman" w:hAnsi="Times New Roman" w:cs="Times New Roman"/>
          <w:color w:val="0F1115"/>
          <w:kern w:val="0"/>
          <w14:ligatures w14:val="none"/>
        </w:rPr>
        <w:t xml:space="preserve">. Key findings include: (1) high clinical experience (35% with ≥25 years) but very low participation in continuing education (only 10.2%); (2) bleeding as the most frequently encountered complication (75.2%); (3) antibiotic prophylaxis as the dominant preventive method (45.2%), with underutilization of hand hygiene (24.2%) and patient education (20.3%); (4) strong recognition of prevention importance (100%) but gaps in </w:t>
      </w:r>
      <w:r w:rsidRPr="00301E47">
        <w:rPr>
          <w:rFonts w:ascii="Times New Roman" w:eastAsia="Times New Roman" w:hAnsi="Times New Roman" w:cs="Times New Roman"/>
          <w:color w:val="0F1115"/>
          <w:kern w:val="0"/>
          <w14:ligatures w14:val="none"/>
        </w:rPr>
        <w:lastRenderedPageBreak/>
        <w:t>translating attitudes into practices; (5) significant associations between clinical practices and age, gender, experience, and education level.</w:t>
      </w:r>
    </w:p>
    <w:p w14:paraId="79B9D0B3"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4.2. Comparison with Existing Literature</w:t>
      </w:r>
    </w:p>
    <w:p w14:paraId="68886ACC"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The finding that only 10.2% of nurses had participated in continuing education is alarming. This is consistent with studies from other resource-limited settings in sub-Saharan Africa, where lack of access to continuing professional development is a major barrier to evidence-based practice (Frenk et al., 2010; WHO, 2016). Without regular updates, clinical knowledge becomes outdated, and nurses may continue to rely on traditional practices rather than current recommendations.</w:t>
      </w:r>
    </w:p>
    <w:p w14:paraId="5475F30B"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 xml:space="preserve">The predominance of bleeding (75.2%) as the most frequently encountered complication reflects the nature of surgical services at HGR </w:t>
      </w:r>
      <w:proofErr w:type="spellStart"/>
      <w:r w:rsidRPr="00301E47">
        <w:rPr>
          <w:rFonts w:ascii="Times New Roman" w:eastAsia="Times New Roman" w:hAnsi="Times New Roman" w:cs="Times New Roman"/>
          <w:color w:val="0F1115"/>
          <w:kern w:val="0"/>
          <w14:ligatures w14:val="none"/>
        </w:rPr>
        <w:t>Wangata</w:t>
      </w:r>
      <w:proofErr w:type="spellEnd"/>
      <w:r w:rsidRPr="00301E47">
        <w:rPr>
          <w:rFonts w:ascii="Times New Roman" w:eastAsia="Times New Roman" w:hAnsi="Times New Roman" w:cs="Times New Roman"/>
          <w:color w:val="0F1115"/>
          <w:kern w:val="0"/>
          <w14:ligatures w14:val="none"/>
        </w:rPr>
        <w:t>, which likely includes trauma and emergency surgeries where hemorrhage risk is high. This finding aligns with global surgical literature indicating that bleeding is one of the most common immediate post-operative complications (Kumar &amp; Singh, 2019).</w:t>
      </w:r>
    </w:p>
    <w:p w14:paraId="4BF9CC28"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The underutilization of hand hygiene (24.2%) and patient education (20.3%) despite their proven effectiveness is concerning. The WHO (2009) has clearly demonstrated that proper hand hygiene reduces surgical site infections by up to 50%. Similarly, patient education has been shown to improve adherence to post-operative instructions and early detection of complications (Bodenheimer et al., 2002). The gap between recognizing the importance of prevention (100% rated it as very important) and implementing evidence-based practices suggests that knowledge alone is insufficient; institutional support, resources, and protocols are necessary.</w:t>
      </w:r>
    </w:p>
    <w:p w14:paraId="4919E83B"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 xml:space="preserve">The significant associations between clinical practices and age, gender, experience, and education level highlight the heterogeneity of nursing practices at HGR </w:t>
      </w:r>
      <w:proofErr w:type="spellStart"/>
      <w:r w:rsidRPr="00301E47">
        <w:rPr>
          <w:rFonts w:ascii="Times New Roman" w:eastAsia="Times New Roman" w:hAnsi="Times New Roman" w:cs="Times New Roman"/>
          <w:color w:val="0F1115"/>
          <w:kern w:val="0"/>
          <w14:ligatures w14:val="none"/>
        </w:rPr>
        <w:t>Wangata</w:t>
      </w:r>
      <w:proofErr w:type="spellEnd"/>
      <w:r w:rsidRPr="00301E47">
        <w:rPr>
          <w:rFonts w:ascii="Times New Roman" w:eastAsia="Times New Roman" w:hAnsi="Times New Roman" w:cs="Times New Roman"/>
          <w:color w:val="0F1115"/>
          <w:kern w:val="0"/>
          <w14:ligatures w14:val="none"/>
        </w:rPr>
        <w:t xml:space="preserve">. Younger and less experienced nurses were more likely to incorporate pain assessment and infection sign monitoring, reflecting more recent training and exposure to updated curricula. Older, more experienced nurses relied more heavily on visual inspection, which may represent entrenched habits rather than evidence-based practice. This finding is consistent with Benner's (1984) </w:t>
      </w:r>
      <w:r w:rsidRPr="00301E47">
        <w:rPr>
          <w:rFonts w:ascii="Times New Roman" w:eastAsia="Times New Roman" w:hAnsi="Times New Roman" w:cs="Times New Roman"/>
          <w:color w:val="0F1115"/>
          <w:kern w:val="0"/>
          <w14:ligatures w14:val="none"/>
        </w:rPr>
        <w:lastRenderedPageBreak/>
        <w:t>novice-to-expert model, which suggests that clinical expertise develops over time but may also lead to reliance on intuition rather than systematic assessment.</w:t>
      </w:r>
    </w:p>
    <w:p w14:paraId="01EF0723"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The lack of formal training on complication management (80.3% had no training) is a critical gap. Without structured training, nurses may not recognize early warning signs of complications such as sepsis, deep vein thrombosis, or respiratory failure. This finding echoes studies from other LMICs where limited continuing education contributes to preventable post-operative morbidity and mortality (</w:t>
      </w:r>
      <w:proofErr w:type="spellStart"/>
      <w:r w:rsidRPr="00301E47">
        <w:rPr>
          <w:rFonts w:ascii="Times New Roman" w:eastAsia="Times New Roman" w:hAnsi="Times New Roman" w:cs="Times New Roman"/>
          <w:color w:val="0F1115"/>
          <w:kern w:val="0"/>
          <w14:ligatures w14:val="none"/>
        </w:rPr>
        <w:t>Chichom</w:t>
      </w:r>
      <w:proofErr w:type="spellEnd"/>
      <w:r w:rsidRPr="00301E47">
        <w:rPr>
          <w:rFonts w:ascii="Times New Roman" w:eastAsia="Times New Roman" w:hAnsi="Times New Roman" w:cs="Times New Roman"/>
          <w:color w:val="0F1115"/>
          <w:kern w:val="0"/>
          <w14:ligatures w14:val="none"/>
        </w:rPr>
        <w:t>-Mefire et al., 2015).</w:t>
      </w:r>
    </w:p>
    <w:p w14:paraId="49F18C2D"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4.3. Strengths and Limitations</w:t>
      </w:r>
    </w:p>
    <w:p w14:paraId="529B789C"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Strengths:</w:t>
      </w:r>
      <w:r w:rsidRPr="00301E47">
        <w:rPr>
          <w:rFonts w:ascii="Times New Roman" w:eastAsia="Times New Roman" w:hAnsi="Times New Roman" w:cs="Times New Roman"/>
          <w:color w:val="0F1115"/>
          <w:kern w:val="0"/>
          <w14:ligatures w14:val="none"/>
        </w:rPr>
        <w:t xml:space="preserve"> First comprehensive KAP study on post-operative complication prevention at HGR </w:t>
      </w:r>
      <w:proofErr w:type="spellStart"/>
      <w:r w:rsidRPr="00301E47">
        <w:rPr>
          <w:rFonts w:ascii="Times New Roman" w:eastAsia="Times New Roman" w:hAnsi="Times New Roman" w:cs="Times New Roman"/>
          <w:color w:val="0F1115"/>
          <w:kern w:val="0"/>
          <w14:ligatures w14:val="none"/>
        </w:rPr>
        <w:t>Wangata</w:t>
      </w:r>
      <w:proofErr w:type="spellEnd"/>
      <w:r w:rsidRPr="00301E47">
        <w:rPr>
          <w:rFonts w:ascii="Times New Roman" w:eastAsia="Times New Roman" w:hAnsi="Times New Roman" w:cs="Times New Roman"/>
          <w:color w:val="0F1115"/>
          <w:kern w:val="0"/>
          <w14:ligatures w14:val="none"/>
        </w:rPr>
        <w:t>; large sample size (n=157); high response rate (100%); use of pretested, structured questionnaire; identification of statistically significant associations.</w:t>
      </w:r>
    </w:p>
    <w:p w14:paraId="316ED67C"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Limitations:</w:t>
      </w:r>
      <w:r w:rsidRPr="00301E47">
        <w:rPr>
          <w:rFonts w:ascii="Times New Roman" w:eastAsia="Times New Roman" w:hAnsi="Times New Roman" w:cs="Times New Roman"/>
          <w:color w:val="0F1115"/>
          <w:kern w:val="0"/>
          <w14:ligatures w14:val="none"/>
        </w:rPr>
        <w:t> Cross-sectional design precludes causal inference; self-reported data subject to social desirability bias; single-site study limits generalizability; no direct observation of clinical practices to validate self-reports; inability to assess the actual impact of practices on patient outcomes.</w:t>
      </w:r>
    </w:p>
    <w:p w14:paraId="04271669" w14:textId="77777777" w:rsidR="008A3742" w:rsidRPr="00301E47" w:rsidRDefault="008A3742" w:rsidP="008A3742">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301E47">
        <w:rPr>
          <w:rFonts w:ascii="Times New Roman" w:eastAsia="Times New Roman" w:hAnsi="Times New Roman" w:cs="Times New Roman"/>
          <w:b/>
          <w:bCs/>
          <w:color w:val="0F1115"/>
          <w:kern w:val="0"/>
          <w:sz w:val="30"/>
          <w:szCs w:val="30"/>
          <w14:ligatures w14:val="none"/>
        </w:rPr>
        <w:t>4.4. Implications for Policy and Practice</w:t>
      </w:r>
    </w:p>
    <w:p w14:paraId="6A9378EF" w14:textId="77777777" w:rsidR="008A3742" w:rsidRPr="00301E47" w:rsidRDefault="008A3742" w:rsidP="008A3742">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Continuing education:</w:t>
      </w:r>
      <w:r w:rsidRPr="00301E47">
        <w:rPr>
          <w:rFonts w:ascii="Times New Roman" w:eastAsia="Times New Roman" w:hAnsi="Times New Roman" w:cs="Times New Roman"/>
          <w:color w:val="0F1115"/>
          <w:kern w:val="0"/>
          <w14:ligatures w14:val="none"/>
        </w:rPr>
        <w:t> Mandatory, regular training programs on post-operative complication prevention should be established, with particular focus on pain assessment, hand hygiene, and patient education.</w:t>
      </w:r>
    </w:p>
    <w:p w14:paraId="36934AE8" w14:textId="77777777" w:rsidR="008A3742" w:rsidRPr="00301E47" w:rsidRDefault="008A3742" w:rsidP="008A3742">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Standardized protocols:</w:t>
      </w:r>
      <w:r w:rsidRPr="00301E47">
        <w:rPr>
          <w:rFonts w:ascii="Times New Roman" w:eastAsia="Times New Roman" w:hAnsi="Times New Roman" w:cs="Times New Roman"/>
          <w:color w:val="0F1115"/>
          <w:kern w:val="0"/>
          <w14:ligatures w14:val="none"/>
        </w:rPr>
        <w:t> Develop and disseminate evidence-based, context-adapted protocols for post-operative wound assessment, surveillance frequency, and complication recognition.</w:t>
      </w:r>
    </w:p>
    <w:p w14:paraId="4BAD7734" w14:textId="77777777" w:rsidR="008A3742" w:rsidRPr="00301E47" w:rsidRDefault="008A3742" w:rsidP="008A3742">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Patient education:</w:t>
      </w:r>
      <w:r w:rsidRPr="00301E47">
        <w:rPr>
          <w:rFonts w:ascii="Times New Roman" w:eastAsia="Times New Roman" w:hAnsi="Times New Roman" w:cs="Times New Roman"/>
          <w:color w:val="0F1115"/>
          <w:kern w:val="0"/>
          <w14:ligatures w14:val="none"/>
        </w:rPr>
        <w:t> Integrate structured patient education into routine post-operative care, using simple visual aids and culturally appropriate messages.</w:t>
      </w:r>
    </w:p>
    <w:p w14:paraId="58C2E652" w14:textId="77777777" w:rsidR="008A3742" w:rsidRPr="00301E47" w:rsidRDefault="008A3742" w:rsidP="008A3742">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Supervision and audit:</w:t>
      </w:r>
      <w:r w:rsidRPr="00301E47">
        <w:rPr>
          <w:rFonts w:ascii="Times New Roman" w:eastAsia="Times New Roman" w:hAnsi="Times New Roman" w:cs="Times New Roman"/>
          <w:color w:val="0F1115"/>
          <w:kern w:val="0"/>
          <w14:ligatures w14:val="none"/>
        </w:rPr>
        <w:t> Implement regular clinical supervision and quality audits to monitor adherence to protocols and identify areas for improvement.</w:t>
      </w:r>
    </w:p>
    <w:p w14:paraId="480ACF39" w14:textId="77777777" w:rsidR="008A3742" w:rsidRPr="00301E47" w:rsidRDefault="008A3742" w:rsidP="008A3742">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lastRenderedPageBreak/>
        <w:t>Resource allocation:</w:t>
      </w:r>
      <w:r w:rsidRPr="00301E47">
        <w:rPr>
          <w:rFonts w:ascii="Times New Roman" w:eastAsia="Times New Roman" w:hAnsi="Times New Roman" w:cs="Times New Roman"/>
          <w:color w:val="0F1115"/>
          <w:kern w:val="0"/>
          <w14:ligatures w14:val="none"/>
        </w:rPr>
        <w:t> Ensure consistent availability of hand hygiene supplies, wound care materials, and educational tools for patients.</w:t>
      </w:r>
    </w:p>
    <w:p w14:paraId="1E224419" w14:textId="77777777" w:rsidR="008A3742" w:rsidRPr="00301E47" w:rsidRDefault="008A3742" w:rsidP="008A3742">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301E47">
        <w:rPr>
          <w:rFonts w:ascii="Times New Roman" w:eastAsia="Times New Roman" w:hAnsi="Times New Roman" w:cs="Times New Roman"/>
          <w:b/>
          <w:bCs/>
          <w:color w:val="0F1115"/>
          <w:kern w:val="0"/>
          <w:sz w:val="33"/>
          <w:szCs w:val="33"/>
          <w14:ligatures w14:val="none"/>
        </w:rPr>
        <w:t>5. Conclusion</w:t>
      </w:r>
    </w:p>
    <w:p w14:paraId="239B3BD7"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 xml:space="preserve">This study demonstrates that nurses at HGR </w:t>
      </w:r>
      <w:proofErr w:type="spellStart"/>
      <w:r w:rsidRPr="00301E47">
        <w:rPr>
          <w:rFonts w:ascii="Times New Roman" w:eastAsia="Times New Roman" w:hAnsi="Times New Roman" w:cs="Times New Roman"/>
          <w:color w:val="0F1115"/>
          <w:kern w:val="0"/>
          <w14:ligatures w14:val="none"/>
        </w:rPr>
        <w:t>Wangata</w:t>
      </w:r>
      <w:proofErr w:type="spellEnd"/>
      <w:r w:rsidRPr="00301E47">
        <w:rPr>
          <w:rFonts w:ascii="Times New Roman" w:eastAsia="Times New Roman" w:hAnsi="Times New Roman" w:cs="Times New Roman"/>
          <w:color w:val="0F1115"/>
          <w:kern w:val="0"/>
          <w14:ligatures w14:val="none"/>
        </w:rPr>
        <w:t xml:space="preserve"> possess substantial clinical experience but have significant gaps in continuing education, adoption of non-pharmacological preventive measures, and patient education practices. While attitudes toward prevention are overwhelmingly positive, this does not consistently translate into evidence-based clinical practices.</w:t>
      </w:r>
    </w:p>
    <w:p w14:paraId="155368E5"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The study confirms the following hypotheses:</w:t>
      </w:r>
    </w:p>
    <w:p w14:paraId="3BEBDF1A" w14:textId="77777777" w:rsidR="008A3742" w:rsidRPr="00301E47" w:rsidRDefault="008A3742" w:rsidP="008A3742">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H₁ (favorable attitudes improve prevention):</w:t>
      </w:r>
      <w:r w:rsidRPr="00301E47">
        <w:rPr>
          <w:rFonts w:ascii="Times New Roman" w:eastAsia="Times New Roman" w:hAnsi="Times New Roman" w:cs="Times New Roman"/>
          <w:color w:val="0F1115"/>
          <w:kern w:val="0"/>
          <w14:ligatures w14:val="none"/>
        </w:rPr>
        <w:t> Partially confirmed – attitudes are positive, but practice gaps remain.</w:t>
      </w:r>
    </w:p>
    <w:p w14:paraId="62DAADFA" w14:textId="77777777" w:rsidR="008A3742" w:rsidRPr="00301E47" w:rsidRDefault="008A3742" w:rsidP="008A3742">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H₂ (knowledge influences effectiveness):</w:t>
      </w:r>
      <w:r w:rsidRPr="00301E47">
        <w:rPr>
          <w:rFonts w:ascii="Times New Roman" w:eastAsia="Times New Roman" w:hAnsi="Times New Roman" w:cs="Times New Roman"/>
          <w:color w:val="0F1115"/>
          <w:kern w:val="0"/>
          <w14:ligatures w14:val="none"/>
        </w:rPr>
        <w:t> Supported – younger, better-educated nurses demonstrated more comprehensive assessment practices.</w:t>
      </w:r>
    </w:p>
    <w:p w14:paraId="7A513F3C" w14:textId="77777777" w:rsidR="008A3742" w:rsidRPr="00301E47" w:rsidRDefault="008A3742" w:rsidP="008A3742">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H₃ (attitudes determine application):</w:t>
      </w:r>
      <w:r w:rsidRPr="00301E47">
        <w:rPr>
          <w:rFonts w:ascii="Times New Roman" w:eastAsia="Times New Roman" w:hAnsi="Times New Roman" w:cs="Times New Roman"/>
          <w:color w:val="0F1115"/>
          <w:kern w:val="0"/>
          <w14:ligatures w14:val="none"/>
        </w:rPr>
        <w:t> Not fully supported – positive attitudes did not guarantee optimal practices.</w:t>
      </w:r>
    </w:p>
    <w:p w14:paraId="19F3E4D3" w14:textId="77777777" w:rsidR="008A3742" w:rsidRPr="00301E47" w:rsidRDefault="008A3742" w:rsidP="008A3742">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H₄ (practices non-conforming):</w:t>
      </w:r>
      <w:r w:rsidRPr="00301E47">
        <w:rPr>
          <w:rFonts w:ascii="Times New Roman" w:eastAsia="Times New Roman" w:hAnsi="Times New Roman" w:cs="Times New Roman"/>
          <w:color w:val="0F1115"/>
          <w:kern w:val="0"/>
          <w14:ligatures w14:val="none"/>
        </w:rPr>
        <w:t> Confirmed – hand hygiene and patient education are underutilized.</w:t>
      </w:r>
    </w:p>
    <w:p w14:paraId="3C9E2814" w14:textId="77777777" w:rsidR="008A3742" w:rsidRPr="00301E47" w:rsidRDefault="008A3742" w:rsidP="008A3742">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H₅ (organizational factors influence practices):</w:t>
      </w:r>
      <w:r w:rsidRPr="00301E47">
        <w:rPr>
          <w:rFonts w:ascii="Times New Roman" w:eastAsia="Times New Roman" w:hAnsi="Times New Roman" w:cs="Times New Roman"/>
          <w:color w:val="0F1115"/>
          <w:kern w:val="0"/>
          <w14:ligatures w14:val="none"/>
        </w:rPr>
        <w:t> Supported – lack of continuing education and training are major barriers.</w:t>
      </w:r>
    </w:p>
    <w:p w14:paraId="1A744E4D"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 xml:space="preserve">The heterogeneity of practices according to age, gender, experience, and education level underscores the urgent need for standardized protocols, regular training, and institutional support for evidence-based nursing care. Without these interventions, preventable post-operative complications will continue to compromise patient safety and outcomes at HGR </w:t>
      </w:r>
      <w:proofErr w:type="spellStart"/>
      <w:r w:rsidRPr="00301E47">
        <w:rPr>
          <w:rFonts w:ascii="Times New Roman" w:eastAsia="Times New Roman" w:hAnsi="Times New Roman" w:cs="Times New Roman"/>
          <w:color w:val="0F1115"/>
          <w:kern w:val="0"/>
          <w14:ligatures w14:val="none"/>
        </w:rPr>
        <w:t>Wangata</w:t>
      </w:r>
      <w:proofErr w:type="spellEnd"/>
      <w:r w:rsidRPr="00301E47">
        <w:rPr>
          <w:rFonts w:ascii="Times New Roman" w:eastAsia="Times New Roman" w:hAnsi="Times New Roman" w:cs="Times New Roman"/>
          <w:color w:val="0F1115"/>
          <w:kern w:val="0"/>
          <w14:ligatures w14:val="none"/>
        </w:rPr>
        <w:t>.</w:t>
      </w:r>
    </w:p>
    <w:p w14:paraId="6200E784" w14:textId="77777777" w:rsidR="008A3742" w:rsidRPr="00301E47" w:rsidRDefault="008A3742" w:rsidP="008A3742">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301E47">
        <w:rPr>
          <w:rFonts w:ascii="Times New Roman" w:eastAsia="Times New Roman" w:hAnsi="Times New Roman" w:cs="Times New Roman"/>
          <w:b/>
          <w:bCs/>
          <w:color w:val="0F1115"/>
          <w:kern w:val="0"/>
          <w:sz w:val="33"/>
          <w:szCs w:val="33"/>
          <w14:ligatures w14:val="none"/>
        </w:rPr>
        <w:t>6. Recommendations</w:t>
      </w:r>
    </w:p>
    <w:tbl>
      <w:tblPr>
        <w:tblW w:w="937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666"/>
        <w:gridCol w:w="7709"/>
      </w:tblGrid>
      <w:tr w:rsidR="008A3742" w:rsidRPr="005F1E17" w14:paraId="3180157C" w14:textId="77777777" w:rsidTr="005F1E17">
        <w:trPr>
          <w:tblHeader/>
        </w:trPr>
        <w:tc>
          <w:tcPr>
            <w:tcW w:w="1666" w:type="dxa"/>
            <w:tcBorders>
              <w:top w:val="single" w:sz="4" w:space="0" w:color="auto"/>
              <w:bottom w:val="single" w:sz="4" w:space="0" w:color="auto"/>
            </w:tcBorders>
            <w:tcMar>
              <w:top w:w="150" w:type="dxa"/>
              <w:left w:w="0" w:type="dxa"/>
              <w:bottom w:w="150" w:type="dxa"/>
              <w:right w:w="240" w:type="dxa"/>
            </w:tcMar>
            <w:vAlign w:val="center"/>
            <w:hideMark/>
          </w:tcPr>
          <w:p w14:paraId="57BE963B" w14:textId="77777777" w:rsidR="008A3742" w:rsidRPr="005F1E17" w:rsidRDefault="008A3742" w:rsidP="005F1E17">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lastRenderedPageBreak/>
              <w:t>Level</w:t>
            </w:r>
          </w:p>
        </w:tc>
        <w:tc>
          <w:tcPr>
            <w:tcW w:w="7709" w:type="dxa"/>
            <w:tcBorders>
              <w:top w:val="single" w:sz="4" w:space="0" w:color="auto"/>
              <w:bottom w:val="single" w:sz="4" w:space="0" w:color="auto"/>
            </w:tcBorders>
            <w:tcMar>
              <w:top w:w="150" w:type="dxa"/>
              <w:left w:w="240" w:type="dxa"/>
              <w:bottom w:w="150" w:type="dxa"/>
              <w:right w:w="240" w:type="dxa"/>
            </w:tcMar>
            <w:vAlign w:val="center"/>
            <w:hideMark/>
          </w:tcPr>
          <w:p w14:paraId="4596491F" w14:textId="77777777" w:rsidR="008A3742" w:rsidRPr="005F1E17" w:rsidRDefault="008A3742" w:rsidP="005F1E17">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Recommendations</w:t>
            </w:r>
          </w:p>
        </w:tc>
      </w:tr>
      <w:tr w:rsidR="008A3742" w:rsidRPr="005F1E17" w14:paraId="67784F26" w14:textId="77777777" w:rsidTr="005F1E17">
        <w:tc>
          <w:tcPr>
            <w:tcW w:w="1666" w:type="dxa"/>
            <w:tcBorders>
              <w:top w:val="single" w:sz="4" w:space="0" w:color="auto"/>
            </w:tcBorders>
            <w:tcMar>
              <w:top w:w="150" w:type="dxa"/>
              <w:left w:w="0" w:type="dxa"/>
              <w:bottom w:w="150" w:type="dxa"/>
              <w:right w:w="240" w:type="dxa"/>
            </w:tcMar>
            <w:vAlign w:val="center"/>
            <w:hideMark/>
          </w:tcPr>
          <w:p w14:paraId="19C50D1E" w14:textId="77777777" w:rsidR="008A3742" w:rsidRPr="005F1E17" w:rsidRDefault="008A3742" w:rsidP="005F1E17">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b/>
                <w:bCs/>
                <w:kern w:val="0"/>
                <w:sz w:val="21"/>
                <w:szCs w:val="21"/>
                <w14:ligatures w14:val="none"/>
              </w:rPr>
              <w:t>Hospital administration</w:t>
            </w:r>
          </w:p>
        </w:tc>
        <w:tc>
          <w:tcPr>
            <w:tcW w:w="7709" w:type="dxa"/>
            <w:tcBorders>
              <w:top w:val="single" w:sz="4" w:space="0" w:color="auto"/>
            </w:tcBorders>
            <w:tcMar>
              <w:top w:w="150" w:type="dxa"/>
              <w:left w:w="240" w:type="dxa"/>
              <w:bottom w:w="150" w:type="dxa"/>
              <w:right w:w="0" w:type="dxa"/>
            </w:tcMar>
            <w:vAlign w:val="center"/>
            <w:hideMark/>
          </w:tcPr>
          <w:p w14:paraId="3794EDEC" w14:textId="77777777" w:rsidR="008A3742" w:rsidRPr="005F1E17" w:rsidRDefault="008A3742" w:rsidP="005F1E17">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Establish mandatory annual continuing education on post-operative complication prevention; develop and disseminate standardized wound assessment and surveillance protocols; ensure consistent availability of hand hygiene supplies and patient education materials.</w:t>
            </w:r>
          </w:p>
        </w:tc>
      </w:tr>
      <w:tr w:rsidR="008A3742" w:rsidRPr="005F1E17" w14:paraId="68F8B29E" w14:textId="77777777" w:rsidTr="005F1E17">
        <w:tc>
          <w:tcPr>
            <w:tcW w:w="1666" w:type="dxa"/>
            <w:tcMar>
              <w:top w:w="150" w:type="dxa"/>
              <w:left w:w="0" w:type="dxa"/>
              <w:bottom w:w="150" w:type="dxa"/>
              <w:right w:w="240" w:type="dxa"/>
            </w:tcMar>
            <w:vAlign w:val="center"/>
            <w:hideMark/>
          </w:tcPr>
          <w:p w14:paraId="0D814B89" w14:textId="77777777" w:rsidR="008A3742" w:rsidRPr="005F1E17" w:rsidRDefault="008A3742" w:rsidP="005F1E17">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b/>
                <w:bCs/>
                <w:kern w:val="0"/>
                <w:sz w:val="21"/>
                <w:szCs w:val="21"/>
                <w14:ligatures w14:val="none"/>
              </w:rPr>
              <w:t>Nursing leadership</w:t>
            </w:r>
          </w:p>
        </w:tc>
        <w:tc>
          <w:tcPr>
            <w:tcW w:w="7709" w:type="dxa"/>
            <w:tcMar>
              <w:top w:w="150" w:type="dxa"/>
              <w:left w:w="240" w:type="dxa"/>
              <w:bottom w:w="150" w:type="dxa"/>
              <w:right w:w="0" w:type="dxa"/>
            </w:tcMar>
            <w:vAlign w:val="center"/>
            <w:hideMark/>
          </w:tcPr>
          <w:p w14:paraId="343B7B5F" w14:textId="77777777" w:rsidR="008A3742" w:rsidRPr="005F1E17" w:rsidRDefault="008A3742" w:rsidP="005F1E17">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Implement regular clinical supervision and quality audits; create a "safety culture" that encourages reporting of near-misses and complications without fear of punishment; establish peer mentoring programs pairing experienced nurses with newer staff.</w:t>
            </w:r>
          </w:p>
        </w:tc>
      </w:tr>
      <w:tr w:rsidR="008A3742" w:rsidRPr="005F1E17" w14:paraId="65DF13AA" w14:textId="77777777" w:rsidTr="005F1E17">
        <w:tc>
          <w:tcPr>
            <w:tcW w:w="1666" w:type="dxa"/>
            <w:tcMar>
              <w:top w:w="150" w:type="dxa"/>
              <w:left w:w="0" w:type="dxa"/>
              <w:bottom w:w="150" w:type="dxa"/>
              <w:right w:w="240" w:type="dxa"/>
            </w:tcMar>
            <w:vAlign w:val="center"/>
            <w:hideMark/>
          </w:tcPr>
          <w:p w14:paraId="27E93FB3" w14:textId="77777777" w:rsidR="008A3742" w:rsidRPr="005F1E17" w:rsidRDefault="008A3742" w:rsidP="005F1E17">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b/>
                <w:bCs/>
                <w:kern w:val="0"/>
                <w:sz w:val="21"/>
                <w:szCs w:val="21"/>
                <w14:ligatures w14:val="none"/>
              </w:rPr>
              <w:t>Nurses</w:t>
            </w:r>
          </w:p>
        </w:tc>
        <w:tc>
          <w:tcPr>
            <w:tcW w:w="7709" w:type="dxa"/>
            <w:tcMar>
              <w:top w:w="150" w:type="dxa"/>
              <w:left w:w="240" w:type="dxa"/>
              <w:bottom w:w="150" w:type="dxa"/>
              <w:right w:w="0" w:type="dxa"/>
            </w:tcMar>
            <w:vAlign w:val="center"/>
            <w:hideMark/>
          </w:tcPr>
          <w:p w14:paraId="3A3D89DF" w14:textId="77777777" w:rsidR="008A3742" w:rsidRPr="005F1E17" w:rsidRDefault="008A3742" w:rsidP="005F1E17">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Actively participate in continuing education; integrate pain assessment and patient education into routine care; adhere to hand hygiene protocols; collaborate with interdisciplinary teams.</w:t>
            </w:r>
          </w:p>
        </w:tc>
      </w:tr>
      <w:tr w:rsidR="008A3742" w:rsidRPr="005F1E17" w14:paraId="19F5C76C" w14:textId="77777777" w:rsidTr="005F1E17">
        <w:tc>
          <w:tcPr>
            <w:tcW w:w="1666" w:type="dxa"/>
            <w:tcMar>
              <w:top w:w="150" w:type="dxa"/>
              <w:left w:w="0" w:type="dxa"/>
              <w:bottom w:w="150" w:type="dxa"/>
              <w:right w:w="240" w:type="dxa"/>
            </w:tcMar>
            <w:vAlign w:val="center"/>
            <w:hideMark/>
          </w:tcPr>
          <w:p w14:paraId="3A0250ED" w14:textId="77777777" w:rsidR="008A3742" w:rsidRPr="005F1E17" w:rsidRDefault="008A3742" w:rsidP="005F1E17">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b/>
                <w:bCs/>
                <w:kern w:val="0"/>
                <w:sz w:val="21"/>
                <w:szCs w:val="21"/>
                <w14:ligatures w14:val="none"/>
              </w:rPr>
              <w:t>Future research</w:t>
            </w:r>
          </w:p>
        </w:tc>
        <w:tc>
          <w:tcPr>
            <w:tcW w:w="7709" w:type="dxa"/>
            <w:tcMar>
              <w:top w:w="150" w:type="dxa"/>
              <w:left w:w="240" w:type="dxa"/>
              <w:bottom w:w="150" w:type="dxa"/>
              <w:right w:w="0" w:type="dxa"/>
            </w:tcMar>
            <w:vAlign w:val="center"/>
            <w:hideMark/>
          </w:tcPr>
          <w:p w14:paraId="05E76AB8" w14:textId="77777777" w:rsidR="008A3742" w:rsidRPr="005F1E17" w:rsidRDefault="008A3742" w:rsidP="005F1E17">
            <w:pPr>
              <w:spacing w:after="0" w:line="240" w:lineRule="auto"/>
              <w:rPr>
                <w:rFonts w:ascii="Times New Roman" w:eastAsia="Times New Roman" w:hAnsi="Times New Roman" w:cs="Times New Roman"/>
                <w:kern w:val="0"/>
                <w:sz w:val="21"/>
                <w:szCs w:val="21"/>
                <w14:ligatures w14:val="none"/>
              </w:rPr>
            </w:pPr>
            <w:r w:rsidRPr="005F1E17">
              <w:rPr>
                <w:rFonts w:ascii="Times New Roman" w:eastAsia="Times New Roman" w:hAnsi="Times New Roman" w:cs="Times New Roman"/>
                <w:kern w:val="0"/>
                <w:sz w:val="21"/>
                <w:szCs w:val="21"/>
                <w14:ligatures w14:val="none"/>
              </w:rPr>
              <w:t>Conduct observational studies to validate self-reported practices; evaluate the impact of specific training interventions on complication rates; explore organizational barriers to evidence-based practice through qualitative methods; replicate the study at multiple sites across Équateur Province.</w:t>
            </w:r>
          </w:p>
        </w:tc>
      </w:tr>
    </w:tbl>
    <w:p w14:paraId="10946892" w14:textId="77777777" w:rsidR="008A3742" w:rsidRPr="00301E47" w:rsidRDefault="008A3742" w:rsidP="008A3742">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301E47">
        <w:rPr>
          <w:rFonts w:ascii="Times New Roman" w:eastAsia="Times New Roman" w:hAnsi="Times New Roman" w:cs="Times New Roman"/>
          <w:b/>
          <w:bCs/>
          <w:color w:val="0F1115"/>
          <w:kern w:val="0"/>
          <w:sz w:val="33"/>
          <w:szCs w:val="33"/>
          <w14:ligatures w14:val="none"/>
        </w:rPr>
        <w:t>7. References</w:t>
      </w:r>
    </w:p>
    <w:p w14:paraId="287C72C5"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Allegranzi, B., Bischoff, P., de Jonge, S., Kubilay, N. Z., Zayed, B., Gomes, S. M., &amp; Pittet, D. (2011). New WHO recommendations on preoperative measures for surgical site infection prevention. </w:t>
      </w:r>
      <w:r w:rsidRPr="00301E47">
        <w:rPr>
          <w:rFonts w:ascii="Times New Roman" w:eastAsia="Times New Roman" w:hAnsi="Times New Roman" w:cs="Times New Roman"/>
          <w:i/>
          <w:iCs/>
          <w:color w:val="0F1115"/>
          <w:kern w:val="0"/>
          <w14:ligatures w14:val="none"/>
        </w:rPr>
        <w:t>The Lancet Infectious Diseases</w:t>
      </w:r>
      <w:r w:rsidRPr="00301E47">
        <w:rPr>
          <w:rFonts w:ascii="Times New Roman" w:eastAsia="Times New Roman" w:hAnsi="Times New Roman" w:cs="Times New Roman"/>
          <w:color w:val="0F1115"/>
          <w:kern w:val="0"/>
          <w14:ligatures w14:val="none"/>
        </w:rPr>
        <w:t>, 16(12), 1343–1355.</w:t>
      </w:r>
    </w:p>
    <w:p w14:paraId="494BBF37"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Benner, P. (1984). </w:t>
      </w:r>
      <w:r w:rsidRPr="00301E47">
        <w:rPr>
          <w:rFonts w:ascii="Times New Roman" w:eastAsia="Times New Roman" w:hAnsi="Times New Roman" w:cs="Times New Roman"/>
          <w:i/>
          <w:iCs/>
          <w:color w:val="0F1115"/>
          <w:kern w:val="0"/>
          <w14:ligatures w14:val="none"/>
        </w:rPr>
        <w:t>From novice to expert: Excellence and power in clinical nursing practice</w:t>
      </w:r>
      <w:r w:rsidRPr="00301E47">
        <w:rPr>
          <w:rFonts w:ascii="Times New Roman" w:eastAsia="Times New Roman" w:hAnsi="Times New Roman" w:cs="Times New Roman"/>
          <w:color w:val="0F1115"/>
          <w:kern w:val="0"/>
          <w14:ligatures w14:val="none"/>
        </w:rPr>
        <w:t>. Addison-Wesley.</w:t>
      </w:r>
    </w:p>
    <w:p w14:paraId="79F37E0A"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Bodenheimer, T., Lorig, K., Holman, H., &amp; Grumbach, K. (2002). Patient self-management of chronic disease in primary care. </w:t>
      </w:r>
      <w:r w:rsidRPr="00301E47">
        <w:rPr>
          <w:rFonts w:ascii="Times New Roman" w:eastAsia="Times New Roman" w:hAnsi="Times New Roman" w:cs="Times New Roman"/>
          <w:i/>
          <w:iCs/>
          <w:color w:val="0F1115"/>
          <w:kern w:val="0"/>
          <w14:ligatures w14:val="none"/>
        </w:rPr>
        <w:t>JAMA</w:t>
      </w:r>
      <w:r w:rsidRPr="00301E47">
        <w:rPr>
          <w:rFonts w:ascii="Times New Roman" w:eastAsia="Times New Roman" w:hAnsi="Times New Roman" w:cs="Times New Roman"/>
          <w:color w:val="0F1115"/>
          <w:kern w:val="0"/>
          <w14:ligatures w14:val="none"/>
        </w:rPr>
        <w:t>, 288(19), 2469–2475.</w:t>
      </w:r>
    </w:p>
    <w:p w14:paraId="0D373667"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Centers for Disease Control and Prevention. (2023). </w:t>
      </w:r>
      <w:r w:rsidRPr="00301E47">
        <w:rPr>
          <w:rFonts w:ascii="Times New Roman" w:eastAsia="Times New Roman" w:hAnsi="Times New Roman" w:cs="Times New Roman"/>
          <w:i/>
          <w:iCs/>
          <w:color w:val="0F1115"/>
          <w:kern w:val="0"/>
          <w14:ligatures w14:val="none"/>
        </w:rPr>
        <w:t>Surgical site infection event</w:t>
      </w:r>
      <w:r w:rsidRPr="00301E47">
        <w:rPr>
          <w:rFonts w:ascii="Times New Roman" w:eastAsia="Times New Roman" w:hAnsi="Times New Roman" w:cs="Times New Roman"/>
          <w:color w:val="0F1115"/>
          <w:kern w:val="0"/>
          <w14:ligatures w14:val="none"/>
        </w:rPr>
        <w:t>. National Healthcare Safety Network. </w:t>
      </w:r>
      <w:hyperlink r:id="rId7" w:tgtFrame="_blank" w:history="1">
        <w:r w:rsidRPr="00301E47">
          <w:rPr>
            <w:rFonts w:ascii="Times New Roman" w:eastAsia="Times New Roman" w:hAnsi="Times New Roman" w:cs="Times New Roman"/>
            <w:color w:val="3964FE"/>
            <w:kern w:val="0"/>
            <w:bdr w:val="single" w:sz="12" w:space="0" w:color="auto" w:frame="1"/>
            <w14:ligatures w14:val="none"/>
          </w:rPr>
          <w:t>https://www.cdc.gov/nhsn/pdfs/pscmanual/9pscssicurrent.pdf</w:t>
        </w:r>
      </w:hyperlink>
    </w:p>
    <w:p w14:paraId="1A2ECF22"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301E47">
        <w:rPr>
          <w:rFonts w:ascii="Times New Roman" w:eastAsia="Times New Roman" w:hAnsi="Times New Roman" w:cs="Times New Roman"/>
          <w:color w:val="0F1115"/>
          <w:kern w:val="0"/>
          <w14:ligatures w14:val="none"/>
        </w:rPr>
        <w:t>Chichom</w:t>
      </w:r>
      <w:proofErr w:type="spellEnd"/>
      <w:r w:rsidRPr="00301E47">
        <w:rPr>
          <w:rFonts w:ascii="Times New Roman" w:eastAsia="Times New Roman" w:hAnsi="Times New Roman" w:cs="Times New Roman"/>
          <w:color w:val="0F1115"/>
          <w:kern w:val="0"/>
          <w14:ligatures w14:val="none"/>
        </w:rPr>
        <w:t xml:space="preserve">-Mefire, A., </w:t>
      </w:r>
      <w:proofErr w:type="spellStart"/>
      <w:r w:rsidRPr="00301E47">
        <w:rPr>
          <w:rFonts w:ascii="Times New Roman" w:eastAsia="Times New Roman" w:hAnsi="Times New Roman" w:cs="Times New Roman"/>
          <w:color w:val="0F1115"/>
          <w:kern w:val="0"/>
          <w14:ligatures w14:val="none"/>
        </w:rPr>
        <w:t>Ngowe</w:t>
      </w:r>
      <w:proofErr w:type="spellEnd"/>
      <w:r w:rsidRPr="00301E47">
        <w:rPr>
          <w:rFonts w:ascii="Times New Roman" w:eastAsia="Times New Roman" w:hAnsi="Times New Roman" w:cs="Times New Roman"/>
          <w:color w:val="0F1115"/>
          <w:kern w:val="0"/>
          <w14:ligatures w14:val="none"/>
        </w:rPr>
        <w:t xml:space="preserve"> </w:t>
      </w:r>
      <w:proofErr w:type="spellStart"/>
      <w:r w:rsidRPr="00301E47">
        <w:rPr>
          <w:rFonts w:ascii="Times New Roman" w:eastAsia="Times New Roman" w:hAnsi="Times New Roman" w:cs="Times New Roman"/>
          <w:color w:val="0F1115"/>
          <w:kern w:val="0"/>
          <w14:ligatures w14:val="none"/>
        </w:rPr>
        <w:t>Ngowe</w:t>
      </w:r>
      <w:proofErr w:type="spellEnd"/>
      <w:r w:rsidRPr="00301E47">
        <w:rPr>
          <w:rFonts w:ascii="Times New Roman" w:eastAsia="Times New Roman" w:hAnsi="Times New Roman" w:cs="Times New Roman"/>
          <w:color w:val="0F1115"/>
          <w:kern w:val="0"/>
          <w14:ligatures w14:val="none"/>
        </w:rPr>
        <w:t xml:space="preserve">, M., &amp; </w:t>
      </w:r>
      <w:proofErr w:type="spellStart"/>
      <w:r w:rsidRPr="00301E47">
        <w:rPr>
          <w:rFonts w:ascii="Times New Roman" w:eastAsia="Times New Roman" w:hAnsi="Times New Roman" w:cs="Times New Roman"/>
          <w:color w:val="0F1115"/>
          <w:kern w:val="0"/>
          <w14:ligatures w14:val="none"/>
        </w:rPr>
        <w:t>Bwelle</w:t>
      </w:r>
      <w:proofErr w:type="spellEnd"/>
      <w:r w:rsidRPr="00301E47">
        <w:rPr>
          <w:rFonts w:ascii="Times New Roman" w:eastAsia="Times New Roman" w:hAnsi="Times New Roman" w:cs="Times New Roman"/>
          <w:color w:val="0F1115"/>
          <w:kern w:val="0"/>
          <w14:ligatures w14:val="none"/>
        </w:rPr>
        <w:t>, G. (2015). Surgical site infections in a sub-Saharan African teaching hospital: A cross-sectional study. </w:t>
      </w:r>
      <w:r w:rsidRPr="00301E47">
        <w:rPr>
          <w:rFonts w:ascii="Times New Roman" w:eastAsia="Times New Roman" w:hAnsi="Times New Roman" w:cs="Times New Roman"/>
          <w:i/>
          <w:iCs/>
          <w:color w:val="0F1115"/>
          <w:kern w:val="0"/>
          <w14:ligatures w14:val="none"/>
        </w:rPr>
        <w:t>Pan African Medical Journal</w:t>
      </w:r>
      <w:r w:rsidRPr="00301E47">
        <w:rPr>
          <w:rFonts w:ascii="Times New Roman" w:eastAsia="Times New Roman" w:hAnsi="Times New Roman" w:cs="Times New Roman"/>
          <w:color w:val="0F1115"/>
          <w:kern w:val="0"/>
          <w14:ligatures w14:val="none"/>
        </w:rPr>
        <w:t>, 20(1), 1–8.</w:t>
      </w:r>
    </w:p>
    <w:p w14:paraId="10CD0A4B"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lastRenderedPageBreak/>
        <w:t xml:space="preserve">Frenk, J., Chen, L., Bhutta, Z. A., Cohen, J., Crisp, N., Evans, T., &amp; </w:t>
      </w:r>
      <w:proofErr w:type="spellStart"/>
      <w:r w:rsidRPr="00301E47">
        <w:rPr>
          <w:rFonts w:ascii="Times New Roman" w:eastAsia="Times New Roman" w:hAnsi="Times New Roman" w:cs="Times New Roman"/>
          <w:color w:val="0F1115"/>
          <w:kern w:val="0"/>
          <w14:ligatures w14:val="none"/>
        </w:rPr>
        <w:t>Zurayk</w:t>
      </w:r>
      <w:proofErr w:type="spellEnd"/>
      <w:r w:rsidRPr="00301E47">
        <w:rPr>
          <w:rFonts w:ascii="Times New Roman" w:eastAsia="Times New Roman" w:hAnsi="Times New Roman" w:cs="Times New Roman"/>
          <w:color w:val="0F1115"/>
          <w:kern w:val="0"/>
          <w14:ligatures w14:val="none"/>
        </w:rPr>
        <w:t>, H. (2010). Health professionals for a new century: Transforming education to strengthen health systems in an interdependent world. </w:t>
      </w:r>
      <w:r w:rsidRPr="00301E47">
        <w:rPr>
          <w:rFonts w:ascii="Times New Roman" w:eastAsia="Times New Roman" w:hAnsi="Times New Roman" w:cs="Times New Roman"/>
          <w:i/>
          <w:iCs/>
          <w:color w:val="0F1115"/>
          <w:kern w:val="0"/>
          <w14:ligatures w14:val="none"/>
        </w:rPr>
        <w:t>The Lancet</w:t>
      </w:r>
      <w:r w:rsidRPr="00301E47">
        <w:rPr>
          <w:rFonts w:ascii="Times New Roman" w:eastAsia="Times New Roman" w:hAnsi="Times New Roman" w:cs="Times New Roman"/>
          <w:color w:val="0F1115"/>
          <w:kern w:val="0"/>
          <w14:ligatures w14:val="none"/>
        </w:rPr>
        <w:t>, 376(9756), 1923–1958.</w:t>
      </w:r>
    </w:p>
    <w:p w14:paraId="2510A8E7"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Global Surgery Collaborative. (2022). Global variation in postoperative complications and mortality. </w:t>
      </w:r>
      <w:r w:rsidRPr="00301E47">
        <w:rPr>
          <w:rFonts w:ascii="Times New Roman" w:eastAsia="Times New Roman" w:hAnsi="Times New Roman" w:cs="Times New Roman"/>
          <w:i/>
          <w:iCs/>
          <w:color w:val="0F1115"/>
          <w:kern w:val="0"/>
          <w14:ligatures w14:val="none"/>
        </w:rPr>
        <w:t>British Journal of Surgery</w:t>
      </w:r>
      <w:r w:rsidRPr="00301E47">
        <w:rPr>
          <w:rFonts w:ascii="Times New Roman" w:eastAsia="Times New Roman" w:hAnsi="Times New Roman" w:cs="Times New Roman"/>
          <w:color w:val="0F1115"/>
          <w:kern w:val="0"/>
          <w14:ligatures w14:val="none"/>
        </w:rPr>
        <w:t>, 109(3), 234–245.</w:t>
      </w:r>
    </w:p>
    <w:p w14:paraId="0B2C6E9A"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Kumar, S., &amp; Singh, R. (2019). Postoperative complications: A comprehensive review. </w:t>
      </w:r>
      <w:r w:rsidRPr="00301E47">
        <w:rPr>
          <w:rFonts w:ascii="Times New Roman" w:eastAsia="Times New Roman" w:hAnsi="Times New Roman" w:cs="Times New Roman"/>
          <w:i/>
          <w:iCs/>
          <w:color w:val="0F1115"/>
          <w:kern w:val="0"/>
          <w14:ligatures w14:val="none"/>
        </w:rPr>
        <w:t>Journal of Clinical Medicine Research</w:t>
      </w:r>
      <w:r w:rsidRPr="00301E47">
        <w:rPr>
          <w:rFonts w:ascii="Times New Roman" w:eastAsia="Times New Roman" w:hAnsi="Times New Roman" w:cs="Times New Roman"/>
          <w:color w:val="0F1115"/>
          <w:kern w:val="0"/>
          <w14:ligatures w14:val="none"/>
        </w:rPr>
        <w:t>, 11(4), 245–256.</w:t>
      </w:r>
    </w:p>
    <w:p w14:paraId="429BC4C4"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 xml:space="preserve">Mukendi, K., &amp; Kabila, J. (2021). Challenges of surgical care in the Democratic Republic of </w:t>
      </w:r>
      <w:proofErr w:type="gramStart"/>
      <w:r w:rsidRPr="00301E47">
        <w:rPr>
          <w:rFonts w:ascii="Times New Roman" w:eastAsia="Times New Roman" w:hAnsi="Times New Roman" w:cs="Times New Roman"/>
          <w:color w:val="0F1115"/>
          <w:kern w:val="0"/>
          <w14:ligatures w14:val="none"/>
        </w:rPr>
        <w:t>the Congo</w:t>
      </w:r>
      <w:proofErr w:type="gramEnd"/>
      <w:r w:rsidRPr="00301E47">
        <w:rPr>
          <w:rFonts w:ascii="Times New Roman" w:eastAsia="Times New Roman" w:hAnsi="Times New Roman" w:cs="Times New Roman"/>
          <w:color w:val="0F1115"/>
          <w:kern w:val="0"/>
          <w14:ligatures w14:val="none"/>
        </w:rPr>
        <w:t>. </w:t>
      </w:r>
      <w:r w:rsidRPr="00301E47">
        <w:rPr>
          <w:rFonts w:ascii="Times New Roman" w:eastAsia="Times New Roman" w:hAnsi="Times New Roman" w:cs="Times New Roman"/>
          <w:i/>
          <w:iCs/>
          <w:color w:val="0F1115"/>
          <w:kern w:val="0"/>
          <w14:ligatures w14:val="none"/>
        </w:rPr>
        <w:t>Congolese Journal of Surgery</w:t>
      </w:r>
      <w:r w:rsidRPr="00301E47">
        <w:rPr>
          <w:rFonts w:ascii="Times New Roman" w:eastAsia="Times New Roman" w:hAnsi="Times New Roman" w:cs="Times New Roman"/>
          <w:color w:val="0F1115"/>
          <w:kern w:val="0"/>
          <w14:ligatures w14:val="none"/>
        </w:rPr>
        <w:t>, 7(2), 45–52.</w:t>
      </w:r>
    </w:p>
    <w:p w14:paraId="6CD85D3B"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Nguyen, T., &amp; Adeyemi, O. (2018). Surgical complications in low-resource settings: A systematic review. </w:t>
      </w:r>
      <w:r w:rsidRPr="00301E47">
        <w:rPr>
          <w:rFonts w:ascii="Times New Roman" w:eastAsia="Times New Roman" w:hAnsi="Times New Roman" w:cs="Times New Roman"/>
          <w:i/>
          <w:iCs/>
          <w:color w:val="0F1115"/>
          <w:kern w:val="0"/>
          <w14:ligatures w14:val="none"/>
        </w:rPr>
        <w:t>World Journal of Surgery</w:t>
      </w:r>
      <w:r w:rsidRPr="00301E47">
        <w:rPr>
          <w:rFonts w:ascii="Times New Roman" w:eastAsia="Times New Roman" w:hAnsi="Times New Roman" w:cs="Times New Roman"/>
          <w:color w:val="0F1115"/>
          <w:kern w:val="0"/>
          <w14:ligatures w14:val="none"/>
        </w:rPr>
        <w:t>, 42(8), 2345–2353.</w:t>
      </w:r>
    </w:p>
    <w:p w14:paraId="437D8BF5"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Polit, D. F., &amp; Beck, C. T. (2017). </w:t>
      </w:r>
      <w:r w:rsidRPr="00301E47">
        <w:rPr>
          <w:rFonts w:ascii="Times New Roman" w:eastAsia="Times New Roman" w:hAnsi="Times New Roman" w:cs="Times New Roman"/>
          <w:i/>
          <w:iCs/>
          <w:color w:val="0F1115"/>
          <w:kern w:val="0"/>
          <w14:ligatures w14:val="none"/>
        </w:rPr>
        <w:t>Nursing research: Generating and assessing evidence for nursing practice</w:t>
      </w:r>
      <w:r w:rsidRPr="00301E47">
        <w:rPr>
          <w:rFonts w:ascii="Times New Roman" w:eastAsia="Times New Roman" w:hAnsi="Times New Roman" w:cs="Times New Roman"/>
          <w:color w:val="0F1115"/>
          <w:kern w:val="0"/>
          <w14:ligatures w14:val="none"/>
        </w:rPr>
        <w:t> (10th ed.). Wolters Kluwer.</w:t>
      </w:r>
    </w:p>
    <w:p w14:paraId="426F02A8"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World Health Organization. (2009). </w:t>
      </w:r>
      <w:r w:rsidRPr="00301E47">
        <w:rPr>
          <w:rFonts w:ascii="Times New Roman" w:eastAsia="Times New Roman" w:hAnsi="Times New Roman" w:cs="Times New Roman"/>
          <w:i/>
          <w:iCs/>
          <w:color w:val="0F1115"/>
          <w:kern w:val="0"/>
          <w14:ligatures w14:val="none"/>
        </w:rPr>
        <w:t>WHO guidelines on hand hygiene in health care</w:t>
      </w:r>
      <w:r w:rsidRPr="00301E47">
        <w:rPr>
          <w:rFonts w:ascii="Times New Roman" w:eastAsia="Times New Roman" w:hAnsi="Times New Roman" w:cs="Times New Roman"/>
          <w:color w:val="0F1115"/>
          <w:kern w:val="0"/>
          <w14:ligatures w14:val="none"/>
        </w:rPr>
        <w:t>. WHO Press.</w:t>
      </w:r>
    </w:p>
    <w:p w14:paraId="37C5B9E7"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World Health Organization. (2016). </w:t>
      </w:r>
      <w:r w:rsidRPr="00301E47">
        <w:rPr>
          <w:rFonts w:ascii="Times New Roman" w:eastAsia="Times New Roman" w:hAnsi="Times New Roman" w:cs="Times New Roman"/>
          <w:i/>
          <w:iCs/>
          <w:color w:val="0F1115"/>
          <w:kern w:val="0"/>
          <w14:ligatures w14:val="none"/>
        </w:rPr>
        <w:t>Global guidelines for the prevention of surgical site infection</w:t>
      </w:r>
      <w:r w:rsidRPr="00301E47">
        <w:rPr>
          <w:rFonts w:ascii="Times New Roman" w:eastAsia="Times New Roman" w:hAnsi="Times New Roman" w:cs="Times New Roman"/>
          <w:color w:val="0F1115"/>
          <w:kern w:val="0"/>
          <w14:ligatures w14:val="none"/>
        </w:rPr>
        <w:t>. WHO Press.</w:t>
      </w:r>
    </w:p>
    <w:p w14:paraId="3779A8B6"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color w:val="0F1115"/>
          <w:kern w:val="0"/>
          <w14:ligatures w14:val="none"/>
        </w:rPr>
        <w:t>World Health Organization. (2021). </w:t>
      </w:r>
      <w:r w:rsidRPr="00301E47">
        <w:rPr>
          <w:rFonts w:ascii="Times New Roman" w:eastAsia="Times New Roman" w:hAnsi="Times New Roman" w:cs="Times New Roman"/>
          <w:i/>
          <w:iCs/>
          <w:color w:val="0F1115"/>
          <w:kern w:val="0"/>
          <w14:ligatures w14:val="none"/>
        </w:rPr>
        <w:t>State of the world's nursing 2020: Investing in education, jobs and leadership</w:t>
      </w:r>
      <w:r w:rsidRPr="00301E47">
        <w:rPr>
          <w:rFonts w:ascii="Times New Roman" w:eastAsia="Times New Roman" w:hAnsi="Times New Roman" w:cs="Times New Roman"/>
          <w:color w:val="0F1115"/>
          <w:kern w:val="0"/>
          <w14:ligatures w14:val="none"/>
        </w:rPr>
        <w:t>. WHO Press.</w:t>
      </w:r>
    </w:p>
    <w:p w14:paraId="24CC151A"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Corresponding Author:</w:t>
      </w:r>
      <w:r w:rsidRPr="00301E47">
        <w:rPr>
          <w:rFonts w:ascii="Times New Roman" w:eastAsia="Times New Roman" w:hAnsi="Times New Roman" w:cs="Times New Roman"/>
          <w:color w:val="0F1115"/>
          <w:kern w:val="0"/>
          <w14:ligatures w14:val="none"/>
        </w:rPr>
        <w:br/>
      </w:r>
      <w:proofErr w:type="spellStart"/>
      <w:r w:rsidRPr="00301E47">
        <w:rPr>
          <w:rFonts w:ascii="Times New Roman" w:eastAsia="Times New Roman" w:hAnsi="Times New Roman" w:cs="Times New Roman"/>
          <w:color w:val="0F1115"/>
          <w:kern w:val="0"/>
          <w14:ligatures w14:val="none"/>
        </w:rPr>
        <w:t>Liongo</w:t>
      </w:r>
      <w:proofErr w:type="spellEnd"/>
      <w:r w:rsidRPr="00301E47">
        <w:rPr>
          <w:rFonts w:ascii="Times New Roman" w:eastAsia="Times New Roman" w:hAnsi="Times New Roman" w:cs="Times New Roman"/>
          <w:color w:val="0F1115"/>
          <w:kern w:val="0"/>
          <w14:ligatures w14:val="none"/>
        </w:rPr>
        <w:t xml:space="preserve"> Lokwa </w:t>
      </w:r>
      <w:proofErr w:type="spellStart"/>
      <w:r w:rsidRPr="00301E47">
        <w:rPr>
          <w:rFonts w:ascii="Times New Roman" w:eastAsia="Times New Roman" w:hAnsi="Times New Roman" w:cs="Times New Roman"/>
          <w:color w:val="0F1115"/>
          <w:kern w:val="0"/>
          <w14:ligatures w14:val="none"/>
        </w:rPr>
        <w:t>Riddy</w:t>
      </w:r>
      <w:proofErr w:type="spellEnd"/>
      <w:r w:rsidRPr="00301E47">
        <w:rPr>
          <w:rFonts w:ascii="Times New Roman" w:eastAsia="Times New Roman" w:hAnsi="Times New Roman" w:cs="Times New Roman"/>
          <w:color w:val="0F1115"/>
          <w:kern w:val="0"/>
          <w14:ligatures w14:val="none"/>
        </w:rPr>
        <w:br/>
      </w:r>
      <w:proofErr w:type="spellStart"/>
      <w:r w:rsidRPr="00301E47">
        <w:rPr>
          <w:rFonts w:ascii="Times New Roman" w:eastAsia="Times New Roman" w:hAnsi="Times New Roman" w:cs="Times New Roman"/>
          <w:color w:val="0F1115"/>
          <w:kern w:val="0"/>
          <w14:ligatures w14:val="none"/>
        </w:rPr>
        <w:t>Institut</w:t>
      </w:r>
      <w:proofErr w:type="spellEnd"/>
      <w:r w:rsidRPr="00301E47">
        <w:rPr>
          <w:rFonts w:ascii="Times New Roman" w:eastAsia="Times New Roman" w:hAnsi="Times New Roman" w:cs="Times New Roman"/>
          <w:color w:val="0F1115"/>
          <w:kern w:val="0"/>
          <w14:ligatures w14:val="none"/>
        </w:rPr>
        <w:t xml:space="preserve"> Supérieur des Techniques </w:t>
      </w:r>
      <w:proofErr w:type="spellStart"/>
      <w:r w:rsidRPr="00301E47">
        <w:rPr>
          <w:rFonts w:ascii="Times New Roman" w:eastAsia="Times New Roman" w:hAnsi="Times New Roman" w:cs="Times New Roman"/>
          <w:color w:val="0F1115"/>
          <w:kern w:val="0"/>
          <w14:ligatures w14:val="none"/>
        </w:rPr>
        <w:t>Médicales</w:t>
      </w:r>
      <w:proofErr w:type="spellEnd"/>
      <w:r w:rsidRPr="00301E47">
        <w:rPr>
          <w:rFonts w:ascii="Times New Roman" w:eastAsia="Times New Roman" w:hAnsi="Times New Roman" w:cs="Times New Roman"/>
          <w:color w:val="0F1115"/>
          <w:kern w:val="0"/>
          <w14:ligatures w14:val="none"/>
        </w:rPr>
        <w:t xml:space="preserve"> (ISTM)</w:t>
      </w:r>
      <w:r w:rsidRPr="00301E47">
        <w:rPr>
          <w:rFonts w:ascii="Times New Roman" w:eastAsia="Times New Roman" w:hAnsi="Times New Roman" w:cs="Times New Roman"/>
          <w:color w:val="0F1115"/>
          <w:kern w:val="0"/>
          <w14:ligatures w14:val="none"/>
        </w:rPr>
        <w:br/>
      </w:r>
      <w:proofErr w:type="spellStart"/>
      <w:r w:rsidRPr="00301E47">
        <w:rPr>
          <w:rFonts w:ascii="Times New Roman" w:eastAsia="Times New Roman" w:hAnsi="Times New Roman" w:cs="Times New Roman"/>
          <w:color w:val="0F1115"/>
          <w:kern w:val="0"/>
          <w14:ligatures w14:val="none"/>
        </w:rPr>
        <w:t>Mbandaka</w:t>
      </w:r>
      <w:proofErr w:type="spellEnd"/>
      <w:r w:rsidRPr="00301E47">
        <w:rPr>
          <w:rFonts w:ascii="Times New Roman" w:eastAsia="Times New Roman" w:hAnsi="Times New Roman" w:cs="Times New Roman"/>
          <w:color w:val="0F1115"/>
          <w:kern w:val="0"/>
          <w14:ligatures w14:val="none"/>
        </w:rPr>
        <w:t>, Democratic Republic of the Congo</w:t>
      </w:r>
      <w:r w:rsidRPr="00301E47">
        <w:rPr>
          <w:rFonts w:ascii="Times New Roman" w:eastAsia="Times New Roman" w:hAnsi="Times New Roman" w:cs="Times New Roman"/>
          <w:color w:val="0F1115"/>
          <w:kern w:val="0"/>
          <w14:ligatures w14:val="none"/>
        </w:rPr>
        <w:br/>
        <w:t>Email: istm_mbka@gmail.com</w:t>
      </w:r>
    </w:p>
    <w:p w14:paraId="227EF928"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t>Conflict of Interest Statement:</w:t>
      </w:r>
      <w:r w:rsidRPr="00301E47">
        <w:rPr>
          <w:rFonts w:ascii="Times New Roman" w:eastAsia="Times New Roman" w:hAnsi="Times New Roman" w:cs="Times New Roman"/>
          <w:color w:val="0F1115"/>
          <w:kern w:val="0"/>
          <w14:ligatures w14:val="none"/>
        </w:rPr>
        <w:t> The author declares no conflict of interest.</w:t>
      </w:r>
    </w:p>
    <w:p w14:paraId="7C293FA8" w14:textId="77777777" w:rsidR="008A3742" w:rsidRPr="00301E47" w:rsidRDefault="008A3742" w:rsidP="008A3742">
      <w:pPr>
        <w:shd w:val="clear" w:color="auto" w:fill="FFFFFF"/>
        <w:spacing w:before="240" w:after="240" w:line="420" w:lineRule="atLeast"/>
        <w:rPr>
          <w:rFonts w:ascii="Times New Roman" w:eastAsia="Times New Roman" w:hAnsi="Times New Roman" w:cs="Times New Roman"/>
          <w:color w:val="0F1115"/>
          <w:kern w:val="0"/>
          <w14:ligatures w14:val="none"/>
        </w:rPr>
      </w:pPr>
      <w:r w:rsidRPr="00301E47">
        <w:rPr>
          <w:rFonts w:ascii="Times New Roman" w:eastAsia="Times New Roman" w:hAnsi="Times New Roman" w:cs="Times New Roman"/>
          <w:b/>
          <w:bCs/>
          <w:color w:val="0F1115"/>
          <w:kern w:val="0"/>
          <w14:ligatures w14:val="none"/>
        </w:rPr>
        <w:lastRenderedPageBreak/>
        <w:t>Acknowledgments:</w:t>
      </w:r>
      <w:r w:rsidRPr="00301E47">
        <w:rPr>
          <w:rFonts w:ascii="Times New Roman" w:eastAsia="Times New Roman" w:hAnsi="Times New Roman" w:cs="Times New Roman"/>
          <w:color w:val="0F1115"/>
          <w:kern w:val="0"/>
          <w14:ligatures w14:val="none"/>
        </w:rPr>
        <w:t xml:space="preserve"> The author thanks Professor Mukaya Tshibola Jean for supervision, CT </w:t>
      </w:r>
      <w:proofErr w:type="spellStart"/>
      <w:r w:rsidRPr="00301E47">
        <w:rPr>
          <w:rFonts w:ascii="Times New Roman" w:eastAsia="Times New Roman" w:hAnsi="Times New Roman" w:cs="Times New Roman"/>
          <w:color w:val="0F1115"/>
          <w:kern w:val="0"/>
          <w14:ligatures w14:val="none"/>
        </w:rPr>
        <w:t>Doctorante</w:t>
      </w:r>
      <w:proofErr w:type="spellEnd"/>
      <w:r w:rsidRPr="00301E47">
        <w:rPr>
          <w:rFonts w:ascii="Times New Roman" w:eastAsia="Times New Roman" w:hAnsi="Times New Roman" w:cs="Times New Roman"/>
          <w:color w:val="0F1115"/>
          <w:kern w:val="0"/>
          <w14:ligatures w14:val="none"/>
        </w:rPr>
        <w:t xml:space="preserve"> </w:t>
      </w:r>
      <w:proofErr w:type="spellStart"/>
      <w:r w:rsidRPr="00301E47">
        <w:rPr>
          <w:rFonts w:ascii="Times New Roman" w:eastAsia="Times New Roman" w:hAnsi="Times New Roman" w:cs="Times New Roman"/>
          <w:color w:val="0F1115"/>
          <w:kern w:val="0"/>
          <w14:ligatures w14:val="none"/>
        </w:rPr>
        <w:t>Sebuana</w:t>
      </w:r>
      <w:proofErr w:type="spellEnd"/>
      <w:r w:rsidRPr="00301E47">
        <w:rPr>
          <w:rFonts w:ascii="Times New Roman" w:eastAsia="Times New Roman" w:hAnsi="Times New Roman" w:cs="Times New Roman"/>
          <w:color w:val="0F1115"/>
          <w:kern w:val="0"/>
          <w14:ligatures w14:val="none"/>
        </w:rPr>
        <w:t xml:space="preserve"> Christine for co-direction, and all nursing staff at HGR </w:t>
      </w:r>
      <w:proofErr w:type="spellStart"/>
      <w:r w:rsidRPr="00301E47">
        <w:rPr>
          <w:rFonts w:ascii="Times New Roman" w:eastAsia="Times New Roman" w:hAnsi="Times New Roman" w:cs="Times New Roman"/>
          <w:color w:val="0F1115"/>
          <w:kern w:val="0"/>
          <w14:ligatures w14:val="none"/>
        </w:rPr>
        <w:t>Wangata</w:t>
      </w:r>
      <w:proofErr w:type="spellEnd"/>
      <w:r w:rsidRPr="00301E47">
        <w:rPr>
          <w:rFonts w:ascii="Times New Roman" w:eastAsia="Times New Roman" w:hAnsi="Times New Roman" w:cs="Times New Roman"/>
          <w:color w:val="0F1115"/>
          <w:kern w:val="0"/>
          <w14:ligatures w14:val="none"/>
        </w:rPr>
        <w:t xml:space="preserve"> who participated in this study.</w:t>
      </w:r>
    </w:p>
    <w:p w14:paraId="10ECBD8D" w14:textId="77777777" w:rsidR="008A3742" w:rsidRPr="00301E47" w:rsidRDefault="008A3742" w:rsidP="008A3742">
      <w:pPr>
        <w:spacing w:after="0" w:line="240" w:lineRule="auto"/>
        <w:rPr>
          <w:rFonts w:ascii="Times New Roman" w:eastAsia="Times New Roman" w:hAnsi="Times New Roman" w:cs="Times New Roman"/>
          <w:kern w:val="0"/>
          <w14:ligatures w14:val="none"/>
        </w:rPr>
      </w:pPr>
    </w:p>
    <w:p w14:paraId="4E16FB03" w14:textId="77777777" w:rsidR="00B41904" w:rsidRPr="00301E47" w:rsidRDefault="00B41904">
      <w:pPr>
        <w:rPr>
          <w:rFonts w:ascii="Times New Roman" w:hAnsi="Times New Roman" w:cs="Times New Roman"/>
        </w:rPr>
      </w:pPr>
    </w:p>
    <w:sectPr w:rsidR="00B41904" w:rsidRPr="00301E4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29E32" w14:textId="77777777" w:rsidR="000224AA" w:rsidRDefault="000224AA" w:rsidP="00301E47">
      <w:pPr>
        <w:spacing w:after="0" w:line="240" w:lineRule="auto"/>
      </w:pPr>
      <w:r>
        <w:separator/>
      </w:r>
    </w:p>
  </w:endnote>
  <w:endnote w:type="continuationSeparator" w:id="0">
    <w:p w14:paraId="2EB0F3BF" w14:textId="77777777" w:rsidR="000224AA" w:rsidRDefault="000224AA" w:rsidP="00301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91443098"/>
      <w:docPartObj>
        <w:docPartGallery w:val="Page Numbers (Bottom of Page)"/>
        <w:docPartUnique/>
      </w:docPartObj>
    </w:sdtPr>
    <w:sdtContent>
      <w:p w14:paraId="3A00A854" w14:textId="19980051" w:rsidR="00301E47" w:rsidRDefault="00301E47" w:rsidP="009F73F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097600" w14:textId="77777777" w:rsidR="00301E47" w:rsidRDefault="00301E47" w:rsidP="00301E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252670"/>
      <w:docPartObj>
        <w:docPartGallery w:val="Page Numbers (Bottom of Page)"/>
        <w:docPartUnique/>
      </w:docPartObj>
    </w:sdtPr>
    <w:sdtContent>
      <w:p w14:paraId="7D90A7D4" w14:textId="3DD0D852" w:rsidR="00301E47" w:rsidRDefault="00301E47" w:rsidP="009F73F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C2F4C58" w14:textId="77777777" w:rsidR="00301E47" w:rsidRDefault="00301E47" w:rsidP="00301E4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4B780" w14:textId="77777777" w:rsidR="000224AA" w:rsidRDefault="000224AA" w:rsidP="00301E47">
      <w:pPr>
        <w:spacing w:after="0" w:line="240" w:lineRule="auto"/>
      </w:pPr>
      <w:r>
        <w:separator/>
      </w:r>
    </w:p>
  </w:footnote>
  <w:footnote w:type="continuationSeparator" w:id="0">
    <w:p w14:paraId="5C52205F" w14:textId="77777777" w:rsidR="000224AA" w:rsidRDefault="000224AA" w:rsidP="00301E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96733"/>
    <w:multiLevelType w:val="multilevel"/>
    <w:tmpl w:val="C16E2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1B4887"/>
    <w:multiLevelType w:val="multilevel"/>
    <w:tmpl w:val="6A582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863E1F"/>
    <w:multiLevelType w:val="multilevel"/>
    <w:tmpl w:val="B42EE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76679E"/>
    <w:multiLevelType w:val="multilevel"/>
    <w:tmpl w:val="C4104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886FBE"/>
    <w:multiLevelType w:val="multilevel"/>
    <w:tmpl w:val="3446E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177970"/>
    <w:multiLevelType w:val="multilevel"/>
    <w:tmpl w:val="05061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2E3E75"/>
    <w:multiLevelType w:val="multilevel"/>
    <w:tmpl w:val="A2229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5858352">
    <w:abstractNumId w:val="0"/>
  </w:num>
  <w:num w:numId="2" w16cid:durableId="2078429321">
    <w:abstractNumId w:val="5"/>
  </w:num>
  <w:num w:numId="3" w16cid:durableId="981884835">
    <w:abstractNumId w:val="3"/>
  </w:num>
  <w:num w:numId="4" w16cid:durableId="1712997113">
    <w:abstractNumId w:val="2"/>
  </w:num>
  <w:num w:numId="5" w16cid:durableId="30880711">
    <w:abstractNumId w:val="6"/>
  </w:num>
  <w:num w:numId="6" w16cid:durableId="379328639">
    <w:abstractNumId w:val="1"/>
  </w:num>
  <w:num w:numId="7" w16cid:durableId="15633229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742"/>
    <w:rsid w:val="000224AA"/>
    <w:rsid w:val="002C4B73"/>
    <w:rsid w:val="00301E47"/>
    <w:rsid w:val="0033223C"/>
    <w:rsid w:val="003F70DD"/>
    <w:rsid w:val="00435DEF"/>
    <w:rsid w:val="005F1E17"/>
    <w:rsid w:val="008A3742"/>
    <w:rsid w:val="008F6EA0"/>
    <w:rsid w:val="00AC0C13"/>
    <w:rsid w:val="00B41904"/>
    <w:rsid w:val="00B501F4"/>
    <w:rsid w:val="00D17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4EAB2"/>
  <w15:chartTrackingRefBased/>
  <w15:docId w15:val="{A45F867B-51A7-A44D-98E2-8175AD369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37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37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A37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37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37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37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37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37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37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7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37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A37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37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37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37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37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37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3742"/>
    <w:rPr>
      <w:rFonts w:eastAsiaTheme="majorEastAsia" w:cstheme="majorBidi"/>
      <w:color w:val="272727" w:themeColor="text1" w:themeTint="D8"/>
    </w:rPr>
  </w:style>
  <w:style w:type="paragraph" w:styleId="Title">
    <w:name w:val="Title"/>
    <w:basedOn w:val="Normal"/>
    <w:next w:val="Normal"/>
    <w:link w:val="TitleChar"/>
    <w:uiPriority w:val="10"/>
    <w:qFormat/>
    <w:rsid w:val="008A37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7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7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7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742"/>
    <w:pPr>
      <w:spacing w:before="160"/>
      <w:jc w:val="center"/>
    </w:pPr>
    <w:rPr>
      <w:i/>
      <w:iCs/>
      <w:color w:val="404040" w:themeColor="text1" w:themeTint="BF"/>
    </w:rPr>
  </w:style>
  <w:style w:type="character" w:customStyle="1" w:styleId="QuoteChar">
    <w:name w:val="Quote Char"/>
    <w:basedOn w:val="DefaultParagraphFont"/>
    <w:link w:val="Quote"/>
    <w:uiPriority w:val="29"/>
    <w:rsid w:val="008A3742"/>
    <w:rPr>
      <w:i/>
      <w:iCs/>
      <w:color w:val="404040" w:themeColor="text1" w:themeTint="BF"/>
    </w:rPr>
  </w:style>
  <w:style w:type="paragraph" w:styleId="ListParagraph">
    <w:name w:val="List Paragraph"/>
    <w:basedOn w:val="Normal"/>
    <w:uiPriority w:val="34"/>
    <w:qFormat/>
    <w:rsid w:val="008A3742"/>
    <w:pPr>
      <w:ind w:left="720"/>
      <w:contextualSpacing/>
    </w:pPr>
  </w:style>
  <w:style w:type="character" w:styleId="IntenseEmphasis">
    <w:name w:val="Intense Emphasis"/>
    <w:basedOn w:val="DefaultParagraphFont"/>
    <w:uiPriority w:val="21"/>
    <w:qFormat/>
    <w:rsid w:val="008A3742"/>
    <w:rPr>
      <w:i/>
      <w:iCs/>
      <w:color w:val="0F4761" w:themeColor="accent1" w:themeShade="BF"/>
    </w:rPr>
  </w:style>
  <w:style w:type="paragraph" w:styleId="IntenseQuote">
    <w:name w:val="Intense Quote"/>
    <w:basedOn w:val="Normal"/>
    <w:next w:val="Normal"/>
    <w:link w:val="IntenseQuoteChar"/>
    <w:uiPriority w:val="30"/>
    <w:qFormat/>
    <w:rsid w:val="008A37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3742"/>
    <w:rPr>
      <w:i/>
      <w:iCs/>
      <w:color w:val="0F4761" w:themeColor="accent1" w:themeShade="BF"/>
    </w:rPr>
  </w:style>
  <w:style w:type="character" w:styleId="IntenseReference">
    <w:name w:val="Intense Reference"/>
    <w:basedOn w:val="DefaultParagraphFont"/>
    <w:uiPriority w:val="32"/>
    <w:qFormat/>
    <w:rsid w:val="008A3742"/>
    <w:rPr>
      <w:b/>
      <w:bCs/>
      <w:smallCaps/>
      <w:color w:val="0F4761" w:themeColor="accent1" w:themeShade="BF"/>
      <w:spacing w:val="5"/>
    </w:rPr>
  </w:style>
  <w:style w:type="paragraph" w:customStyle="1" w:styleId="ds-markdown-paragraph">
    <w:name w:val="ds-markdown-paragraph"/>
    <w:basedOn w:val="Normal"/>
    <w:rsid w:val="008A374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A3742"/>
    <w:rPr>
      <w:b/>
      <w:bCs/>
    </w:rPr>
  </w:style>
  <w:style w:type="character" w:styleId="Emphasis">
    <w:name w:val="Emphasis"/>
    <w:basedOn w:val="DefaultParagraphFont"/>
    <w:uiPriority w:val="20"/>
    <w:qFormat/>
    <w:rsid w:val="008A3742"/>
    <w:rPr>
      <w:i/>
      <w:iCs/>
    </w:rPr>
  </w:style>
  <w:style w:type="character" w:styleId="Hyperlink">
    <w:name w:val="Hyperlink"/>
    <w:basedOn w:val="DefaultParagraphFont"/>
    <w:uiPriority w:val="99"/>
    <w:semiHidden/>
    <w:unhideWhenUsed/>
    <w:rsid w:val="008A3742"/>
    <w:rPr>
      <w:color w:val="0000FF"/>
      <w:u w:val="single"/>
    </w:rPr>
  </w:style>
  <w:style w:type="paragraph" w:styleId="Footer">
    <w:name w:val="footer"/>
    <w:basedOn w:val="Normal"/>
    <w:link w:val="FooterChar"/>
    <w:uiPriority w:val="99"/>
    <w:unhideWhenUsed/>
    <w:rsid w:val="00301E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E47"/>
  </w:style>
  <w:style w:type="character" w:styleId="PageNumber">
    <w:name w:val="page number"/>
    <w:basedOn w:val="DefaultParagraphFont"/>
    <w:uiPriority w:val="99"/>
    <w:semiHidden/>
    <w:unhideWhenUsed/>
    <w:rsid w:val="00301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dc.gov/nhsn/pdfs/pscmanual/9pscssicurren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19</Pages>
  <Words>3782</Words>
  <Characters>21564</Characters>
  <Application>Microsoft Office Word</Application>
  <DocSecurity>0</DocSecurity>
  <Lines>179</Lines>
  <Paragraphs>50</Paragraphs>
  <ScaleCrop>false</ScaleCrop>
  <Company/>
  <LinksUpToDate>false</LinksUpToDate>
  <CharactersWithSpaces>25296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3</cp:revision>
  <dcterms:created xsi:type="dcterms:W3CDTF">2026-05-21T13:23:00Z</dcterms:created>
  <dcterms:modified xsi:type="dcterms:W3CDTF">2026-05-21T14:47:00Z</dcterms:modified>
</cp:coreProperties>
</file>