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EB90F" w14:textId="77777777" w:rsidR="003D796F" w:rsidRPr="003D796F" w:rsidRDefault="003D796F" w:rsidP="003D796F">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3D796F">
        <w:rPr>
          <w:rFonts w:ascii="Times New Roman" w:eastAsia="Times New Roman" w:hAnsi="Times New Roman" w:cs="Times New Roman"/>
          <w:b/>
          <w:bCs/>
          <w:color w:val="0F1115"/>
          <w:kern w:val="36"/>
          <w:sz w:val="36"/>
          <w:szCs w:val="36"/>
          <w14:ligatures w14:val="none"/>
        </w:rPr>
        <w:t xml:space="preserve">Impact of an Integrated Approach Between Modern and Traditional Medicine on Fracture Management Outcomes in </w:t>
      </w:r>
      <w:proofErr w:type="spellStart"/>
      <w:r w:rsidRPr="003D796F">
        <w:rPr>
          <w:rFonts w:ascii="Times New Roman" w:eastAsia="Times New Roman" w:hAnsi="Times New Roman" w:cs="Times New Roman"/>
          <w:b/>
          <w:bCs/>
          <w:color w:val="0F1115"/>
          <w:kern w:val="36"/>
          <w:sz w:val="36"/>
          <w:szCs w:val="36"/>
          <w14:ligatures w14:val="none"/>
        </w:rPr>
        <w:t>Mbandaka</w:t>
      </w:r>
      <w:proofErr w:type="spellEnd"/>
      <w:r w:rsidRPr="003D796F">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3D796F">
        <w:rPr>
          <w:rFonts w:ascii="Times New Roman" w:eastAsia="Times New Roman" w:hAnsi="Times New Roman" w:cs="Times New Roman"/>
          <w:b/>
          <w:bCs/>
          <w:color w:val="0F1115"/>
          <w:kern w:val="36"/>
          <w:sz w:val="36"/>
          <w:szCs w:val="36"/>
          <w14:ligatures w14:val="none"/>
        </w:rPr>
        <w:t>the Congo</w:t>
      </w:r>
      <w:proofErr w:type="gramEnd"/>
      <w:r w:rsidRPr="003D796F">
        <w:rPr>
          <w:rFonts w:ascii="Times New Roman" w:eastAsia="Times New Roman" w:hAnsi="Times New Roman" w:cs="Times New Roman"/>
          <w:b/>
          <w:bCs/>
          <w:color w:val="0F1115"/>
          <w:kern w:val="36"/>
          <w:sz w:val="36"/>
          <w:szCs w:val="36"/>
          <w14:ligatures w14:val="none"/>
        </w:rPr>
        <w:t>: A Mixed-Methods Study</w:t>
      </w:r>
    </w:p>
    <w:p w14:paraId="0D9E5629"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Author:</w:t>
      </w:r>
      <w:r w:rsidRPr="003D796F">
        <w:rPr>
          <w:rFonts w:ascii="Times New Roman" w:eastAsia="Times New Roman" w:hAnsi="Times New Roman" w:cs="Times New Roman"/>
          <w:color w:val="0F1115"/>
          <w:kern w:val="0"/>
          <w14:ligatures w14:val="none"/>
        </w:rPr>
        <w:t> Augustin Mboyo Bongoy</w:t>
      </w:r>
      <w:r w:rsidRPr="003D796F">
        <w:rPr>
          <w:rFonts w:ascii="Times New Roman" w:eastAsia="Times New Roman" w:hAnsi="Times New Roman" w:cs="Times New Roman"/>
          <w:color w:val="0F1115"/>
          <w:kern w:val="0"/>
          <w14:ligatures w14:val="none"/>
        </w:rPr>
        <w:br/>
      </w:r>
      <w:r w:rsidRPr="003D796F">
        <w:rPr>
          <w:rFonts w:ascii="Times New Roman" w:eastAsia="Times New Roman" w:hAnsi="Times New Roman" w:cs="Times New Roman"/>
          <w:b/>
          <w:bCs/>
          <w:color w:val="0F1115"/>
          <w:kern w:val="0"/>
          <w14:ligatures w14:val="none"/>
        </w:rPr>
        <w:t>Affiliation:</w:t>
      </w:r>
      <w:r w:rsidRPr="003D796F">
        <w:rPr>
          <w:rFonts w:ascii="Times New Roman" w:eastAsia="Times New Roman" w:hAnsi="Times New Roman" w:cs="Times New Roman"/>
          <w:color w:val="0F1115"/>
          <w:kern w:val="0"/>
          <w14:ligatures w14:val="none"/>
        </w:rPr>
        <w:t> </w:t>
      </w:r>
      <w:proofErr w:type="spellStart"/>
      <w:r w:rsidRPr="003D796F">
        <w:rPr>
          <w:rFonts w:ascii="Times New Roman" w:eastAsia="Times New Roman" w:hAnsi="Times New Roman" w:cs="Times New Roman"/>
          <w:color w:val="0F1115"/>
          <w:kern w:val="0"/>
          <w14:ligatures w14:val="none"/>
        </w:rPr>
        <w:t>Institut</w:t>
      </w:r>
      <w:proofErr w:type="spellEnd"/>
      <w:r w:rsidRPr="003D796F">
        <w:rPr>
          <w:rFonts w:ascii="Times New Roman" w:eastAsia="Times New Roman" w:hAnsi="Times New Roman" w:cs="Times New Roman"/>
          <w:color w:val="0F1115"/>
          <w:kern w:val="0"/>
          <w14:ligatures w14:val="none"/>
        </w:rPr>
        <w:t xml:space="preserve"> Supérieur des Techniques </w:t>
      </w:r>
      <w:proofErr w:type="spellStart"/>
      <w:r w:rsidRPr="003D796F">
        <w:rPr>
          <w:rFonts w:ascii="Times New Roman" w:eastAsia="Times New Roman" w:hAnsi="Times New Roman" w:cs="Times New Roman"/>
          <w:color w:val="0F1115"/>
          <w:kern w:val="0"/>
          <w14:ligatures w14:val="none"/>
        </w:rPr>
        <w:t>Médicales</w:t>
      </w:r>
      <w:proofErr w:type="spellEnd"/>
      <w:r w:rsidRPr="003D796F">
        <w:rPr>
          <w:rFonts w:ascii="Times New Roman" w:eastAsia="Times New Roman" w:hAnsi="Times New Roman" w:cs="Times New Roman"/>
          <w:color w:val="0F1115"/>
          <w:kern w:val="0"/>
          <w14:ligatures w14:val="none"/>
        </w:rPr>
        <w:t xml:space="preserve"> (ISTM),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Democratic Republic of the Congo</w:t>
      </w:r>
      <w:r w:rsidRPr="003D796F">
        <w:rPr>
          <w:rFonts w:ascii="Times New Roman" w:eastAsia="Times New Roman" w:hAnsi="Times New Roman" w:cs="Times New Roman"/>
          <w:color w:val="0F1115"/>
          <w:kern w:val="0"/>
          <w14:ligatures w14:val="none"/>
        </w:rPr>
        <w:br/>
      </w:r>
      <w:r w:rsidRPr="003D796F">
        <w:rPr>
          <w:rFonts w:ascii="Times New Roman" w:eastAsia="Times New Roman" w:hAnsi="Times New Roman" w:cs="Times New Roman"/>
          <w:b/>
          <w:bCs/>
          <w:color w:val="0F1115"/>
          <w:kern w:val="0"/>
          <w14:ligatures w14:val="none"/>
        </w:rPr>
        <w:t>Program:</w:t>
      </w:r>
      <w:r w:rsidRPr="003D796F">
        <w:rPr>
          <w:rFonts w:ascii="Times New Roman" w:eastAsia="Times New Roman" w:hAnsi="Times New Roman" w:cs="Times New Roman"/>
          <w:color w:val="0F1115"/>
          <w:kern w:val="0"/>
          <w14:ligatures w14:val="none"/>
        </w:rPr>
        <w:t> </w:t>
      </w:r>
      <w:proofErr w:type="gramStart"/>
      <w:r w:rsidRPr="003D796F">
        <w:rPr>
          <w:rFonts w:ascii="Times New Roman" w:eastAsia="Times New Roman" w:hAnsi="Times New Roman" w:cs="Times New Roman"/>
          <w:color w:val="0F1115"/>
          <w:kern w:val="0"/>
          <w14:ligatures w14:val="none"/>
        </w:rPr>
        <w:t>Master in Nursing Sciences</w:t>
      </w:r>
      <w:proofErr w:type="gramEnd"/>
      <w:r w:rsidRPr="003D796F">
        <w:rPr>
          <w:rFonts w:ascii="Times New Roman" w:eastAsia="Times New Roman" w:hAnsi="Times New Roman" w:cs="Times New Roman"/>
          <w:color w:val="0F1115"/>
          <w:kern w:val="0"/>
          <w14:ligatures w14:val="none"/>
        </w:rPr>
        <w:t xml:space="preserve"> – Medicine and Surgery</w:t>
      </w:r>
      <w:r w:rsidRPr="003D796F">
        <w:rPr>
          <w:rFonts w:ascii="Times New Roman" w:eastAsia="Times New Roman" w:hAnsi="Times New Roman" w:cs="Times New Roman"/>
          <w:color w:val="0F1115"/>
          <w:kern w:val="0"/>
          <w14:ligatures w14:val="none"/>
        </w:rPr>
        <w:br/>
      </w:r>
      <w:r w:rsidRPr="003D796F">
        <w:rPr>
          <w:rFonts w:ascii="Times New Roman" w:eastAsia="Times New Roman" w:hAnsi="Times New Roman" w:cs="Times New Roman"/>
          <w:b/>
          <w:bCs/>
          <w:color w:val="0F1115"/>
          <w:kern w:val="0"/>
          <w14:ligatures w14:val="none"/>
        </w:rPr>
        <w:t>Director:</w:t>
      </w:r>
      <w:r w:rsidRPr="003D796F">
        <w:rPr>
          <w:rFonts w:ascii="Times New Roman" w:eastAsia="Times New Roman" w:hAnsi="Times New Roman" w:cs="Times New Roman"/>
          <w:color w:val="0F1115"/>
          <w:kern w:val="0"/>
          <w14:ligatures w14:val="none"/>
        </w:rPr>
        <w:t xml:space="preserve"> Professor Jacques Lofandjola </w:t>
      </w:r>
      <w:proofErr w:type="spellStart"/>
      <w:r w:rsidRPr="003D796F">
        <w:rPr>
          <w:rFonts w:ascii="Times New Roman" w:eastAsia="Times New Roman" w:hAnsi="Times New Roman" w:cs="Times New Roman"/>
          <w:color w:val="0F1115"/>
          <w:kern w:val="0"/>
          <w14:ligatures w14:val="none"/>
        </w:rPr>
        <w:t>Masumbuku</w:t>
      </w:r>
      <w:proofErr w:type="spellEnd"/>
      <w:r w:rsidRPr="003D796F">
        <w:rPr>
          <w:rFonts w:ascii="Times New Roman" w:eastAsia="Times New Roman" w:hAnsi="Times New Roman" w:cs="Times New Roman"/>
          <w:color w:val="0F1115"/>
          <w:kern w:val="0"/>
          <w14:ligatures w14:val="none"/>
        </w:rPr>
        <w:br/>
      </w:r>
      <w:r w:rsidRPr="003D796F">
        <w:rPr>
          <w:rFonts w:ascii="Times New Roman" w:eastAsia="Times New Roman" w:hAnsi="Times New Roman" w:cs="Times New Roman"/>
          <w:b/>
          <w:bCs/>
          <w:color w:val="0F1115"/>
          <w:kern w:val="0"/>
          <w14:ligatures w14:val="none"/>
        </w:rPr>
        <w:t>Supervisor:</w:t>
      </w:r>
      <w:r w:rsidRPr="003D796F">
        <w:rPr>
          <w:rFonts w:ascii="Times New Roman" w:eastAsia="Times New Roman" w:hAnsi="Times New Roman" w:cs="Times New Roman"/>
          <w:color w:val="0F1115"/>
          <w:kern w:val="0"/>
          <w14:ligatures w14:val="none"/>
        </w:rPr>
        <w:t xml:space="preserve"> Professor Thom's Konga </w:t>
      </w:r>
      <w:proofErr w:type="spellStart"/>
      <w:r w:rsidRPr="003D796F">
        <w:rPr>
          <w:rFonts w:ascii="Times New Roman" w:eastAsia="Times New Roman" w:hAnsi="Times New Roman" w:cs="Times New Roman"/>
          <w:color w:val="0F1115"/>
          <w:kern w:val="0"/>
          <w14:ligatures w14:val="none"/>
        </w:rPr>
        <w:t>Bakombo</w:t>
      </w:r>
      <w:proofErr w:type="spellEnd"/>
      <w:r w:rsidRPr="003D796F">
        <w:rPr>
          <w:rFonts w:ascii="Times New Roman" w:eastAsia="Times New Roman" w:hAnsi="Times New Roman" w:cs="Times New Roman"/>
          <w:color w:val="0F1115"/>
          <w:kern w:val="0"/>
          <w14:ligatures w14:val="none"/>
        </w:rPr>
        <w:br/>
      </w:r>
      <w:r w:rsidRPr="003D796F">
        <w:rPr>
          <w:rFonts w:ascii="Times New Roman" w:eastAsia="Times New Roman" w:hAnsi="Times New Roman" w:cs="Times New Roman"/>
          <w:b/>
          <w:bCs/>
          <w:color w:val="0F1115"/>
          <w:kern w:val="0"/>
          <w14:ligatures w14:val="none"/>
        </w:rPr>
        <w:t>Academic Year:</w:t>
      </w:r>
      <w:r w:rsidRPr="003D796F">
        <w:rPr>
          <w:rFonts w:ascii="Times New Roman" w:eastAsia="Times New Roman" w:hAnsi="Times New Roman" w:cs="Times New Roman"/>
          <w:color w:val="0F1115"/>
          <w:kern w:val="0"/>
          <w14:ligatures w14:val="none"/>
        </w:rPr>
        <w:t> 2025–2026</w:t>
      </w:r>
    </w:p>
    <w:p w14:paraId="7D04157E" w14:textId="77777777" w:rsidR="003D796F" w:rsidRPr="003D796F" w:rsidRDefault="003D796F" w:rsidP="003D796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D796F">
        <w:rPr>
          <w:rFonts w:ascii="Times New Roman" w:eastAsia="Times New Roman" w:hAnsi="Times New Roman" w:cs="Times New Roman"/>
          <w:b/>
          <w:bCs/>
          <w:color w:val="0F1115"/>
          <w:kern w:val="0"/>
          <w:sz w:val="33"/>
          <w:szCs w:val="33"/>
          <w14:ligatures w14:val="none"/>
        </w:rPr>
        <w:t>Abstract</w:t>
      </w:r>
    </w:p>
    <w:p w14:paraId="20B97857"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Introduction:</w:t>
      </w:r>
      <w:r w:rsidRPr="003D796F">
        <w:rPr>
          <w:rFonts w:ascii="Times New Roman" w:eastAsia="Times New Roman" w:hAnsi="Times New Roman" w:cs="Times New Roman"/>
          <w:color w:val="0F1115"/>
          <w:kern w:val="0"/>
          <w14:ligatures w14:val="none"/>
        </w:rPr>
        <w:t xml:space="preserve"> Fractures represent a major public health burden, particularly in low-resource settings where modern and traditional medicine coexist. In the Democratic Republic of the Congo (DRC), the lack of a formal integration framework between these two systems may compromise patient outcomes. This study evaluated the impact of an integrated approach combining modern and traditional medicine on fracture management outcomes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w:t>
      </w:r>
    </w:p>
    <w:p w14:paraId="064A54EF"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Methods:</w:t>
      </w:r>
      <w:r w:rsidRPr="003D796F">
        <w:rPr>
          <w:rFonts w:ascii="Times New Roman" w:eastAsia="Times New Roman" w:hAnsi="Times New Roman" w:cs="Times New Roman"/>
          <w:color w:val="0F1115"/>
          <w:kern w:val="0"/>
          <w14:ligatures w14:val="none"/>
        </w:rPr>
        <w:t> A mixed-methods cross-sectional study was conducted among 120 participants, including 90 patients with fractures, 18 healthcare professionals, and 12 traditional healers. Data were collected using structured questionnaires, observation forms, semi-structured interviews, and documentary analysis. Quantitative data were analyzed using descriptive statistics and chi-square tests (SPSS version 26). Qualitative data were analyzed thematically.</w:t>
      </w:r>
    </w:p>
    <w:p w14:paraId="6CA9188F"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Results:</w:t>
      </w:r>
      <w:r w:rsidRPr="003D796F">
        <w:rPr>
          <w:rFonts w:ascii="Times New Roman" w:eastAsia="Times New Roman" w:hAnsi="Times New Roman" w:cs="Times New Roman"/>
          <w:color w:val="0F1115"/>
          <w:kern w:val="0"/>
          <w14:ligatures w14:val="none"/>
        </w:rPr>
        <w:t xml:space="preserve"> Among patients, 46.7% used traditional medicine alone, 22.2% used modern medicine alone, and 31.1% used an integrated approach. Overall complete recovery was observed in 50% of cases, with 34.4% experiencing complications. However, the integrated approach showed the </w:t>
      </w:r>
      <w:r w:rsidRPr="003D796F">
        <w:rPr>
          <w:rFonts w:ascii="Times New Roman" w:eastAsia="Times New Roman" w:hAnsi="Times New Roman" w:cs="Times New Roman"/>
          <w:color w:val="0F1115"/>
          <w:kern w:val="0"/>
          <w14:ligatures w14:val="none"/>
        </w:rPr>
        <w:lastRenderedPageBreak/>
        <w:t xml:space="preserve">best clinical outcomes, with a recovery rate of 89.3%. A statistically significant association was found between treatment type and clinical outcomes (χ² = 17.00, </w:t>
      </w:r>
      <w:proofErr w:type="spellStart"/>
      <w:r w:rsidRPr="003D796F">
        <w:rPr>
          <w:rFonts w:ascii="Times New Roman" w:eastAsia="Times New Roman" w:hAnsi="Times New Roman" w:cs="Times New Roman"/>
          <w:color w:val="0F1115"/>
          <w:kern w:val="0"/>
          <w14:ligatures w14:val="none"/>
        </w:rPr>
        <w:t>df</w:t>
      </w:r>
      <w:proofErr w:type="spellEnd"/>
      <w:r w:rsidRPr="003D796F">
        <w:rPr>
          <w:rFonts w:ascii="Times New Roman" w:eastAsia="Times New Roman" w:hAnsi="Times New Roman" w:cs="Times New Roman"/>
          <w:color w:val="0F1115"/>
          <w:kern w:val="0"/>
          <w14:ligatures w14:val="none"/>
        </w:rPr>
        <w:t xml:space="preserve"> = 2, p &lt; 0.001). Qualitative findings revealed that traditional medicine is preferred due to affordability, cultural acceptability, and geographic proximity, but it is associated with complications such as poor hygiene and improper immobilization. No formal collaboration exists between modern healthcare providers and traditional healers, despite expressed willingness from both parties.</w:t>
      </w:r>
    </w:p>
    <w:p w14:paraId="2E200795"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Discussion:</w:t>
      </w:r>
      <w:r w:rsidRPr="003D796F">
        <w:rPr>
          <w:rFonts w:ascii="Times New Roman" w:eastAsia="Times New Roman" w:hAnsi="Times New Roman" w:cs="Times New Roman"/>
          <w:color w:val="0F1115"/>
          <w:kern w:val="0"/>
          <w14:ligatures w14:val="none"/>
        </w:rPr>
        <w:t> The integrated approach significantly improves fracture healing outcomes compared to either system alone. However, the lack of structured collaboration and regulatory frameworks limits optimal patient care. Cultural, economic, and structural factors strongly influence treatment choices.</w:t>
      </w:r>
    </w:p>
    <w:p w14:paraId="1DCFACAF"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Conclusion:</w:t>
      </w:r>
      <w:r w:rsidRPr="003D796F">
        <w:rPr>
          <w:rFonts w:ascii="Times New Roman" w:eastAsia="Times New Roman" w:hAnsi="Times New Roman" w:cs="Times New Roman"/>
          <w:color w:val="0F1115"/>
          <w:kern w:val="0"/>
          <w14:ligatures w14:val="none"/>
        </w:rPr>
        <w:t xml:space="preserve"> The integrated approach between modern and traditional medicine yields superior fracture management outcomes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Establishing a formal collaboration framework, training traditional healers, and strengthening modern healthcare infrastructure are urgently needed.</w:t>
      </w:r>
    </w:p>
    <w:p w14:paraId="432068FA"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Keywords:</w:t>
      </w:r>
      <w:r w:rsidRPr="003D796F">
        <w:rPr>
          <w:rFonts w:ascii="Times New Roman" w:eastAsia="Times New Roman" w:hAnsi="Times New Roman" w:cs="Times New Roman"/>
          <w:color w:val="0F1115"/>
          <w:kern w:val="0"/>
          <w14:ligatures w14:val="none"/>
        </w:rPr>
        <w:t xml:space="preserve"> Fractures, traditional medicine, modern medicine, integrated approach,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Democratic Republic of the Congo</w:t>
      </w:r>
    </w:p>
    <w:p w14:paraId="2B423731" w14:textId="77777777" w:rsidR="003D796F" w:rsidRPr="003D796F" w:rsidRDefault="003D796F" w:rsidP="003D796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D796F">
        <w:rPr>
          <w:rFonts w:ascii="Times New Roman" w:eastAsia="Times New Roman" w:hAnsi="Times New Roman" w:cs="Times New Roman"/>
          <w:b/>
          <w:bCs/>
          <w:color w:val="0F1115"/>
          <w:kern w:val="0"/>
          <w:sz w:val="33"/>
          <w:szCs w:val="33"/>
          <w14:ligatures w14:val="none"/>
        </w:rPr>
        <w:t>1. Introduction</w:t>
      </w:r>
    </w:p>
    <w:p w14:paraId="264C20A7"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1.1. Background</w:t>
      </w:r>
    </w:p>
    <w:p w14:paraId="518D75F1"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Fractures constitute a major global public health burden due to their high frequency, associated disabilities, and substantial costs to health systems. According to the World Health Organization (WHO, 2024), an estimated 178 million new fractures occurred worldwide in 2019, representing a 33.4% increase from 1990, while the total prevalence of symptomatic cases reached 455 million people. Fragility fractures in older adults account for approximately 2.7 million new cases annually in major European countries (</w:t>
      </w:r>
      <w:proofErr w:type="spellStart"/>
      <w:r w:rsidRPr="003D796F">
        <w:rPr>
          <w:rFonts w:ascii="Times New Roman" w:eastAsia="Times New Roman" w:hAnsi="Times New Roman" w:cs="Times New Roman"/>
          <w:color w:val="0F1115"/>
          <w:kern w:val="0"/>
          <w14:ligatures w14:val="none"/>
        </w:rPr>
        <w:t>Lespessailles</w:t>
      </w:r>
      <w:proofErr w:type="spellEnd"/>
      <w:r w:rsidRPr="003D796F">
        <w:rPr>
          <w:rFonts w:ascii="Times New Roman" w:eastAsia="Times New Roman" w:hAnsi="Times New Roman" w:cs="Times New Roman"/>
          <w:color w:val="0F1115"/>
          <w:kern w:val="0"/>
          <w14:ligatures w14:val="none"/>
        </w:rPr>
        <w:t>, 2020).</w:t>
      </w:r>
    </w:p>
    <w:p w14:paraId="3AF27F22"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lastRenderedPageBreak/>
        <w:t xml:space="preserve">In sub-Saharan Africa, systematic national data are limited, but regional studies indicate a significant fracture burden, particularly related to road traffic accidents, falls, and domestic trauma (Assi et al., 2023). In the Democratic Republic of the Congo (DRC), hospital-based studies report that limb fractures represent 3.2% of trauma admissions, with a mean age of 40 years and a predominance of road traffic accidents (68.5%) (Amani </w:t>
      </w:r>
      <w:proofErr w:type="spellStart"/>
      <w:r w:rsidRPr="003D796F">
        <w:rPr>
          <w:rFonts w:ascii="Times New Roman" w:eastAsia="Times New Roman" w:hAnsi="Times New Roman" w:cs="Times New Roman"/>
          <w:color w:val="0F1115"/>
          <w:kern w:val="0"/>
          <w14:ligatures w14:val="none"/>
        </w:rPr>
        <w:t>Tubura</w:t>
      </w:r>
      <w:proofErr w:type="spellEnd"/>
      <w:r w:rsidRPr="003D796F">
        <w:rPr>
          <w:rFonts w:ascii="Times New Roman" w:eastAsia="Times New Roman" w:hAnsi="Times New Roman" w:cs="Times New Roman"/>
          <w:color w:val="0F1115"/>
          <w:kern w:val="0"/>
          <w14:ligatures w14:val="none"/>
        </w:rPr>
        <w:t xml:space="preserve"> et al., 2023).</w:t>
      </w:r>
    </w:p>
    <w:p w14:paraId="04041A5D"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xml:space="preserve">, the capital of Équateur Province, fractures are common, primarily linked to traffic accidents, falls, and domestic trauma. However, fracture management in this context is complicated by the coexistence of modern and traditional medicine systems. According to </w:t>
      </w:r>
      <w:proofErr w:type="spellStart"/>
      <w:r w:rsidRPr="003D796F">
        <w:rPr>
          <w:rFonts w:ascii="Times New Roman" w:eastAsia="Times New Roman" w:hAnsi="Times New Roman" w:cs="Times New Roman"/>
          <w:color w:val="0F1115"/>
          <w:kern w:val="0"/>
          <w14:ligatures w14:val="none"/>
        </w:rPr>
        <w:t>Idé</w:t>
      </w:r>
      <w:proofErr w:type="spellEnd"/>
      <w:r w:rsidRPr="003D796F">
        <w:rPr>
          <w:rFonts w:ascii="Times New Roman" w:eastAsia="Times New Roman" w:hAnsi="Times New Roman" w:cs="Times New Roman"/>
          <w:color w:val="0F1115"/>
          <w:kern w:val="0"/>
          <w14:ligatures w14:val="none"/>
        </w:rPr>
        <w:t xml:space="preserve"> et al. (2025), up to 80% of rural African populations resort to traditional medicine for musculoskeletal trauma, despite frequently observed complications.</w:t>
      </w:r>
    </w:p>
    <w:p w14:paraId="2C74218D"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1.2. Problem Statement</w:t>
      </w:r>
    </w:p>
    <w:p w14:paraId="7E37E7CC"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Despite the widespread use of both modern and traditional medicine for fracture management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no formal integration framework exists between these two systems. The lack of collaboration may delay appropriate care, increase complication rates, and compromise patient outcomes. This study therefore sought to answer the research question: </w:t>
      </w:r>
      <w:r w:rsidRPr="003D796F">
        <w:rPr>
          <w:rFonts w:ascii="Times New Roman" w:eastAsia="Times New Roman" w:hAnsi="Times New Roman" w:cs="Times New Roman"/>
          <w:b/>
          <w:bCs/>
          <w:color w:val="0F1115"/>
          <w:kern w:val="0"/>
          <w14:ligatures w14:val="none"/>
        </w:rPr>
        <w:t xml:space="preserve">To what extent does an integrated approach between modern and traditional medicine influence fracture management outcomes in </w:t>
      </w:r>
      <w:proofErr w:type="spellStart"/>
      <w:r w:rsidRPr="003D796F">
        <w:rPr>
          <w:rFonts w:ascii="Times New Roman" w:eastAsia="Times New Roman" w:hAnsi="Times New Roman" w:cs="Times New Roman"/>
          <w:b/>
          <w:bCs/>
          <w:color w:val="0F1115"/>
          <w:kern w:val="0"/>
          <w14:ligatures w14:val="none"/>
        </w:rPr>
        <w:t>Mbandaka</w:t>
      </w:r>
      <w:proofErr w:type="spellEnd"/>
      <w:r w:rsidRPr="003D796F">
        <w:rPr>
          <w:rFonts w:ascii="Times New Roman" w:eastAsia="Times New Roman" w:hAnsi="Times New Roman" w:cs="Times New Roman"/>
          <w:b/>
          <w:bCs/>
          <w:color w:val="0F1115"/>
          <w:kern w:val="0"/>
          <w14:ligatures w14:val="none"/>
        </w:rPr>
        <w:t>?</w:t>
      </w:r>
    </w:p>
    <w:p w14:paraId="41C48B8C"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1.3. Objectives</w:t>
      </w:r>
    </w:p>
    <w:p w14:paraId="2C2A5F3D"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General objective:</w:t>
      </w:r>
      <w:r w:rsidRPr="003D796F">
        <w:rPr>
          <w:rFonts w:ascii="Times New Roman" w:eastAsia="Times New Roman" w:hAnsi="Times New Roman" w:cs="Times New Roman"/>
          <w:color w:val="0F1115"/>
          <w:kern w:val="0"/>
          <w14:ligatures w14:val="none"/>
        </w:rPr>
        <w:t xml:space="preserve"> To evaluate the impact of an integrated approach between modern and traditional medicine on fracture management outcomes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w:t>
      </w:r>
    </w:p>
    <w:p w14:paraId="709477C8"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Specific objectives:</w:t>
      </w:r>
    </w:p>
    <w:p w14:paraId="0AC41E95" w14:textId="77777777" w:rsidR="003D796F" w:rsidRPr="003D796F" w:rsidRDefault="003D796F" w:rsidP="003D796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To compare clinical outcomes between modern medicine alone and the integrated approach.</w:t>
      </w:r>
    </w:p>
    <w:p w14:paraId="20D5F566" w14:textId="77777777" w:rsidR="003D796F" w:rsidRPr="003D796F" w:rsidRDefault="003D796F" w:rsidP="003D796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To describe traditional practices used in fracture management.</w:t>
      </w:r>
    </w:p>
    <w:p w14:paraId="4B341788" w14:textId="77777777" w:rsidR="003D796F" w:rsidRPr="003D796F" w:rsidRDefault="003D796F" w:rsidP="003D796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To assess patient satisfaction with the integrated approach.</w:t>
      </w:r>
    </w:p>
    <w:p w14:paraId="28778F34" w14:textId="77777777" w:rsidR="003D796F" w:rsidRPr="003D796F" w:rsidRDefault="003D796F" w:rsidP="003D796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lastRenderedPageBreak/>
        <w:t>To identify factors facilitating or limiting integration between the two systems.</w:t>
      </w:r>
    </w:p>
    <w:p w14:paraId="0DBD8CB8" w14:textId="77777777" w:rsidR="003D796F" w:rsidRPr="003D796F" w:rsidRDefault="003D796F" w:rsidP="003D796F">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To propose recommendations for improving fracture management in the local context.</w:t>
      </w:r>
    </w:p>
    <w:p w14:paraId="3BCC259E"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1.4. Hypotheses</w:t>
      </w:r>
    </w:p>
    <w:p w14:paraId="21CBEFC6" w14:textId="77777777" w:rsidR="003D796F" w:rsidRPr="003D796F" w:rsidRDefault="003D796F" w:rsidP="003D796F">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H₁:</w:t>
      </w:r>
      <w:r w:rsidRPr="003D796F">
        <w:rPr>
          <w:rFonts w:ascii="Times New Roman" w:eastAsia="Times New Roman" w:hAnsi="Times New Roman" w:cs="Times New Roman"/>
          <w:color w:val="0F1115"/>
          <w:kern w:val="0"/>
          <w14:ligatures w14:val="none"/>
        </w:rPr>
        <w:t xml:space="preserve"> Integration of modern and traditional medicine improves fracture treatment efficacy, functional recovery, and healthcare accessibility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w:t>
      </w:r>
    </w:p>
    <w:p w14:paraId="27BA3C73" w14:textId="77777777" w:rsidR="003D796F" w:rsidRPr="003D796F" w:rsidRDefault="003D796F" w:rsidP="003D796F">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H₂:</w:t>
      </w:r>
      <w:r w:rsidRPr="003D796F">
        <w:rPr>
          <w:rFonts w:ascii="Times New Roman" w:eastAsia="Times New Roman" w:hAnsi="Times New Roman" w:cs="Times New Roman"/>
          <w:color w:val="0F1115"/>
          <w:kern w:val="0"/>
          <w14:ligatures w14:val="none"/>
        </w:rPr>
        <w:t> Combined use of traditional and modern medicine improves the speed and quality of fracture healing.</w:t>
      </w:r>
    </w:p>
    <w:p w14:paraId="2EADC020" w14:textId="77777777" w:rsidR="003D796F" w:rsidRPr="003D796F" w:rsidRDefault="003D796F" w:rsidP="003D796F">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H₃:</w:t>
      </w:r>
      <w:r w:rsidRPr="003D796F">
        <w:rPr>
          <w:rFonts w:ascii="Times New Roman" w:eastAsia="Times New Roman" w:hAnsi="Times New Roman" w:cs="Times New Roman"/>
          <w:color w:val="0F1115"/>
          <w:kern w:val="0"/>
          <w14:ligatures w14:val="none"/>
        </w:rPr>
        <w:t> Sociocultural and economic factors strongly influence patient choice between traditional and modern medicine for fracture treatment.</w:t>
      </w:r>
    </w:p>
    <w:p w14:paraId="39DB72CE" w14:textId="77777777" w:rsidR="003D796F" w:rsidRPr="003D796F" w:rsidRDefault="003D796F" w:rsidP="003D796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D796F">
        <w:rPr>
          <w:rFonts w:ascii="Times New Roman" w:eastAsia="Times New Roman" w:hAnsi="Times New Roman" w:cs="Times New Roman"/>
          <w:b/>
          <w:bCs/>
          <w:color w:val="0F1115"/>
          <w:kern w:val="0"/>
          <w:sz w:val="33"/>
          <w:szCs w:val="33"/>
          <w14:ligatures w14:val="none"/>
        </w:rPr>
        <w:t>2. Methods</w:t>
      </w:r>
    </w:p>
    <w:p w14:paraId="32D0090D"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2.1. Study Design and Setting</w:t>
      </w:r>
    </w:p>
    <w:p w14:paraId="71F804BF"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A </w:t>
      </w:r>
      <w:r w:rsidRPr="003D796F">
        <w:rPr>
          <w:rFonts w:ascii="Times New Roman" w:eastAsia="Times New Roman" w:hAnsi="Times New Roman" w:cs="Times New Roman"/>
          <w:b/>
          <w:bCs/>
          <w:color w:val="0F1115"/>
          <w:kern w:val="0"/>
          <w14:ligatures w14:val="none"/>
        </w:rPr>
        <w:t>mixed-methods cross-sectional study</w:t>
      </w:r>
      <w:r w:rsidRPr="003D796F">
        <w:rPr>
          <w:rFonts w:ascii="Times New Roman" w:eastAsia="Times New Roman" w:hAnsi="Times New Roman" w:cs="Times New Roman"/>
          <w:color w:val="0F1115"/>
          <w:kern w:val="0"/>
          <w14:ligatures w14:val="none"/>
        </w:rPr>
        <w:t xml:space="preserve"> was conducted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xml:space="preserve"> city, the capital of Équateur Province, Democratic Republic of </w:t>
      </w:r>
      <w:proofErr w:type="gramStart"/>
      <w:r w:rsidRPr="003D796F">
        <w:rPr>
          <w:rFonts w:ascii="Times New Roman" w:eastAsia="Times New Roman" w:hAnsi="Times New Roman" w:cs="Times New Roman"/>
          <w:color w:val="0F1115"/>
          <w:kern w:val="0"/>
          <w14:ligatures w14:val="none"/>
        </w:rPr>
        <w:t>the Congo</w:t>
      </w:r>
      <w:proofErr w:type="gramEnd"/>
      <w:r w:rsidRPr="003D796F">
        <w:rPr>
          <w:rFonts w:ascii="Times New Roman" w:eastAsia="Times New Roman" w:hAnsi="Times New Roman" w:cs="Times New Roman"/>
          <w:color w:val="0F1115"/>
          <w:kern w:val="0"/>
          <w14:ligatures w14:val="none"/>
        </w:rPr>
        <w:t xml:space="preserve">.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xml:space="preserve"> is a multi-ethnic urban center serving as a reference point for healthcare in the province, receiving patients from urban, peri-urban, and rural areas.</w:t>
      </w:r>
    </w:p>
    <w:p w14:paraId="52DB0919"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2.2. Target Population and Sampling</w:t>
      </w:r>
    </w:p>
    <w:p w14:paraId="37F8EBB5"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The target population comprised three categories of stakeholders directly involved in fracture management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w:t>
      </w:r>
    </w:p>
    <w:p w14:paraId="6377609C" w14:textId="77777777" w:rsidR="003D796F" w:rsidRPr="003D796F" w:rsidRDefault="003D796F" w:rsidP="003D796F">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Patients</w:t>
      </w:r>
      <w:r w:rsidRPr="003D796F">
        <w:rPr>
          <w:rFonts w:ascii="Times New Roman" w:eastAsia="Times New Roman" w:hAnsi="Times New Roman" w:cs="Times New Roman"/>
          <w:color w:val="0F1115"/>
          <w:kern w:val="0"/>
          <w14:ligatures w14:val="none"/>
        </w:rPr>
        <w:t> with confirmed fractures (n=90)</w:t>
      </w:r>
    </w:p>
    <w:p w14:paraId="75C2230D" w14:textId="77777777" w:rsidR="003D796F" w:rsidRPr="003D796F" w:rsidRDefault="003D796F" w:rsidP="003D796F">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Healthcare professionals</w:t>
      </w:r>
      <w:r w:rsidRPr="003D796F">
        <w:rPr>
          <w:rFonts w:ascii="Times New Roman" w:eastAsia="Times New Roman" w:hAnsi="Times New Roman" w:cs="Times New Roman"/>
          <w:color w:val="0F1115"/>
          <w:kern w:val="0"/>
          <w14:ligatures w14:val="none"/>
        </w:rPr>
        <w:t> (physicians and nurses) practicing in modern health facilities (n=18)</w:t>
      </w:r>
    </w:p>
    <w:p w14:paraId="33C79685" w14:textId="77777777" w:rsidR="003D796F" w:rsidRPr="003D796F" w:rsidRDefault="003D796F" w:rsidP="003D796F">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Traditional healers</w:t>
      </w:r>
      <w:r w:rsidRPr="003D796F">
        <w:rPr>
          <w:rFonts w:ascii="Times New Roman" w:eastAsia="Times New Roman" w:hAnsi="Times New Roman" w:cs="Times New Roman"/>
          <w:color w:val="0F1115"/>
          <w:kern w:val="0"/>
          <w14:ligatures w14:val="none"/>
        </w:rPr>
        <w:t> recognized by the local community (n=12)</w:t>
      </w:r>
    </w:p>
    <w:p w14:paraId="0AE63C45"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lastRenderedPageBreak/>
        <w:t>Inclusion criteria (patients):</w:t>
      </w:r>
      <w:r w:rsidRPr="003D796F">
        <w:rPr>
          <w:rFonts w:ascii="Times New Roman" w:eastAsia="Times New Roman" w:hAnsi="Times New Roman" w:cs="Times New Roman"/>
          <w:color w:val="0F1115"/>
          <w:kern w:val="0"/>
          <w14:ligatures w14:val="none"/>
        </w:rPr>
        <w:t xml:space="preserve"> Age ≥18 years; residency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confirmed fracture treated at least one year prior to the study; willingness to provide informed consent.</w:t>
      </w:r>
    </w:p>
    <w:p w14:paraId="3DA2CF46"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Inclusion criteria (healthcare professionals):</w:t>
      </w:r>
      <w:r w:rsidRPr="003D796F">
        <w:rPr>
          <w:rFonts w:ascii="Times New Roman" w:eastAsia="Times New Roman" w:hAnsi="Times New Roman" w:cs="Times New Roman"/>
          <w:color w:val="0F1115"/>
          <w:kern w:val="0"/>
          <w14:ligatures w14:val="none"/>
        </w:rPr>
        <w:t xml:space="preserve"> Practicing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xml:space="preserve"> for ≥6 months; experience managing fracture patients.</w:t>
      </w:r>
    </w:p>
    <w:p w14:paraId="29F690B7"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Inclusion criteria (traditional healers):</w:t>
      </w:r>
      <w:r w:rsidRPr="003D796F">
        <w:rPr>
          <w:rFonts w:ascii="Times New Roman" w:eastAsia="Times New Roman" w:hAnsi="Times New Roman" w:cs="Times New Roman"/>
          <w:color w:val="0F1115"/>
          <w:kern w:val="0"/>
          <w14:ligatures w14:val="none"/>
        </w:rPr>
        <w:t> Regular involvement in fracture treatment; community recognition; willingness to participate.</w:t>
      </w:r>
    </w:p>
    <w:p w14:paraId="731A7F9D"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A </w:t>
      </w:r>
      <w:r w:rsidRPr="003D796F">
        <w:rPr>
          <w:rFonts w:ascii="Times New Roman" w:eastAsia="Times New Roman" w:hAnsi="Times New Roman" w:cs="Times New Roman"/>
          <w:b/>
          <w:bCs/>
          <w:color w:val="0F1115"/>
          <w:kern w:val="0"/>
          <w14:ligatures w14:val="none"/>
        </w:rPr>
        <w:t>non-probability convenience sampling</w:t>
      </w:r>
      <w:r w:rsidRPr="003D796F">
        <w:rPr>
          <w:rFonts w:ascii="Times New Roman" w:eastAsia="Times New Roman" w:hAnsi="Times New Roman" w:cs="Times New Roman"/>
          <w:color w:val="0F1115"/>
          <w:kern w:val="0"/>
          <w14:ligatures w14:val="none"/>
        </w:rPr>
        <w:t> method was used for patients and healthcare professionals, and </w:t>
      </w:r>
      <w:r w:rsidRPr="003D796F">
        <w:rPr>
          <w:rFonts w:ascii="Times New Roman" w:eastAsia="Times New Roman" w:hAnsi="Times New Roman" w:cs="Times New Roman"/>
          <w:b/>
          <w:bCs/>
          <w:color w:val="0F1115"/>
          <w:kern w:val="0"/>
          <w14:ligatures w14:val="none"/>
        </w:rPr>
        <w:t>snowball sampling</w:t>
      </w:r>
      <w:r w:rsidRPr="003D796F">
        <w:rPr>
          <w:rFonts w:ascii="Times New Roman" w:eastAsia="Times New Roman" w:hAnsi="Times New Roman" w:cs="Times New Roman"/>
          <w:color w:val="0F1115"/>
          <w:kern w:val="0"/>
          <w14:ligatures w14:val="none"/>
        </w:rPr>
        <w:t> for traditional healers due to the absence of an official registry. The total sample comprised </w:t>
      </w:r>
      <w:r w:rsidRPr="003D796F">
        <w:rPr>
          <w:rFonts w:ascii="Times New Roman" w:eastAsia="Times New Roman" w:hAnsi="Times New Roman" w:cs="Times New Roman"/>
          <w:b/>
          <w:bCs/>
          <w:color w:val="0F1115"/>
          <w:kern w:val="0"/>
          <w14:ligatures w14:val="none"/>
        </w:rPr>
        <w:t>120 participants</w:t>
      </w:r>
      <w:r w:rsidRPr="003D796F">
        <w:rPr>
          <w:rFonts w:ascii="Times New Roman" w:eastAsia="Times New Roman" w:hAnsi="Times New Roman" w:cs="Times New Roman"/>
          <w:color w:val="0F1115"/>
          <w:kern w:val="0"/>
          <w14:ligatures w14:val="none"/>
        </w:rPr>
        <w:t>.</w:t>
      </w:r>
    </w:p>
    <w:p w14:paraId="5A9EA0A5"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2.3. Data Collection Instruments and Procedures</w:t>
      </w:r>
    </w:p>
    <w:p w14:paraId="1285C877"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Four data collection methods were used:</w:t>
      </w:r>
    </w:p>
    <w:p w14:paraId="31682DA3" w14:textId="77777777" w:rsidR="003D796F" w:rsidRPr="003D796F" w:rsidRDefault="003D796F" w:rsidP="003D796F">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Structured questionnaire</w:t>
      </w:r>
      <w:r w:rsidRPr="003D796F">
        <w:rPr>
          <w:rFonts w:ascii="Times New Roman" w:eastAsia="Times New Roman" w:hAnsi="Times New Roman" w:cs="Times New Roman"/>
          <w:color w:val="0F1115"/>
          <w:kern w:val="0"/>
          <w14:ligatures w14:val="none"/>
        </w:rPr>
        <w:t> (90 patients): sociodemographic characteristics, treatment types, clinical outcomes (healing, complications), and satisfaction.</w:t>
      </w:r>
    </w:p>
    <w:p w14:paraId="04AB86BB" w14:textId="77777777" w:rsidR="003D796F" w:rsidRPr="003D796F" w:rsidRDefault="003D796F" w:rsidP="003D796F">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Clinical observation form</w:t>
      </w:r>
      <w:r w:rsidRPr="003D796F">
        <w:rPr>
          <w:rFonts w:ascii="Times New Roman" w:eastAsia="Times New Roman" w:hAnsi="Times New Roman" w:cs="Times New Roman"/>
          <w:color w:val="0F1115"/>
          <w:kern w:val="0"/>
          <w14:ligatures w14:val="none"/>
        </w:rPr>
        <w:t> (90 patients): fracture type, treatment modality, healing duration, complications, functional outcomes.</w:t>
      </w:r>
    </w:p>
    <w:p w14:paraId="435C7678" w14:textId="77777777" w:rsidR="003D796F" w:rsidRPr="003D796F" w:rsidRDefault="003D796F" w:rsidP="003D796F">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Semi-structured interviews</w:t>
      </w:r>
      <w:r w:rsidRPr="003D796F">
        <w:rPr>
          <w:rFonts w:ascii="Times New Roman" w:eastAsia="Times New Roman" w:hAnsi="Times New Roman" w:cs="Times New Roman"/>
          <w:color w:val="0F1115"/>
          <w:kern w:val="0"/>
          <w14:ligatures w14:val="none"/>
        </w:rPr>
        <w:t> (30 participants: 18 healthcare professionals, 12 traditional healers): knowledge, practices, perceptions, and collaboration potential.</w:t>
      </w:r>
    </w:p>
    <w:p w14:paraId="4D39BED2" w14:textId="77777777" w:rsidR="003D796F" w:rsidRPr="003D796F" w:rsidRDefault="003D796F" w:rsidP="003D796F">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Documentary analysis</w:t>
      </w:r>
      <w:r w:rsidRPr="003D796F">
        <w:rPr>
          <w:rFonts w:ascii="Times New Roman" w:eastAsia="Times New Roman" w:hAnsi="Times New Roman" w:cs="Times New Roman"/>
          <w:color w:val="0F1115"/>
          <w:kern w:val="0"/>
          <w14:ligatures w14:val="none"/>
        </w:rPr>
        <w:t>: medical records, hospital reports, and scientific literature.</w:t>
      </w:r>
    </w:p>
    <w:p w14:paraId="3B5A6757"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2.4. Variables</w:t>
      </w:r>
    </w:p>
    <w:p w14:paraId="163B4169"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Independent variables:</w:t>
      </w:r>
      <w:r w:rsidRPr="003D796F">
        <w:rPr>
          <w:rFonts w:ascii="Times New Roman" w:eastAsia="Times New Roman" w:hAnsi="Times New Roman" w:cs="Times New Roman"/>
          <w:color w:val="0F1115"/>
          <w:kern w:val="0"/>
          <w14:ligatures w14:val="none"/>
        </w:rPr>
        <w:t> Treatment type (modern medicine alone, traditional medicine alone, integrated approach).</w:t>
      </w:r>
    </w:p>
    <w:p w14:paraId="7A491396"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Dependent variables:</w:t>
      </w:r>
      <w:r w:rsidRPr="003D796F">
        <w:rPr>
          <w:rFonts w:ascii="Times New Roman" w:eastAsia="Times New Roman" w:hAnsi="Times New Roman" w:cs="Times New Roman"/>
          <w:color w:val="0F1115"/>
          <w:kern w:val="0"/>
          <w14:ligatures w14:val="none"/>
        </w:rPr>
        <w:t> Fracture healing (complete recovery, recovery with sequelae, complications, ongoing treatment); patient satisfaction.</w:t>
      </w:r>
    </w:p>
    <w:p w14:paraId="60815568"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lastRenderedPageBreak/>
        <w:t>2.5. Data Analysis</w:t>
      </w:r>
    </w:p>
    <w:p w14:paraId="5CB6509E"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Quantitative data were entered into SPSS version 26. Descriptive statistics (frequencies, percentages) were computed. Chi-square tests were used to examine associations between treatment type and clinical outcomes. Cramér's V was used to measure association strength. Statistical significance was set at p &lt; 0.05. Qualitative data from interviews were transcribed and analyzed thematically using Braun and Clarke's (2006) six-phase framework.</w:t>
      </w:r>
    </w:p>
    <w:p w14:paraId="593FB56F"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2.6. Ethical Considerations</w:t>
      </w:r>
    </w:p>
    <w:p w14:paraId="7C203CB6"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Ethical approval was obtained from the ISTM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xml:space="preserve"> research ethics committee and the Provincial Health Division of Équateur. Written informed consent was obtained from all participants. Confidentiality and anonymity were strictly maintained. Participation was voluntary.</w:t>
      </w:r>
    </w:p>
    <w:p w14:paraId="76FC1981" w14:textId="77777777" w:rsidR="003D796F" w:rsidRPr="003D796F" w:rsidRDefault="003D796F" w:rsidP="003D796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D796F">
        <w:rPr>
          <w:rFonts w:ascii="Times New Roman" w:eastAsia="Times New Roman" w:hAnsi="Times New Roman" w:cs="Times New Roman"/>
          <w:b/>
          <w:bCs/>
          <w:color w:val="0F1115"/>
          <w:kern w:val="0"/>
          <w:sz w:val="33"/>
          <w:szCs w:val="33"/>
          <w14:ligatures w14:val="none"/>
        </w:rPr>
        <w:t>3. Results</w:t>
      </w:r>
    </w:p>
    <w:p w14:paraId="406B5C47"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3.1. Sociodemographic Characteristics of Participants</w:t>
      </w:r>
    </w:p>
    <w:p w14:paraId="71BFF7B7"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A total of 120 participants were enrolled. Table 1 presents the sociodemographic characteristics.</w:t>
      </w:r>
    </w:p>
    <w:p w14:paraId="6C8F2535"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Table 1</w:t>
      </w:r>
      <w:r w:rsidRPr="003D796F">
        <w:rPr>
          <w:rFonts w:ascii="Times New Roman" w:eastAsia="Times New Roman" w:hAnsi="Times New Roman" w:cs="Times New Roman"/>
          <w:color w:val="0F1115"/>
          <w:kern w:val="0"/>
          <w14:ligatures w14:val="none"/>
        </w:rPr>
        <w:br/>
        <w:t>*Sociodemographic Characteristics of Participants (N = 120)*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77"/>
        <w:gridCol w:w="2550"/>
        <w:gridCol w:w="690"/>
        <w:gridCol w:w="655"/>
      </w:tblGrid>
      <w:tr w:rsidR="003D796F" w:rsidRPr="003D796F" w14:paraId="1517E64F" w14:textId="77777777" w:rsidTr="003D796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A935A8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20441F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863433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315C44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w:t>
            </w:r>
          </w:p>
        </w:tc>
      </w:tr>
      <w:tr w:rsidR="003D796F" w:rsidRPr="003D796F" w14:paraId="79AC1B35" w14:textId="77777777" w:rsidTr="003D796F">
        <w:tc>
          <w:tcPr>
            <w:tcW w:w="0" w:type="auto"/>
            <w:tcBorders>
              <w:top w:val="single" w:sz="4" w:space="0" w:color="auto"/>
            </w:tcBorders>
            <w:tcMar>
              <w:top w:w="150" w:type="dxa"/>
              <w:left w:w="0" w:type="dxa"/>
              <w:bottom w:w="150" w:type="dxa"/>
              <w:right w:w="240" w:type="dxa"/>
            </w:tcMar>
            <w:vAlign w:val="center"/>
            <w:hideMark/>
          </w:tcPr>
          <w:p w14:paraId="50EB2A9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68CE683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5180824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78</w:t>
            </w:r>
          </w:p>
        </w:tc>
        <w:tc>
          <w:tcPr>
            <w:tcW w:w="0" w:type="auto"/>
            <w:tcBorders>
              <w:top w:val="single" w:sz="4" w:space="0" w:color="auto"/>
            </w:tcBorders>
            <w:tcMar>
              <w:top w:w="150" w:type="dxa"/>
              <w:left w:w="240" w:type="dxa"/>
              <w:bottom w:w="150" w:type="dxa"/>
              <w:right w:w="0" w:type="dxa"/>
            </w:tcMar>
            <w:vAlign w:val="center"/>
            <w:hideMark/>
          </w:tcPr>
          <w:p w14:paraId="4A13EE5C"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65.0</w:t>
            </w:r>
          </w:p>
        </w:tc>
      </w:tr>
      <w:tr w:rsidR="003D796F" w:rsidRPr="003D796F" w14:paraId="6D2957AC" w14:textId="77777777" w:rsidTr="003D796F">
        <w:tc>
          <w:tcPr>
            <w:tcW w:w="0" w:type="auto"/>
            <w:tcMar>
              <w:top w:w="150" w:type="dxa"/>
              <w:left w:w="0" w:type="dxa"/>
              <w:bottom w:w="150" w:type="dxa"/>
              <w:right w:w="240" w:type="dxa"/>
            </w:tcMar>
            <w:vAlign w:val="center"/>
            <w:hideMark/>
          </w:tcPr>
          <w:p w14:paraId="5A9CADA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47BE9AA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Female</w:t>
            </w:r>
          </w:p>
        </w:tc>
        <w:tc>
          <w:tcPr>
            <w:tcW w:w="0" w:type="auto"/>
            <w:tcMar>
              <w:top w:w="150" w:type="dxa"/>
              <w:left w:w="240" w:type="dxa"/>
              <w:bottom w:w="150" w:type="dxa"/>
              <w:right w:w="240" w:type="dxa"/>
            </w:tcMar>
            <w:vAlign w:val="center"/>
            <w:hideMark/>
          </w:tcPr>
          <w:p w14:paraId="763F372D"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42</w:t>
            </w:r>
          </w:p>
        </w:tc>
        <w:tc>
          <w:tcPr>
            <w:tcW w:w="0" w:type="auto"/>
            <w:tcMar>
              <w:top w:w="150" w:type="dxa"/>
              <w:left w:w="240" w:type="dxa"/>
              <w:bottom w:w="150" w:type="dxa"/>
              <w:right w:w="0" w:type="dxa"/>
            </w:tcMar>
            <w:vAlign w:val="center"/>
            <w:hideMark/>
          </w:tcPr>
          <w:p w14:paraId="7234C2FD"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35.0</w:t>
            </w:r>
          </w:p>
        </w:tc>
      </w:tr>
      <w:tr w:rsidR="003D796F" w:rsidRPr="003D796F" w14:paraId="5286B507" w14:textId="77777777" w:rsidTr="003D796F">
        <w:tc>
          <w:tcPr>
            <w:tcW w:w="0" w:type="auto"/>
            <w:tcMar>
              <w:top w:w="150" w:type="dxa"/>
              <w:left w:w="0" w:type="dxa"/>
              <w:bottom w:w="150" w:type="dxa"/>
              <w:right w:w="240" w:type="dxa"/>
            </w:tcMar>
            <w:vAlign w:val="center"/>
            <w:hideMark/>
          </w:tcPr>
          <w:p w14:paraId="661553B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Age group</w:t>
            </w:r>
          </w:p>
        </w:tc>
        <w:tc>
          <w:tcPr>
            <w:tcW w:w="0" w:type="auto"/>
            <w:tcMar>
              <w:top w:w="150" w:type="dxa"/>
              <w:left w:w="240" w:type="dxa"/>
              <w:bottom w:w="150" w:type="dxa"/>
              <w:right w:w="240" w:type="dxa"/>
            </w:tcMar>
            <w:vAlign w:val="center"/>
            <w:hideMark/>
          </w:tcPr>
          <w:p w14:paraId="5B3AC6BD"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&lt;20 years</w:t>
            </w:r>
          </w:p>
        </w:tc>
        <w:tc>
          <w:tcPr>
            <w:tcW w:w="0" w:type="auto"/>
            <w:tcMar>
              <w:top w:w="150" w:type="dxa"/>
              <w:left w:w="240" w:type="dxa"/>
              <w:bottom w:w="150" w:type="dxa"/>
              <w:right w:w="240" w:type="dxa"/>
            </w:tcMar>
            <w:vAlign w:val="center"/>
            <w:hideMark/>
          </w:tcPr>
          <w:p w14:paraId="78E7204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13</w:t>
            </w:r>
          </w:p>
        </w:tc>
        <w:tc>
          <w:tcPr>
            <w:tcW w:w="0" w:type="auto"/>
            <w:tcMar>
              <w:top w:w="150" w:type="dxa"/>
              <w:left w:w="240" w:type="dxa"/>
              <w:bottom w:w="150" w:type="dxa"/>
              <w:right w:w="0" w:type="dxa"/>
            </w:tcMar>
            <w:vAlign w:val="center"/>
            <w:hideMark/>
          </w:tcPr>
          <w:p w14:paraId="55CDC83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10.8</w:t>
            </w:r>
          </w:p>
        </w:tc>
      </w:tr>
      <w:tr w:rsidR="003D796F" w:rsidRPr="003D796F" w14:paraId="32301FE4" w14:textId="77777777" w:rsidTr="003D796F">
        <w:tc>
          <w:tcPr>
            <w:tcW w:w="0" w:type="auto"/>
            <w:tcMar>
              <w:top w:w="150" w:type="dxa"/>
              <w:left w:w="0" w:type="dxa"/>
              <w:bottom w:w="150" w:type="dxa"/>
              <w:right w:w="240" w:type="dxa"/>
            </w:tcMar>
            <w:vAlign w:val="center"/>
            <w:hideMark/>
          </w:tcPr>
          <w:p w14:paraId="14DBBF9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4D51A28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20–29 years</w:t>
            </w:r>
          </w:p>
        </w:tc>
        <w:tc>
          <w:tcPr>
            <w:tcW w:w="0" w:type="auto"/>
            <w:tcMar>
              <w:top w:w="150" w:type="dxa"/>
              <w:left w:w="240" w:type="dxa"/>
              <w:bottom w:w="150" w:type="dxa"/>
              <w:right w:w="240" w:type="dxa"/>
            </w:tcMar>
            <w:vAlign w:val="center"/>
            <w:hideMark/>
          </w:tcPr>
          <w:p w14:paraId="4FD3ED8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51</w:t>
            </w:r>
          </w:p>
        </w:tc>
        <w:tc>
          <w:tcPr>
            <w:tcW w:w="0" w:type="auto"/>
            <w:tcMar>
              <w:top w:w="150" w:type="dxa"/>
              <w:left w:w="240" w:type="dxa"/>
              <w:bottom w:w="150" w:type="dxa"/>
              <w:right w:w="0" w:type="dxa"/>
            </w:tcMar>
            <w:vAlign w:val="center"/>
            <w:hideMark/>
          </w:tcPr>
          <w:p w14:paraId="104B420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42.5</w:t>
            </w:r>
          </w:p>
        </w:tc>
      </w:tr>
      <w:tr w:rsidR="003D796F" w:rsidRPr="003D796F" w14:paraId="13CA3D17" w14:textId="77777777" w:rsidTr="003D796F">
        <w:tc>
          <w:tcPr>
            <w:tcW w:w="0" w:type="auto"/>
            <w:tcMar>
              <w:top w:w="150" w:type="dxa"/>
              <w:left w:w="0" w:type="dxa"/>
              <w:bottom w:w="150" w:type="dxa"/>
              <w:right w:w="240" w:type="dxa"/>
            </w:tcMar>
            <w:vAlign w:val="center"/>
            <w:hideMark/>
          </w:tcPr>
          <w:p w14:paraId="7B444D8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65E72B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30–39 years</w:t>
            </w:r>
          </w:p>
        </w:tc>
        <w:tc>
          <w:tcPr>
            <w:tcW w:w="0" w:type="auto"/>
            <w:tcMar>
              <w:top w:w="150" w:type="dxa"/>
              <w:left w:w="240" w:type="dxa"/>
              <w:bottom w:w="150" w:type="dxa"/>
              <w:right w:w="240" w:type="dxa"/>
            </w:tcMar>
            <w:vAlign w:val="center"/>
            <w:hideMark/>
          </w:tcPr>
          <w:p w14:paraId="7063549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37</w:t>
            </w:r>
          </w:p>
        </w:tc>
        <w:tc>
          <w:tcPr>
            <w:tcW w:w="0" w:type="auto"/>
            <w:tcMar>
              <w:top w:w="150" w:type="dxa"/>
              <w:left w:w="240" w:type="dxa"/>
              <w:bottom w:w="150" w:type="dxa"/>
              <w:right w:w="0" w:type="dxa"/>
            </w:tcMar>
            <w:vAlign w:val="center"/>
            <w:hideMark/>
          </w:tcPr>
          <w:p w14:paraId="2DB1A9C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30.8</w:t>
            </w:r>
          </w:p>
        </w:tc>
      </w:tr>
      <w:tr w:rsidR="003D796F" w:rsidRPr="003D796F" w14:paraId="3D942841" w14:textId="77777777" w:rsidTr="003D796F">
        <w:tc>
          <w:tcPr>
            <w:tcW w:w="0" w:type="auto"/>
            <w:tcMar>
              <w:top w:w="150" w:type="dxa"/>
              <w:left w:w="0" w:type="dxa"/>
              <w:bottom w:w="150" w:type="dxa"/>
              <w:right w:w="240" w:type="dxa"/>
            </w:tcMar>
            <w:vAlign w:val="center"/>
            <w:hideMark/>
          </w:tcPr>
          <w:p w14:paraId="5096450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FE283F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40–49 years</w:t>
            </w:r>
          </w:p>
        </w:tc>
        <w:tc>
          <w:tcPr>
            <w:tcW w:w="0" w:type="auto"/>
            <w:tcMar>
              <w:top w:w="150" w:type="dxa"/>
              <w:left w:w="240" w:type="dxa"/>
              <w:bottom w:w="150" w:type="dxa"/>
              <w:right w:w="240" w:type="dxa"/>
            </w:tcMar>
            <w:vAlign w:val="center"/>
            <w:hideMark/>
          </w:tcPr>
          <w:p w14:paraId="1FEE837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0" w:type="dxa"/>
            </w:tcMar>
            <w:vAlign w:val="center"/>
            <w:hideMark/>
          </w:tcPr>
          <w:p w14:paraId="1C35233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7.5</w:t>
            </w:r>
          </w:p>
        </w:tc>
      </w:tr>
      <w:tr w:rsidR="003D796F" w:rsidRPr="003D796F" w14:paraId="5CBEA866" w14:textId="77777777" w:rsidTr="003D796F">
        <w:tc>
          <w:tcPr>
            <w:tcW w:w="0" w:type="auto"/>
            <w:tcMar>
              <w:top w:w="150" w:type="dxa"/>
              <w:left w:w="0" w:type="dxa"/>
              <w:bottom w:w="150" w:type="dxa"/>
              <w:right w:w="240" w:type="dxa"/>
            </w:tcMar>
            <w:vAlign w:val="center"/>
            <w:hideMark/>
          </w:tcPr>
          <w:p w14:paraId="77D91F7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F9876D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≥50 years</w:t>
            </w:r>
          </w:p>
        </w:tc>
        <w:tc>
          <w:tcPr>
            <w:tcW w:w="0" w:type="auto"/>
            <w:tcMar>
              <w:top w:w="150" w:type="dxa"/>
              <w:left w:w="240" w:type="dxa"/>
              <w:bottom w:w="150" w:type="dxa"/>
              <w:right w:w="240" w:type="dxa"/>
            </w:tcMar>
            <w:vAlign w:val="center"/>
            <w:hideMark/>
          </w:tcPr>
          <w:p w14:paraId="7712E2F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10</w:t>
            </w:r>
          </w:p>
        </w:tc>
        <w:tc>
          <w:tcPr>
            <w:tcW w:w="0" w:type="auto"/>
            <w:tcMar>
              <w:top w:w="150" w:type="dxa"/>
              <w:left w:w="240" w:type="dxa"/>
              <w:bottom w:w="150" w:type="dxa"/>
              <w:right w:w="0" w:type="dxa"/>
            </w:tcMar>
            <w:vAlign w:val="center"/>
            <w:hideMark/>
          </w:tcPr>
          <w:p w14:paraId="2A9978D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8.3</w:t>
            </w:r>
          </w:p>
        </w:tc>
      </w:tr>
      <w:tr w:rsidR="003D796F" w:rsidRPr="003D796F" w14:paraId="62CB9064" w14:textId="77777777" w:rsidTr="003D796F">
        <w:tc>
          <w:tcPr>
            <w:tcW w:w="0" w:type="auto"/>
            <w:tcMar>
              <w:top w:w="150" w:type="dxa"/>
              <w:left w:w="0" w:type="dxa"/>
              <w:bottom w:w="150" w:type="dxa"/>
              <w:right w:w="240" w:type="dxa"/>
            </w:tcMar>
            <w:vAlign w:val="center"/>
            <w:hideMark/>
          </w:tcPr>
          <w:p w14:paraId="194F436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Education level</w:t>
            </w:r>
          </w:p>
        </w:tc>
        <w:tc>
          <w:tcPr>
            <w:tcW w:w="0" w:type="auto"/>
            <w:tcMar>
              <w:top w:w="150" w:type="dxa"/>
              <w:left w:w="240" w:type="dxa"/>
              <w:bottom w:w="150" w:type="dxa"/>
              <w:right w:w="240" w:type="dxa"/>
            </w:tcMar>
            <w:vAlign w:val="center"/>
            <w:hideMark/>
          </w:tcPr>
          <w:p w14:paraId="10D95A9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No formal education</w:t>
            </w:r>
          </w:p>
        </w:tc>
        <w:tc>
          <w:tcPr>
            <w:tcW w:w="0" w:type="auto"/>
            <w:tcMar>
              <w:top w:w="150" w:type="dxa"/>
              <w:left w:w="240" w:type="dxa"/>
              <w:bottom w:w="150" w:type="dxa"/>
              <w:right w:w="240" w:type="dxa"/>
            </w:tcMar>
            <w:vAlign w:val="center"/>
            <w:hideMark/>
          </w:tcPr>
          <w:p w14:paraId="7D748DE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0" w:type="dxa"/>
            </w:tcMar>
            <w:vAlign w:val="center"/>
            <w:hideMark/>
          </w:tcPr>
          <w:p w14:paraId="7B756C6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7.5</w:t>
            </w:r>
          </w:p>
        </w:tc>
      </w:tr>
      <w:tr w:rsidR="003D796F" w:rsidRPr="003D796F" w14:paraId="289E883B" w14:textId="77777777" w:rsidTr="003D796F">
        <w:tc>
          <w:tcPr>
            <w:tcW w:w="0" w:type="auto"/>
            <w:tcMar>
              <w:top w:w="150" w:type="dxa"/>
              <w:left w:w="0" w:type="dxa"/>
              <w:bottom w:w="150" w:type="dxa"/>
              <w:right w:w="240" w:type="dxa"/>
            </w:tcMar>
            <w:vAlign w:val="center"/>
            <w:hideMark/>
          </w:tcPr>
          <w:p w14:paraId="366F2D5C"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22C04E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Primary</w:t>
            </w:r>
          </w:p>
        </w:tc>
        <w:tc>
          <w:tcPr>
            <w:tcW w:w="0" w:type="auto"/>
            <w:tcMar>
              <w:top w:w="150" w:type="dxa"/>
              <w:left w:w="240" w:type="dxa"/>
              <w:bottom w:w="150" w:type="dxa"/>
              <w:right w:w="240" w:type="dxa"/>
            </w:tcMar>
            <w:vAlign w:val="center"/>
            <w:hideMark/>
          </w:tcPr>
          <w:p w14:paraId="4DC3F92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12</w:t>
            </w:r>
          </w:p>
        </w:tc>
        <w:tc>
          <w:tcPr>
            <w:tcW w:w="0" w:type="auto"/>
            <w:tcMar>
              <w:top w:w="150" w:type="dxa"/>
              <w:left w:w="240" w:type="dxa"/>
              <w:bottom w:w="150" w:type="dxa"/>
              <w:right w:w="0" w:type="dxa"/>
            </w:tcMar>
            <w:vAlign w:val="center"/>
            <w:hideMark/>
          </w:tcPr>
          <w:p w14:paraId="7239A5E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10.0</w:t>
            </w:r>
          </w:p>
        </w:tc>
      </w:tr>
      <w:tr w:rsidR="003D796F" w:rsidRPr="003D796F" w14:paraId="113404AF" w14:textId="77777777" w:rsidTr="003D796F">
        <w:tc>
          <w:tcPr>
            <w:tcW w:w="0" w:type="auto"/>
            <w:tcMar>
              <w:top w:w="150" w:type="dxa"/>
              <w:left w:w="0" w:type="dxa"/>
              <w:bottom w:w="150" w:type="dxa"/>
              <w:right w:w="240" w:type="dxa"/>
            </w:tcMar>
            <w:vAlign w:val="center"/>
            <w:hideMark/>
          </w:tcPr>
          <w:p w14:paraId="64DCF5E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BD2A12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Secondary</w:t>
            </w:r>
          </w:p>
        </w:tc>
        <w:tc>
          <w:tcPr>
            <w:tcW w:w="0" w:type="auto"/>
            <w:tcMar>
              <w:top w:w="150" w:type="dxa"/>
              <w:left w:w="240" w:type="dxa"/>
              <w:bottom w:w="150" w:type="dxa"/>
              <w:right w:w="240" w:type="dxa"/>
            </w:tcMar>
            <w:vAlign w:val="center"/>
            <w:hideMark/>
          </w:tcPr>
          <w:p w14:paraId="2A7CD67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47</w:t>
            </w:r>
          </w:p>
        </w:tc>
        <w:tc>
          <w:tcPr>
            <w:tcW w:w="0" w:type="auto"/>
            <w:tcMar>
              <w:top w:w="150" w:type="dxa"/>
              <w:left w:w="240" w:type="dxa"/>
              <w:bottom w:w="150" w:type="dxa"/>
              <w:right w:w="0" w:type="dxa"/>
            </w:tcMar>
            <w:vAlign w:val="center"/>
            <w:hideMark/>
          </w:tcPr>
          <w:p w14:paraId="123B8A4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39.2</w:t>
            </w:r>
          </w:p>
        </w:tc>
      </w:tr>
      <w:tr w:rsidR="003D796F" w:rsidRPr="003D796F" w14:paraId="38563B76" w14:textId="77777777" w:rsidTr="003D796F">
        <w:tc>
          <w:tcPr>
            <w:tcW w:w="0" w:type="auto"/>
            <w:tcMar>
              <w:top w:w="150" w:type="dxa"/>
              <w:left w:w="0" w:type="dxa"/>
              <w:bottom w:w="150" w:type="dxa"/>
              <w:right w:w="240" w:type="dxa"/>
            </w:tcMar>
            <w:vAlign w:val="center"/>
            <w:hideMark/>
          </w:tcPr>
          <w:p w14:paraId="13A466F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50F172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Higher/University</w:t>
            </w:r>
          </w:p>
        </w:tc>
        <w:tc>
          <w:tcPr>
            <w:tcW w:w="0" w:type="auto"/>
            <w:tcMar>
              <w:top w:w="150" w:type="dxa"/>
              <w:left w:w="240" w:type="dxa"/>
              <w:bottom w:w="150" w:type="dxa"/>
              <w:right w:w="240" w:type="dxa"/>
            </w:tcMar>
            <w:vAlign w:val="center"/>
            <w:hideMark/>
          </w:tcPr>
          <w:p w14:paraId="4EF9067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52</w:t>
            </w:r>
          </w:p>
        </w:tc>
        <w:tc>
          <w:tcPr>
            <w:tcW w:w="0" w:type="auto"/>
            <w:tcMar>
              <w:top w:w="150" w:type="dxa"/>
              <w:left w:w="240" w:type="dxa"/>
              <w:bottom w:w="150" w:type="dxa"/>
              <w:right w:w="0" w:type="dxa"/>
            </w:tcMar>
            <w:vAlign w:val="center"/>
            <w:hideMark/>
          </w:tcPr>
          <w:p w14:paraId="427908D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43.3</w:t>
            </w:r>
          </w:p>
        </w:tc>
      </w:tr>
      <w:tr w:rsidR="003D796F" w:rsidRPr="003D796F" w14:paraId="4A248995" w14:textId="77777777" w:rsidTr="003D796F">
        <w:tc>
          <w:tcPr>
            <w:tcW w:w="0" w:type="auto"/>
            <w:tcMar>
              <w:top w:w="150" w:type="dxa"/>
              <w:left w:w="0" w:type="dxa"/>
              <w:bottom w:w="150" w:type="dxa"/>
              <w:right w:w="240" w:type="dxa"/>
            </w:tcMar>
            <w:vAlign w:val="center"/>
            <w:hideMark/>
          </w:tcPr>
          <w:p w14:paraId="5F33FFA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Participant category</w:t>
            </w:r>
          </w:p>
        </w:tc>
        <w:tc>
          <w:tcPr>
            <w:tcW w:w="0" w:type="auto"/>
            <w:tcMar>
              <w:top w:w="150" w:type="dxa"/>
              <w:left w:w="240" w:type="dxa"/>
              <w:bottom w:w="150" w:type="dxa"/>
              <w:right w:w="240" w:type="dxa"/>
            </w:tcMar>
            <w:vAlign w:val="center"/>
            <w:hideMark/>
          </w:tcPr>
          <w:p w14:paraId="68E35EB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Patients</w:t>
            </w:r>
          </w:p>
        </w:tc>
        <w:tc>
          <w:tcPr>
            <w:tcW w:w="0" w:type="auto"/>
            <w:tcMar>
              <w:top w:w="150" w:type="dxa"/>
              <w:left w:w="240" w:type="dxa"/>
              <w:bottom w:w="150" w:type="dxa"/>
              <w:right w:w="240" w:type="dxa"/>
            </w:tcMar>
            <w:vAlign w:val="center"/>
            <w:hideMark/>
          </w:tcPr>
          <w:p w14:paraId="75B58365"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90</w:t>
            </w:r>
          </w:p>
        </w:tc>
        <w:tc>
          <w:tcPr>
            <w:tcW w:w="0" w:type="auto"/>
            <w:tcMar>
              <w:top w:w="150" w:type="dxa"/>
              <w:left w:w="240" w:type="dxa"/>
              <w:bottom w:w="150" w:type="dxa"/>
              <w:right w:w="0" w:type="dxa"/>
            </w:tcMar>
            <w:vAlign w:val="center"/>
            <w:hideMark/>
          </w:tcPr>
          <w:p w14:paraId="4F7EAFA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75.0</w:t>
            </w:r>
          </w:p>
        </w:tc>
      </w:tr>
      <w:tr w:rsidR="003D796F" w:rsidRPr="003D796F" w14:paraId="0661D458" w14:textId="77777777" w:rsidTr="003D796F">
        <w:tc>
          <w:tcPr>
            <w:tcW w:w="0" w:type="auto"/>
            <w:tcMar>
              <w:top w:w="150" w:type="dxa"/>
              <w:left w:w="0" w:type="dxa"/>
              <w:bottom w:w="150" w:type="dxa"/>
              <w:right w:w="240" w:type="dxa"/>
            </w:tcMar>
            <w:vAlign w:val="center"/>
            <w:hideMark/>
          </w:tcPr>
          <w:p w14:paraId="76BEE7A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4C9D94C"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Healthcare professionals</w:t>
            </w:r>
          </w:p>
        </w:tc>
        <w:tc>
          <w:tcPr>
            <w:tcW w:w="0" w:type="auto"/>
            <w:tcMar>
              <w:top w:w="150" w:type="dxa"/>
              <w:left w:w="240" w:type="dxa"/>
              <w:bottom w:w="150" w:type="dxa"/>
              <w:right w:w="240" w:type="dxa"/>
            </w:tcMar>
            <w:vAlign w:val="center"/>
            <w:hideMark/>
          </w:tcPr>
          <w:p w14:paraId="1EA1F42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18</w:t>
            </w:r>
          </w:p>
        </w:tc>
        <w:tc>
          <w:tcPr>
            <w:tcW w:w="0" w:type="auto"/>
            <w:tcMar>
              <w:top w:w="150" w:type="dxa"/>
              <w:left w:w="240" w:type="dxa"/>
              <w:bottom w:w="150" w:type="dxa"/>
              <w:right w:w="0" w:type="dxa"/>
            </w:tcMar>
            <w:vAlign w:val="center"/>
            <w:hideMark/>
          </w:tcPr>
          <w:p w14:paraId="46214BB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15.0</w:t>
            </w:r>
          </w:p>
        </w:tc>
      </w:tr>
      <w:tr w:rsidR="003D796F" w:rsidRPr="003D796F" w14:paraId="7EF6B2CB" w14:textId="77777777" w:rsidTr="003D796F">
        <w:tc>
          <w:tcPr>
            <w:tcW w:w="0" w:type="auto"/>
            <w:tcMar>
              <w:top w:w="150" w:type="dxa"/>
              <w:left w:w="0" w:type="dxa"/>
              <w:bottom w:w="150" w:type="dxa"/>
              <w:right w:w="240" w:type="dxa"/>
            </w:tcMar>
            <w:vAlign w:val="center"/>
            <w:hideMark/>
          </w:tcPr>
          <w:p w14:paraId="721BDDED"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21DC28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Traditional healers</w:t>
            </w:r>
          </w:p>
        </w:tc>
        <w:tc>
          <w:tcPr>
            <w:tcW w:w="0" w:type="auto"/>
            <w:tcMar>
              <w:top w:w="150" w:type="dxa"/>
              <w:left w:w="240" w:type="dxa"/>
              <w:bottom w:w="150" w:type="dxa"/>
              <w:right w:w="240" w:type="dxa"/>
            </w:tcMar>
            <w:vAlign w:val="center"/>
            <w:hideMark/>
          </w:tcPr>
          <w:p w14:paraId="3ABBE75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12</w:t>
            </w:r>
          </w:p>
        </w:tc>
        <w:tc>
          <w:tcPr>
            <w:tcW w:w="0" w:type="auto"/>
            <w:tcMar>
              <w:top w:w="150" w:type="dxa"/>
              <w:left w:w="240" w:type="dxa"/>
              <w:bottom w:w="150" w:type="dxa"/>
              <w:right w:w="0" w:type="dxa"/>
            </w:tcMar>
            <w:vAlign w:val="center"/>
            <w:hideMark/>
          </w:tcPr>
          <w:p w14:paraId="55A6E6F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10.0</w:t>
            </w:r>
          </w:p>
        </w:tc>
      </w:tr>
    </w:tbl>
    <w:p w14:paraId="593610A1"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Interpretation:</w:t>
      </w:r>
      <w:r w:rsidRPr="003D796F">
        <w:rPr>
          <w:rFonts w:ascii="Times New Roman" w:eastAsia="Times New Roman" w:hAnsi="Times New Roman" w:cs="Times New Roman"/>
          <w:color w:val="0F1115"/>
          <w:kern w:val="0"/>
          <w14:ligatures w14:val="none"/>
        </w:rPr>
        <w:t> The sample was predominantly male (65.0%), young adults aged 20–29 years (42.5%</w:t>
      </w:r>
      <w:proofErr w:type="gramStart"/>
      <w:r w:rsidRPr="003D796F">
        <w:rPr>
          <w:rFonts w:ascii="Times New Roman" w:eastAsia="Times New Roman" w:hAnsi="Times New Roman" w:cs="Times New Roman"/>
          <w:color w:val="0F1115"/>
          <w:kern w:val="0"/>
          <w14:ligatures w14:val="none"/>
        </w:rPr>
        <w:t>), and</w:t>
      </w:r>
      <w:proofErr w:type="gramEnd"/>
      <w:r w:rsidRPr="003D796F">
        <w:rPr>
          <w:rFonts w:ascii="Times New Roman" w:eastAsia="Times New Roman" w:hAnsi="Times New Roman" w:cs="Times New Roman"/>
          <w:color w:val="0F1115"/>
          <w:kern w:val="0"/>
          <w14:ligatures w14:val="none"/>
        </w:rPr>
        <w:t xml:space="preserve"> had secondary or higher education (82.5%). Patients constituted 75% of the sample.</w:t>
      </w:r>
    </w:p>
    <w:p w14:paraId="0A28C623"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3.2. Treatment Types and First Point of Care</w:t>
      </w:r>
    </w:p>
    <w:p w14:paraId="5945D16E"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Table 2 presents treatment types used by patients, and Table 3 shows the first point of care.</w:t>
      </w:r>
    </w:p>
    <w:p w14:paraId="668042F3"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Table 2</w:t>
      </w:r>
      <w:r w:rsidRPr="003D796F">
        <w:rPr>
          <w:rFonts w:ascii="Times New Roman" w:eastAsia="Times New Roman" w:hAnsi="Times New Roman" w:cs="Times New Roman"/>
          <w:color w:val="0F1115"/>
          <w:kern w:val="0"/>
          <w14:ligatures w14:val="none"/>
        </w:rPr>
        <w:br/>
        <w:t>*Treatment Type Used by Patients (N = 90)*</w:t>
      </w:r>
    </w:p>
    <w:tbl>
      <w:tblPr>
        <w:tblW w:w="354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01"/>
        <w:gridCol w:w="690"/>
        <w:gridCol w:w="655"/>
      </w:tblGrid>
      <w:tr w:rsidR="003D796F" w:rsidRPr="003D796F" w14:paraId="6F4D01CC" w14:textId="77777777" w:rsidTr="003D796F">
        <w:trPr>
          <w:tblHeader/>
        </w:trPr>
        <w:tc>
          <w:tcPr>
            <w:tcW w:w="2623" w:type="dxa"/>
            <w:tcBorders>
              <w:top w:val="single" w:sz="4" w:space="0" w:color="auto"/>
              <w:bottom w:val="single" w:sz="4" w:space="0" w:color="auto"/>
            </w:tcBorders>
            <w:tcMar>
              <w:top w:w="150" w:type="dxa"/>
              <w:left w:w="0" w:type="dxa"/>
              <w:bottom w:w="150" w:type="dxa"/>
              <w:right w:w="240" w:type="dxa"/>
            </w:tcMar>
            <w:vAlign w:val="center"/>
            <w:hideMark/>
          </w:tcPr>
          <w:p w14:paraId="619543E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Treatment type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365A2C9D"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3C6E520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w:t>
            </w:r>
          </w:p>
        </w:tc>
      </w:tr>
      <w:tr w:rsidR="003D796F" w:rsidRPr="003D796F" w14:paraId="5A136AE4" w14:textId="77777777" w:rsidTr="003D796F">
        <w:tc>
          <w:tcPr>
            <w:tcW w:w="2623" w:type="dxa"/>
            <w:tcBorders>
              <w:top w:val="single" w:sz="4" w:space="0" w:color="auto"/>
            </w:tcBorders>
            <w:tcMar>
              <w:top w:w="150" w:type="dxa"/>
              <w:left w:w="0" w:type="dxa"/>
              <w:bottom w:w="150" w:type="dxa"/>
              <w:right w:w="240" w:type="dxa"/>
            </w:tcMar>
            <w:vAlign w:val="center"/>
            <w:hideMark/>
          </w:tcPr>
          <w:p w14:paraId="784ADE9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Traditional medicine alone</w:t>
            </w:r>
          </w:p>
        </w:tc>
        <w:tc>
          <w:tcPr>
            <w:tcW w:w="375" w:type="dxa"/>
            <w:tcBorders>
              <w:top w:val="single" w:sz="4" w:space="0" w:color="auto"/>
            </w:tcBorders>
            <w:tcMar>
              <w:top w:w="150" w:type="dxa"/>
              <w:left w:w="240" w:type="dxa"/>
              <w:bottom w:w="150" w:type="dxa"/>
              <w:right w:w="240" w:type="dxa"/>
            </w:tcMar>
            <w:vAlign w:val="center"/>
            <w:hideMark/>
          </w:tcPr>
          <w:p w14:paraId="6B4A9E9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42</w:t>
            </w:r>
          </w:p>
        </w:tc>
        <w:tc>
          <w:tcPr>
            <w:tcW w:w="548" w:type="dxa"/>
            <w:tcBorders>
              <w:top w:val="single" w:sz="4" w:space="0" w:color="auto"/>
            </w:tcBorders>
            <w:tcMar>
              <w:top w:w="150" w:type="dxa"/>
              <w:left w:w="240" w:type="dxa"/>
              <w:bottom w:w="150" w:type="dxa"/>
              <w:right w:w="0" w:type="dxa"/>
            </w:tcMar>
            <w:vAlign w:val="center"/>
            <w:hideMark/>
          </w:tcPr>
          <w:p w14:paraId="28B24525"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46.7</w:t>
            </w:r>
          </w:p>
        </w:tc>
      </w:tr>
      <w:tr w:rsidR="003D796F" w:rsidRPr="003D796F" w14:paraId="3C4EF764" w14:textId="77777777" w:rsidTr="003D796F">
        <w:tc>
          <w:tcPr>
            <w:tcW w:w="2623" w:type="dxa"/>
            <w:tcMar>
              <w:top w:w="150" w:type="dxa"/>
              <w:left w:w="0" w:type="dxa"/>
              <w:bottom w:w="150" w:type="dxa"/>
              <w:right w:w="240" w:type="dxa"/>
            </w:tcMar>
            <w:vAlign w:val="center"/>
            <w:hideMark/>
          </w:tcPr>
          <w:p w14:paraId="35F88D7D"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Modern medicine alone</w:t>
            </w:r>
          </w:p>
        </w:tc>
        <w:tc>
          <w:tcPr>
            <w:tcW w:w="375" w:type="dxa"/>
            <w:tcMar>
              <w:top w:w="150" w:type="dxa"/>
              <w:left w:w="240" w:type="dxa"/>
              <w:bottom w:w="150" w:type="dxa"/>
              <w:right w:w="240" w:type="dxa"/>
            </w:tcMar>
            <w:vAlign w:val="center"/>
            <w:hideMark/>
          </w:tcPr>
          <w:p w14:paraId="1B58B40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20</w:t>
            </w:r>
          </w:p>
        </w:tc>
        <w:tc>
          <w:tcPr>
            <w:tcW w:w="548" w:type="dxa"/>
            <w:tcMar>
              <w:top w:w="150" w:type="dxa"/>
              <w:left w:w="240" w:type="dxa"/>
              <w:bottom w:w="150" w:type="dxa"/>
              <w:right w:w="0" w:type="dxa"/>
            </w:tcMar>
            <w:vAlign w:val="center"/>
            <w:hideMark/>
          </w:tcPr>
          <w:p w14:paraId="34FF2C3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22.2</w:t>
            </w:r>
          </w:p>
        </w:tc>
      </w:tr>
      <w:tr w:rsidR="003D796F" w:rsidRPr="003D796F" w14:paraId="5FF4766F" w14:textId="77777777" w:rsidTr="003D796F">
        <w:tc>
          <w:tcPr>
            <w:tcW w:w="2623" w:type="dxa"/>
            <w:tcMar>
              <w:top w:w="150" w:type="dxa"/>
              <w:left w:w="0" w:type="dxa"/>
              <w:bottom w:w="150" w:type="dxa"/>
              <w:right w:w="240" w:type="dxa"/>
            </w:tcMar>
            <w:vAlign w:val="center"/>
            <w:hideMark/>
          </w:tcPr>
          <w:p w14:paraId="3C759BE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Integrated approach (both)</w:t>
            </w:r>
          </w:p>
        </w:tc>
        <w:tc>
          <w:tcPr>
            <w:tcW w:w="375" w:type="dxa"/>
            <w:tcMar>
              <w:top w:w="150" w:type="dxa"/>
              <w:left w:w="240" w:type="dxa"/>
              <w:bottom w:w="150" w:type="dxa"/>
              <w:right w:w="240" w:type="dxa"/>
            </w:tcMar>
            <w:vAlign w:val="center"/>
            <w:hideMark/>
          </w:tcPr>
          <w:p w14:paraId="06E9FDC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28</w:t>
            </w:r>
          </w:p>
        </w:tc>
        <w:tc>
          <w:tcPr>
            <w:tcW w:w="548" w:type="dxa"/>
            <w:tcMar>
              <w:top w:w="150" w:type="dxa"/>
              <w:left w:w="240" w:type="dxa"/>
              <w:bottom w:w="150" w:type="dxa"/>
              <w:right w:w="0" w:type="dxa"/>
            </w:tcMar>
            <w:vAlign w:val="center"/>
            <w:hideMark/>
          </w:tcPr>
          <w:p w14:paraId="59BA6D0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31.1</w:t>
            </w:r>
          </w:p>
        </w:tc>
      </w:tr>
    </w:tbl>
    <w:p w14:paraId="40706D92"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lastRenderedPageBreak/>
        <w:t>Table 3</w:t>
      </w:r>
      <w:r w:rsidRPr="003D796F">
        <w:rPr>
          <w:rFonts w:ascii="Times New Roman" w:eastAsia="Times New Roman" w:hAnsi="Times New Roman" w:cs="Times New Roman"/>
          <w:color w:val="0F1115"/>
          <w:kern w:val="0"/>
          <w14:ligatures w14:val="none"/>
        </w:rPr>
        <w:br/>
        <w:t>*First Point of Care for Fracture Patients (N = 90)*</w:t>
      </w:r>
    </w:p>
    <w:tbl>
      <w:tblPr>
        <w:tblW w:w="3093"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48"/>
        <w:gridCol w:w="690"/>
        <w:gridCol w:w="655"/>
      </w:tblGrid>
      <w:tr w:rsidR="003D796F" w:rsidRPr="003D796F" w14:paraId="6F4EB58E" w14:textId="77777777" w:rsidTr="003D796F">
        <w:trPr>
          <w:tblHeader/>
        </w:trPr>
        <w:tc>
          <w:tcPr>
            <w:tcW w:w="2170" w:type="dxa"/>
            <w:tcBorders>
              <w:top w:val="single" w:sz="4" w:space="0" w:color="auto"/>
              <w:bottom w:val="single" w:sz="4" w:space="0" w:color="auto"/>
            </w:tcBorders>
            <w:tcMar>
              <w:top w:w="150" w:type="dxa"/>
              <w:left w:w="0" w:type="dxa"/>
              <w:bottom w:w="150" w:type="dxa"/>
              <w:right w:w="240" w:type="dxa"/>
            </w:tcMar>
            <w:vAlign w:val="center"/>
            <w:hideMark/>
          </w:tcPr>
          <w:p w14:paraId="34284D6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First point of care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092F7B8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7DA2F2E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w:t>
            </w:r>
          </w:p>
        </w:tc>
      </w:tr>
      <w:tr w:rsidR="003D796F" w:rsidRPr="003D796F" w14:paraId="43A3D05E" w14:textId="77777777" w:rsidTr="003D796F">
        <w:tc>
          <w:tcPr>
            <w:tcW w:w="2170" w:type="dxa"/>
            <w:tcBorders>
              <w:top w:val="single" w:sz="4" w:space="0" w:color="auto"/>
            </w:tcBorders>
            <w:tcMar>
              <w:top w:w="150" w:type="dxa"/>
              <w:left w:w="0" w:type="dxa"/>
              <w:bottom w:w="150" w:type="dxa"/>
              <w:right w:w="240" w:type="dxa"/>
            </w:tcMar>
            <w:vAlign w:val="center"/>
            <w:hideMark/>
          </w:tcPr>
          <w:p w14:paraId="3997F6A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Traditional healer</w:t>
            </w:r>
          </w:p>
        </w:tc>
        <w:tc>
          <w:tcPr>
            <w:tcW w:w="375" w:type="dxa"/>
            <w:tcBorders>
              <w:top w:val="single" w:sz="4" w:space="0" w:color="auto"/>
            </w:tcBorders>
            <w:tcMar>
              <w:top w:w="150" w:type="dxa"/>
              <w:left w:w="240" w:type="dxa"/>
              <w:bottom w:w="150" w:type="dxa"/>
              <w:right w:w="240" w:type="dxa"/>
            </w:tcMar>
            <w:vAlign w:val="center"/>
            <w:hideMark/>
          </w:tcPr>
          <w:p w14:paraId="15DE5E6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53</w:t>
            </w:r>
          </w:p>
        </w:tc>
        <w:tc>
          <w:tcPr>
            <w:tcW w:w="548" w:type="dxa"/>
            <w:tcBorders>
              <w:top w:val="single" w:sz="4" w:space="0" w:color="auto"/>
            </w:tcBorders>
            <w:tcMar>
              <w:top w:w="150" w:type="dxa"/>
              <w:left w:w="240" w:type="dxa"/>
              <w:bottom w:w="150" w:type="dxa"/>
              <w:right w:w="0" w:type="dxa"/>
            </w:tcMar>
            <w:vAlign w:val="center"/>
            <w:hideMark/>
          </w:tcPr>
          <w:p w14:paraId="0ED95BC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58.9</w:t>
            </w:r>
          </w:p>
        </w:tc>
      </w:tr>
      <w:tr w:rsidR="003D796F" w:rsidRPr="003D796F" w14:paraId="4365649C" w14:textId="77777777" w:rsidTr="003D796F">
        <w:tc>
          <w:tcPr>
            <w:tcW w:w="2170" w:type="dxa"/>
            <w:tcMar>
              <w:top w:w="150" w:type="dxa"/>
              <w:left w:w="0" w:type="dxa"/>
              <w:bottom w:w="150" w:type="dxa"/>
              <w:right w:w="240" w:type="dxa"/>
            </w:tcMar>
            <w:vAlign w:val="center"/>
            <w:hideMark/>
          </w:tcPr>
          <w:p w14:paraId="7E7D7A8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Hospital/health center</w:t>
            </w:r>
          </w:p>
        </w:tc>
        <w:tc>
          <w:tcPr>
            <w:tcW w:w="375" w:type="dxa"/>
            <w:tcMar>
              <w:top w:w="150" w:type="dxa"/>
              <w:left w:w="240" w:type="dxa"/>
              <w:bottom w:w="150" w:type="dxa"/>
              <w:right w:w="240" w:type="dxa"/>
            </w:tcMar>
            <w:vAlign w:val="center"/>
            <w:hideMark/>
          </w:tcPr>
          <w:p w14:paraId="2ED2080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37</w:t>
            </w:r>
          </w:p>
        </w:tc>
        <w:tc>
          <w:tcPr>
            <w:tcW w:w="548" w:type="dxa"/>
            <w:tcMar>
              <w:top w:w="150" w:type="dxa"/>
              <w:left w:w="240" w:type="dxa"/>
              <w:bottom w:w="150" w:type="dxa"/>
              <w:right w:w="0" w:type="dxa"/>
            </w:tcMar>
            <w:vAlign w:val="center"/>
            <w:hideMark/>
          </w:tcPr>
          <w:p w14:paraId="4A8AA19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41.1</w:t>
            </w:r>
          </w:p>
        </w:tc>
      </w:tr>
    </w:tbl>
    <w:p w14:paraId="23D19734"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Interpretation:</w:t>
      </w:r>
      <w:r w:rsidRPr="003D796F">
        <w:rPr>
          <w:rFonts w:ascii="Times New Roman" w:eastAsia="Times New Roman" w:hAnsi="Times New Roman" w:cs="Times New Roman"/>
          <w:color w:val="0F1115"/>
          <w:kern w:val="0"/>
          <w14:ligatures w14:val="none"/>
        </w:rPr>
        <w:t> Nearly half of patients (46.7%) used traditional medicine exclusively, and 58.9% consulted a traditional healer first, indicating strong community trust in traditional practitioners.</w:t>
      </w:r>
    </w:p>
    <w:p w14:paraId="3AA27A43"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3.3. Clinical Outcomes and Complications</w:t>
      </w:r>
    </w:p>
    <w:p w14:paraId="0639240D"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Table 4 presents clinical outcomes, and Table 5 shows complications observed.</w:t>
      </w:r>
    </w:p>
    <w:p w14:paraId="5928B3AE"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Table 4</w:t>
      </w:r>
      <w:r w:rsidRPr="003D796F">
        <w:rPr>
          <w:rFonts w:ascii="Times New Roman" w:eastAsia="Times New Roman" w:hAnsi="Times New Roman" w:cs="Times New Roman"/>
          <w:color w:val="0F1115"/>
          <w:kern w:val="0"/>
          <w14:ligatures w14:val="none"/>
        </w:rPr>
        <w:br/>
        <w:t>*Clinical Outcomes of Fracture Management (N = 90)*</w:t>
      </w:r>
    </w:p>
    <w:tbl>
      <w:tblPr>
        <w:tblW w:w="396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17"/>
        <w:gridCol w:w="690"/>
        <w:gridCol w:w="655"/>
      </w:tblGrid>
      <w:tr w:rsidR="003D796F" w:rsidRPr="003D796F" w14:paraId="34B5A63C" w14:textId="77777777" w:rsidTr="003D796F">
        <w:trPr>
          <w:tblHeader/>
        </w:trPr>
        <w:tc>
          <w:tcPr>
            <w:tcW w:w="3039" w:type="dxa"/>
            <w:tcBorders>
              <w:top w:val="single" w:sz="4" w:space="0" w:color="auto"/>
              <w:bottom w:val="single" w:sz="4" w:space="0" w:color="auto"/>
            </w:tcBorders>
            <w:tcMar>
              <w:top w:w="150" w:type="dxa"/>
              <w:left w:w="0" w:type="dxa"/>
              <w:bottom w:w="150" w:type="dxa"/>
              <w:right w:w="240" w:type="dxa"/>
            </w:tcMar>
            <w:vAlign w:val="center"/>
            <w:hideMark/>
          </w:tcPr>
          <w:p w14:paraId="0981F37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Outcome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5965696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228A74F5"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w:t>
            </w:r>
          </w:p>
        </w:tc>
      </w:tr>
      <w:tr w:rsidR="003D796F" w:rsidRPr="003D796F" w14:paraId="7EEBCE15" w14:textId="77777777" w:rsidTr="003D796F">
        <w:tc>
          <w:tcPr>
            <w:tcW w:w="3039" w:type="dxa"/>
            <w:tcBorders>
              <w:top w:val="single" w:sz="4" w:space="0" w:color="auto"/>
            </w:tcBorders>
            <w:tcMar>
              <w:top w:w="150" w:type="dxa"/>
              <w:left w:w="0" w:type="dxa"/>
              <w:bottom w:w="150" w:type="dxa"/>
              <w:right w:w="240" w:type="dxa"/>
            </w:tcMar>
            <w:vAlign w:val="center"/>
            <w:hideMark/>
          </w:tcPr>
          <w:p w14:paraId="37B70D5C"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Complete recovery</w:t>
            </w:r>
          </w:p>
        </w:tc>
        <w:tc>
          <w:tcPr>
            <w:tcW w:w="375" w:type="dxa"/>
            <w:tcBorders>
              <w:top w:val="single" w:sz="4" w:space="0" w:color="auto"/>
            </w:tcBorders>
            <w:tcMar>
              <w:top w:w="150" w:type="dxa"/>
              <w:left w:w="240" w:type="dxa"/>
              <w:bottom w:w="150" w:type="dxa"/>
              <w:right w:w="240" w:type="dxa"/>
            </w:tcMar>
            <w:vAlign w:val="center"/>
            <w:hideMark/>
          </w:tcPr>
          <w:p w14:paraId="048859C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45</w:t>
            </w:r>
          </w:p>
        </w:tc>
        <w:tc>
          <w:tcPr>
            <w:tcW w:w="548" w:type="dxa"/>
            <w:tcBorders>
              <w:top w:val="single" w:sz="4" w:space="0" w:color="auto"/>
            </w:tcBorders>
            <w:tcMar>
              <w:top w:w="150" w:type="dxa"/>
              <w:left w:w="240" w:type="dxa"/>
              <w:bottom w:w="150" w:type="dxa"/>
              <w:right w:w="0" w:type="dxa"/>
            </w:tcMar>
            <w:vAlign w:val="center"/>
            <w:hideMark/>
          </w:tcPr>
          <w:p w14:paraId="7DE96C4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50.0</w:t>
            </w:r>
          </w:p>
        </w:tc>
      </w:tr>
      <w:tr w:rsidR="003D796F" w:rsidRPr="003D796F" w14:paraId="4B831F95" w14:textId="77777777" w:rsidTr="003D796F">
        <w:tc>
          <w:tcPr>
            <w:tcW w:w="3039" w:type="dxa"/>
            <w:tcMar>
              <w:top w:w="150" w:type="dxa"/>
              <w:left w:w="0" w:type="dxa"/>
              <w:bottom w:w="150" w:type="dxa"/>
              <w:right w:w="240" w:type="dxa"/>
            </w:tcMar>
            <w:vAlign w:val="center"/>
            <w:hideMark/>
          </w:tcPr>
          <w:p w14:paraId="374E0A3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Recovery with sequelae</w:t>
            </w:r>
          </w:p>
        </w:tc>
        <w:tc>
          <w:tcPr>
            <w:tcW w:w="375" w:type="dxa"/>
            <w:tcMar>
              <w:top w:w="150" w:type="dxa"/>
              <w:left w:w="240" w:type="dxa"/>
              <w:bottom w:w="150" w:type="dxa"/>
              <w:right w:w="240" w:type="dxa"/>
            </w:tcMar>
            <w:vAlign w:val="center"/>
            <w:hideMark/>
          </w:tcPr>
          <w:p w14:paraId="47EAD34C"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10</w:t>
            </w:r>
          </w:p>
        </w:tc>
        <w:tc>
          <w:tcPr>
            <w:tcW w:w="548" w:type="dxa"/>
            <w:tcMar>
              <w:top w:w="150" w:type="dxa"/>
              <w:left w:w="240" w:type="dxa"/>
              <w:bottom w:w="150" w:type="dxa"/>
              <w:right w:w="0" w:type="dxa"/>
            </w:tcMar>
            <w:vAlign w:val="center"/>
            <w:hideMark/>
          </w:tcPr>
          <w:p w14:paraId="16B8D2F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11.1</w:t>
            </w:r>
          </w:p>
        </w:tc>
      </w:tr>
      <w:tr w:rsidR="003D796F" w:rsidRPr="003D796F" w14:paraId="426310A8" w14:textId="77777777" w:rsidTr="003D796F">
        <w:tc>
          <w:tcPr>
            <w:tcW w:w="3039" w:type="dxa"/>
            <w:tcMar>
              <w:top w:w="150" w:type="dxa"/>
              <w:left w:w="0" w:type="dxa"/>
              <w:bottom w:w="150" w:type="dxa"/>
              <w:right w:w="240" w:type="dxa"/>
            </w:tcMar>
            <w:vAlign w:val="center"/>
            <w:hideMark/>
          </w:tcPr>
          <w:p w14:paraId="005F71A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Complications</w:t>
            </w:r>
          </w:p>
        </w:tc>
        <w:tc>
          <w:tcPr>
            <w:tcW w:w="375" w:type="dxa"/>
            <w:tcMar>
              <w:top w:w="150" w:type="dxa"/>
              <w:left w:w="240" w:type="dxa"/>
              <w:bottom w:w="150" w:type="dxa"/>
              <w:right w:w="240" w:type="dxa"/>
            </w:tcMar>
            <w:vAlign w:val="center"/>
            <w:hideMark/>
          </w:tcPr>
          <w:p w14:paraId="68978A9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31</w:t>
            </w:r>
          </w:p>
        </w:tc>
        <w:tc>
          <w:tcPr>
            <w:tcW w:w="548" w:type="dxa"/>
            <w:tcMar>
              <w:top w:w="150" w:type="dxa"/>
              <w:left w:w="240" w:type="dxa"/>
              <w:bottom w:w="150" w:type="dxa"/>
              <w:right w:w="0" w:type="dxa"/>
            </w:tcMar>
            <w:vAlign w:val="center"/>
            <w:hideMark/>
          </w:tcPr>
          <w:p w14:paraId="18AD109D"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34.4</w:t>
            </w:r>
          </w:p>
        </w:tc>
      </w:tr>
      <w:tr w:rsidR="003D796F" w:rsidRPr="003D796F" w14:paraId="25D274C7" w14:textId="77777777" w:rsidTr="003D796F">
        <w:tc>
          <w:tcPr>
            <w:tcW w:w="3039" w:type="dxa"/>
            <w:tcMar>
              <w:top w:w="150" w:type="dxa"/>
              <w:left w:w="0" w:type="dxa"/>
              <w:bottom w:w="150" w:type="dxa"/>
              <w:right w:w="240" w:type="dxa"/>
            </w:tcMar>
            <w:vAlign w:val="center"/>
            <w:hideMark/>
          </w:tcPr>
          <w:p w14:paraId="6D82CAA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Ongoing treatment (not healed)</w:t>
            </w:r>
          </w:p>
        </w:tc>
        <w:tc>
          <w:tcPr>
            <w:tcW w:w="375" w:type="dxa"/>
            <w:tcMar>
              <w:top w:w="150" w:type="dxa"/>
              <w:left w:w="240" w:type="dxa"/>
              <w:bottom w:w="150" w:type="dxa"/>
              <w:right w:w="240" w:type="dxa"/>
            </w:tcMar>
            <w:vAlign w:val="center"/>
            <w:hideMark/>
          </w:tcPr>
          <w:p w14:paraId="4DA56FC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w:t>
            </w:r>
          </w:p>
        </w:tc>
        <w:tc>
          <w:tcPr>
            <w:tcW w:w="548" w:type="dxa"/>
            <w:tcMar>
              <w:top w:w="150" w:type="dxa"/>
              <w:left w:w="240" w:type="dxa"/>
              <w:bottom w:w="150" w:type="dxa"/>
              <w:right w:w="0" w:type="dxa"/>
            </w:tcMar>
            <w:vAlign w:val="center"/>
            <w:hideMark/>
          </w:tcPr>
          <w:p w14:paraId="5EBD78DC"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4.5</w:t>
            </w:r>
          </w:p>
        </w:tc>
      </w:tr>
    </w:tbl>
    <w:p w14:paraId="15D6BC81"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Table 5</w:t>
      </w:r>
      <w:r w:rsidRPr="003D796F">
        <w:rPr>
          <w:rFonts w:ascii="Times New Roman" w:eastAsia="Times New Roman" w:hAnsi="Times New Roman" w:cs="Times New Roman"/>
          <w:color w:val="0F1115"/>
          <w:kern w:val="0"/>
          <w14:ligatures w14:val="none"/>
        </w:rPr>
        <w:br/>
        <w:t>*Types of Complications Observed (N = 90)*</w:t>
      </w:r>
    </w:p>
    <w:tbl>
      <w:tblPr>
        <w:tblW w:w="280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55"/>
        <w:gridCol w:w="690"/>
        <w:gridCol w:w="655"/>
      </w:tblGrid>
      <w:tr w:rsidR="003D796F" w:rsidRPr="003D796F" w14:paraId="5F157DC7" w14:textId="77777777" w:rsidTr="003D796F">
        <w:trPr>
          <w:tblHeader/>
        </w:trPr>
        <w:tc>
          <w:tcPr>
            <w:tcW w:w="1877" w:type="dxa"/>
            <w:tcBorders>
              <w:top w:val="single" w:sz="4" w:space="0" w:color="auto"/>
              <w:bottom w:val="single" w:sz="4" w:space="0" w:color="auto"/>
            </w:tcBorders>
            <w:tcMar>
              <w:top w:w="150" w:type="dxa"/>
              <w:left w:w="0" w:type="dxa"/>
              <w:bottom w:w="150" w:type="dxa"/>
              <w:right w:w="240" w:type="dxa"/>
            </w:tcMar>
            <w:vAlign w:val="center"/>
            <w:hideMark/>
          </w:tcPr>
          <w:p w14:paraId="6A0A5BE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lastRenderedPageBreak/>
              <w:t>Complication type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2A74B23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59E5C72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w:t>
            </w:r>
          </w:p>
        </w:tc>
      </w:tr>
      <w:tr w:rsidR="003D796F" w:rsidRPr="003D796F" w14:paraId="747F2AC6" w14:textId="77777777" w:rsidTr="003D796F">
        <w:tc>
          <w:tcPr>
            <w:tcW w:w="1877" w:type="dxa"/>
            <w:tcBorders>
              <w:top w:val="single" w:sz="4" w:space="0" w:color="auto"/>
            </w:tcBorders>
            <w:tcMar>
              <w:top w:w="150" w:type="dxa"/>
              <w:left w:w="0" w:type="dxa"/>
              <w:bottom w:w="150" w:type="dxa"/>
              <w:right w:w="240" w:type="dxa"/>
            </w:tcMar>
            <w:vAlign w:val="center"/>
            <w:hideMark/>
          </w:tcPr>
          <w:p w14:paraId="568722F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Poor consolidation</w:t>
            </w:r>
          </w:p>
        </w:tc>
        <w:tc>
          <w:tcPr>
            <w:tcW w:w="375" w:type="dxa"/>
            <w:tcBorders>
              <w:top w:val="single" w:sz="4" w:space="0" w:color="auto"/>
            </w:tcBorders>
            <w:tcMar>
              <w:top w:w="150" w:type="dxa"/>
              <w:left w:w="240" w:type="dxa"/>
              <w:bottom w:w="150" w:type="dxa"/>
              <w:right w:w="240" w:type="dxa"/>
            </w:tcMar>
            <w:vAlign w:val="center"/>
            <w:hideMark/>
          </w:tcPr>
          <w:p w14:paraId="1956531A"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7</w:t>
            </w:r>
          </w:p>
        </w:tc>
        <w:tc>
          <w:tcPr>
            <w:tcW w:w="548" w:type="dxa"/>
            <w:tcBorders>
              <w:top w:val="single" w:sz="4" w:space="0" w:color="auto"/>
            </w:tcBorders>
            <w:tcMar>
              <w:top w:w="150" w:type="dxa"/>
              <w:left w:w="240" w:type="dxa"/>
              <w:bottom w:w="150" w:type="dxa"/>
              <w:right w:w="0" w:type="dxa"/>
            </w:tcMar>
            <w:vAlign w:val="center"/>
            <w:hideMark/>
          </w:tcPr>
          <w:p w14:paraId="1FBEC45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7.8</w:t>
            </w:r>
          </w:p>
        </w:tc>
      </w:tr>
      <w:tr w:rsidR="003D796F" w:rsidRPr="003D796F" w14:paraId="63DE5DF8" w14:textId="77777777" w:rsidTr="003D796F">
        <w:tc>
          <w:tcPr>
            <w:tcW w:w="1877" w:type="dxa"/>
            <w:tcMar>
              <w:top w:w="150" w:type="dxa"/>
              <w:left w:w="0" w:type="dxa"/>
              <w:bottom w:w="150" w:type="dxa"/>
              <w:right w:w="240" w:type="dxa"/>
            </w:tcMar>
            <w:vAlign w:val="center"/>
            <w:hideMark/>
          </w:tcPr>
          <w:p w14:paraId="4D98E0B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Limb deformation</w:t>
            </w:r>
          </w:p>
        </w:tc>
        <w:tc>
          <w:tcPr>
            <w:tcW w:w="375" w:type="dxa"/>
            <w:tcMar>
              <w:top w:w="150" w:type="dxa"/>
              <w:left w:w="240" w:type="dxa"/>
              <w:bottom w:w="150" w:type="dxa"/>
              <w:right w:w="240" w:type="dxa"/>
            </w:tcMar>
            <w:vAlign w:val="center"/>
            <w:hideMark/>
          </w:tcPr>
          <w:p w14:paraId="7CF1D72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w:t>
            </w:r>
          </w:p>
        </w:tc>
        <w:tc>
          <w:tcPr>
            <w:tcW w:w="548" w:type="dxa"/>
            <w:tcMar>
              <w:top w:w="150" w:type="dxa"/>
              <w:left w:w="240" w:type="dxa"/>
              <w:bottom w:w="150" w:type="dxa"/>
              <w:right w:w="0" w:type="dxa"/>
            </w:tcMar>
            <w:vAlign w:val="center"/>
            <w:hideMark/>
          </w:tcPr>
          <w:p w14:paraId="64D8952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4.4</w:t>
            </w:r>
          </w:p>
        </w:tc>
      </w:tr>
      <w:tr w:rsidR="003D796F" w:rsidRPr="003D796F" w14:paraId="70024AF5" w14:textId="77777777" w:rsidTr="003D796F">
        <w:tc>
          <w:tcPr>
            <w:tcW w:w="1877" w:type="dxa"/>
            <w:tcMar>
              <w:top w:w="150" w:type="dxa"/>
              <w:left w:w="0" w:type="dxa"/>
              <w:bottom w:w="150" w:type="dxa"/>
              <w:right w:w="240" w:type="dxa"/>
            </w:tcMar>
            <w:vAlign w:val="center"/>
            <w:hideMark/>
          </w:tcPr>
          <w:p w14:paraId="64C7CF6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Persistent pain</w:t>
            </w:r>
          </w:p>
        </w:tc>
        <w:tc>
          <w:tcPr>
            <w:tcW w:w="375" w:type="dxa"/>
            <w:tcMar>
              <w:top w:w="150" w:type="dxa"/>
              <w:left w:w="240" w:type="dxa"/>
              <w:bottom w:w="150" w:type="dxa"/>
              <w:right w:w="240" w:type="dxa"/>
            </w:tcMar>
            <w:vAlign w:val="center"/>
            <w:hideMark/>
          </w:tcPr>
          <w:p w14:paraId="606C9A3A"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8</w:t>
            </w:r>
          </w:p>
        </w:tc>
        <w:tc>
          <w:tcPr>
            <w:tcW w:w="548" w:type="dxa"/>
            <w:tcMar>
              <w:top w:w="150" w:type="dxa"/>
              <w:left w:w="240" w:type="dxa"/>
              <w:bottom w:w="150" w:type="dxa"/>
              <w:right w:w="0" w:type="dxa"/>
            </w:tcMar>
            <w:vAlign w:val="center"/>
            <w:hideMark/>
          </w:tcPr>
          <w:p w14:paraId="41658DE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8.9</w:t>
            </w:r>
          </w:p>
        </w:tc>
      </w:tr>
      <w:tr w:rsidR="003D796F" w:rsidRPr="003D796F" w14:paraId="3217087A" w14:textId="77777777" w:rsidTr="003D796F">
        <w:tc>
          <w:tcPr>
            <w:tcW w:w="1877" w:type="dxa"/>
            <w:tcMar>
              <w:top w:w="150" w:type="dxa"/>
              <w:left w:w="0" w:type="dxa"/>
              <w:bottom w:w="150" w:type="dxa"/>
              <w:right w:w="240" w:type="dxa"/>
            </w:tcMar>
            <w:vAlign w:val="center"/>
            <w:hideMark/>
          </w:tcPr>
          <w:p w14:paraId="230289F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No complications</w:t>
            </w:r>
          </w:p>
        </w:tc>
        <w:tc>
          <w:tcPr>
            <w:tcW w:w="375" w:type="dxa"/>
            <w:tcMar>
              <w:top w:w="150" w:type="dxa"/>
              <w:left w:w="240" w:type="dxa"/>
              <w:bottom w:w="150" w:type="dxa"/>
              <w:right w:w="240" w:type="dxa"/>
            </w:tcMar>
            <w:vAlign w:val="center"/>
            <w:hideMark/>
          </w:tcPr>
          <w:p w14:paraId="3374D22E"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59</w:t>
            </w:r>
          </w:p>
        </w:tc>
        <w:tc>
          <w:tcPr>
            <w:tcW w:w="548" w:type="dxa"/>
            <w:tcMar>
              <w:top w:w="150" w:type="dxa"/>
              <w:left w:w="240" w:type="dxa"/>
              <w:bottom w:w="150" w:type="dxa"/>
              <w:right w:w="0" w:type="dxa"/>
            </w:tcMar>
            <w:vAlign w:val="center"/>
            <w:hideMark/>
          </w:tcPr>
          <w:p w14:paraId="23B000A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65.6</w:t>
            </w:r>
          </w:p>
        </w:tc>
      </w:tr>
    </w:tbl>
    <w:p w14:paraId="38ACEE10"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Interpretation:</w:t>
      </w:r>
      <w:r w:rsidRPr="003D796F">
        <w:rPr>
          <w:rFonts w:ascii="Times New Roman" w:eastAsia="Times New Roman" w:hAnsi="Times New Roman" w:cs="Times New Roman"/>
          <w:color w:val="0F1115"/>
          <w:kern w:val="0"/>
          <w14:ligatures w14:val="none"/>
        </w:rPr>
        <w:t> While 50% achieved complete recovery, 34.4% experienced complications, with persistent pain (8.9%) and poor consolidation (7.8%) being most common.</w:t>
      </w:r>
    </w:p>
    <w:p w14:paraId="5D35A910"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3.4. Association Between Treatment Type and Clinical Outcomes</w:t>
      </w:r>
    </w:p>
    <w:p w14:paraId="6EA3AF10"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Table 6 presents the cross-tabulation between treatment type and clinical outcomes.</w:t>
      </w:r>
    </w:p>
    <w:p w14:paraId="187FFA5E"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Table 6</w:t>
      </w:r>
      <w:r w:rsidRPr="003D796F">
        <w:rPr>
          <w:rFonts w:ascii="Times New Roman" w:eastAsia="Times New Roman" w:hAnsi="Times New Roman" w:cs="Times New Roman"/>
          <w:color w:val="0F1115"/>
          <w:kern w:val="0"/>
          <w14:ligatures w14:val="none"/>
        </w:rPr>
        <w:br/>
        <w:t>*Cross-Tabulation: Treatment Type vs. Clinical Outcomes (N = 90)*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23"/>
        <w:gridCol w:w="2476"/>
        <w:gridCol w:w="2062"/>
        <w:gridCol w:w="924"/>
      </w:tblGrid>
      <w:tr w:rsidR="003D796F" w:rsidRPr="003D796F" w14:paraId="6AF73594" w14:textId="77777777" w:rsidTr="003D796F">
        <w:trPr>
          <w:tblHeader/>
        </w:trPr>
        <w:tc>
          <w:tcPr>
            <w:tcW w:w="2623" w:type="dxa"/>
            <w:tcBorders>
              <w:top w:val="single" w:sz="4" w:space="0" w:color="auto"/>
              <w:bottom w:val="single" w:sz="4" w:space="0" w:color="auto"/>
            </w:tcBorders>
            <w:tcMar>
              <w:top w:w="150" w:type="dxa"/>
              <w:left w:w="0" w:type="dxa"/>
              <w:bottom w:w="150" w:type="dxa"/>
              <w:right w:w="240" w:type="dxa"/>
            </w:tcMar>
            <w:vAlign w:val="center"/>
            <w:hideMark/>
          </w:tcPr>
          <w:p w14:paraId="00B49DE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Treatment type</w:t>
            </w:r>
          </w:p>
        </w:tc>
        <w:tc>
          <w:tcPr>
            <w:tcW w:w="2476" w:type="dxa"/>
            <w:tcBorders>
              <w:top w:val="single" w:sz="4" w:space="0" w:color="auto"/>
              <w:bottom w:val="single" w:sz="4" w:space="0" w:color="auto"/>
            </w:tcBorders>
            <w:tcMar>
              <w:top w:w="150" w:type="dxa"/>
              <w:left w:w="240" w:type="dxa"/>
              <w:bottom w:w="150" w:type="dxa"/>
              <w:right w:w="240" w:type="dxa"/>
            </w:tcMar>
            <w:vAlign w:val="center"/>
            <w:hideMark/>
          </w:tcPr>
          <w:p w14:paraId="2C1956E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Complete recovery n (%)</w:t>
            </w:r>
          </w:p>
        </w:tc>
        <w:tc>
          <w:tcPr>
            <w:tcW w:w="2062" w:type="dxa"/>
            <w:tcBorders>
              <w:top w:val="single" w:sz="4" w:space="0" w:color="auto"/>
              <w:bottom w:val="single" w:sz="4" w:space="0" w:color="auto"/>
            </w:tcBorders>
            <w:tcMar>
              <w:top w:w="150" w:type="dxa"/>
              <w:left w:w="240" w:type="dxa"/>
              <w:bottom w:w="150" w:type="dxa"/>
              <w:right w:w="240" w:type="dxa"/>
            </w:tcMar>
            <w:vAlign w:val="center"/>
            <w:hideMark/>
          </w:tcPr>
          <w:p w14:paraId="6328463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Complications n (%)</w:t>
            </w:r>
          </w:p>
        </w:tc>
        <w:tc>
          <w:tcPr>
            <w:tcW w:w="631" w:type="dxa"/>
            <w:tcBorders>
              <w:top w:val="single" w:sz="4" w:space="0" w:color="auto"/>
              <w:bottom w:val="single" w:sz="4" w:space="0" w:color="auto"/>
            </w:tcBorders>
            <w:tcMar>
              <w:top w:w="150" w:type="dxa"/>
              <w:left w:w="240" w:type="dxa"/>
              <w:bottom w:w="150" w:type="dxa"/>
              <w:right w:w="240" w:type="dxa"/>
            </w:tcMar>
            <w:vAlign w:val="center"/>
            <w:hideMark/>
          </w:tcPr>
          <w:p w14:paraId="1B1AB75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Total</w:t>
            </w:r>
          </w:p>
        </w:tc>
      </w:tr>
      <w:tr w:rsidR="003D796F" w:rsidRPr="003D796F" w14:paraId="6F7BA139" w14:textId="77777777" w:rsidTr="003D796F">
        <w:tc>
          <w:tcPr>
            <w:tcW w:w="2623" w:type="dxa"/>
            <w:tcBorders>
              <w:top w:val="single" w:sz="4" w:space="0" w:color="auto"/>
            </w:tcBorders>
            <w:tcMar>
              <w:top w:w="150" w:type="dxa"/>
              <w:left w:w="0" w:type="dxa"/>
              <w:bottom w:w="150" w:type="dxa"/>
              <w:right w:w="240" w:type="dxa"/>
            </w:tcMar>
            <w:vAlign w:val="center"/>
            <w:hideMark/>
          </w:tcPr>
          <w:p w14:paraId="28CF4D7A"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Modern medicine alone</w:t>
            </w:r>
          </w:p>
        </w:tc>
        <w:tc>
          <w:tcPr>
            <w:tcW w:w="2476" w:type="dxa"/>
            <w:tcBorders>
              <w:top w:val="single" w:sz="4" w:space="0" w:color="auto"/>
            </w:tcBorders>
            <w:tcMar>
              <w:top w:w="150" w:type="dxa"/>
              <w:left w:w="240" w:type="dxa"/>
              <w:bottom w:w="150" w:type="dxa"/>
              <w:right w:w="240" w:type="dxa"/>
            </w:tcMar>
            <w:vAlign w:val="center"/>
            <w:hideMark/>
          </w:tcPr>
          <w:p w14:paraId="33DC0B9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13 (65.0)</w:t>
            </w:r>
          </w:p>
        </w:tc>
        <w:tc>
          <w:tcPr>
            <w:tcW w:w="2062" w:type="dxa"/>
            <w:tcBorders>
              <w:top w:val="single" w:sz="4" w:space="0" w:color="auto"/>
            </w:tcBorders>
            <w:tcMar>
              <w:top w:w="150" w:type="dxa"/>
              <w:left w:w="240" w:type="dxa"/>
              <w:bottom w:w="150" w:type="dxa"/>
              <w:right w:w="240" w:type="dxa"/>
            </w:tcMar>
            <w:vAlign w:val="center"/>
            <w:hideMark/>
          </w:tcPr>
          <w:p w14:paraId="1BB4E07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7 (35.0)</w:t>
            </w:r>
          </w:p>
        </w:tc>
        <w:tc>
          <w:tcPr>
            <w:tcW w:w="631" w:type="dxa"/>
            <w:tcBorders>
              <w:top w:val="single" w:sz="4" w:space="0" w:color="auto"/>
            </w:tcBorders>
            <w:tcMar>
              <w:top w:w="150" w:type="dxa"/>
              <w:left w:w="240" w:type="dxa"/>
              <w:bottom w:w="150" w:type="dxa"/>
              <w:right w:w="0" w:type="dxa"/>
            </w:tcMar>
            <w:vAlign w:val="center"/>
            <w:hideMark/>
          </w:tcPr>
          <w:p w14:paraId="05141BD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20</w:t>
            </w:r>
          </w:p>
        </w:tc>
      </w:tr>
      <w:tr w:rsidR="003D796F" w:rsidRPr="003D796F" w14:paraId="50BB755B" w14:textId="77777777" w:rsidTr="003D796F">
        <w:tc>
          <w:tcPr>
            <w:tcW w:w="2623" w:type="dxa"/>
            <w:tcMar>
              <w:top w:w="150" w:type="dxa"/>
              <w:left w:w="0" w:type="dxa"/>
              <w:bottom w:w="150" w:type="dxa"/>
              <w:right w:w="240" w:type="dxa"/>
            </w:tcMar>
            <w:vAlign w:val="center"/>
            <w:hideMark/>
          </w:tcPr>
          <w:p w14:paraId="74E4FD6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Traditional medicine alone</w:t>
            </w:r>
          </w:p>
        </w:tc>
        <w:tc>
          <w:tcPr>
            <w:tcW w:w="2476" w:type="dxa"/>
            <w:tcMar>
              <w:top w:w="150" w:type="dxa"/>
              <w:left w:w="240" w:type="dxa"/>
              <w:bottom w:w="150" w:type="dxa"/>
              <w:right w:w="240" w:type="dxa"/>
            </w:tcMar>
            <w:vAlign w:val="center"/>
            <w:hideMark/>
          </w:tcPr>
          <w:p w14:paraId="0FDAD98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17 (40.5)</w:t>
            </w:r>
          </w:p>
        </w:tc>
        <w:tc>
          <w:tcPr>
            <w:tcW w:w="2062" w:type="dxa"/>
            <w:tcMar>
              <w:top w:w="150" w:type="dxa"/>
              <w:left w:w="240" w:type="dxa"/>
              <w:bottom w:w="150" w:type="dxa"/>
              <w:right w:w="240" w:type="dxa"/>
            </w:tcMar>
            <w:vAlign w:val="center"/>
            <w:hideMark/>
          </w:tcPr>
          <w:p w14:paraId="59D6BF1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25 (59.5)</w:t>
            </w:r>
          </w:p>
        </w:tc>
        <w:tc>
          <w:tcPr>
            <w:tcW w:w="631" w:type="dxa"/>
            <w:tcMar>
              <w:top w:w="150" w:type="dxa"/>
              <w:left w:w="240" w:type="dxa"/>
              <w:bottom w:w="150" w:type="dxa"/>
              <w:right w:w="0" w:type="dxa"/>
            </w:tcMar>
            <w:vAlign w:val="center"/>
            <w:hideMark/>
          </w:tcPr>
          <w:p w14:paraId="1E6CD88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42</w:t>
            </w:r>
          </w:p>
        </w:tc>
      </w:tr>
      <w:tr w:rsidR="003D796F" w:rsidRPr="003D796F" w14:paraId="2CA1499C" w14:textId="77777777" w:rsidTr="003D796F">
        <w:tc>
          <w:tcPr>
            <w:tcW w:w="2623" w:type="dxa"/>
            <w:tcMar>
              <w:top w:w="150" w:type="dxa"/>
              <w:left w:w="0" w:type="dxa"/>
              <w:bottom w:w="150" w:type="dxa"/>
              <w:right w:w="240" w:type="dxa"/>
            </w:tcMar>
            <w:vAlign w:val="center"/>
            <w:hideMark/>
          </w:tcPr>
          <w:p w14:paraId="4291F462"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Integrated approach</w:t>
            </w:r>
          </w:p>
        </w:tc>
        <w:tc>
          <w:tcPr>
            <w:tcW w:w="2476" w:type="dxa"/>
            <w:tcMar>
              <w:top w:w="150" w:type="dxa"/>
              <w:left w:w="240" w:type="dxa"/>
              <w:bottom w:w="150" w:type="dxa"/>
              <w:right w:w="240" w:type="dxa"/>
            </w:tcMar>
            <w:vAlign w:val="center"/>
            <w:hideMark/>
          </w:tcPr>
          <w:p w14:paraId="745922A6"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25 (89.3)</w:t>
            </w:r>
          </w:p>
        </w:tc>
        <w:tc>
          <w:tcPr>
            <w:tcW w:w="2062" w:type="dxa"/>
            <w:tcMar>
              <w:top w:w="150" w:type="dxa"/>
              <w:left w:w="240" w:type="dxa"/>
              <w:bottom w:w="150" w:type="dxa"/>
              <w:right w:w="240" w:type="dxa"/>
            </w:tcMar>
            <w:vAlign w:val="center"/>
            <w:hideMark/>
          </w:tcPr>
          <w:p w14:paraId="1A932C5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3 (10.7)</w:t>
            </w:r>
          </w:p>
        </w:tc>
        <w:tc>
          <w:tcPr>
            <w:tcW w:w="631" w:type="dxa"/>
            <w:tcMar>
              <w:top w:w="150" w:type="dxa"/>
              <w:left w:w="240" w:type="dxa"/>
              <w:bottom w:w="150" w:type="dxa"/>
              <w:right w:w="0" w:type="dxa"/>
            </w:tcMar>
            <w:vAlign w:val="center"/>
            <w:hideMark/>
          </w:tcPr>
          <w:p w14:paraId="1B19175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28</w:t>
            </w:r>
          </w:p>
        </w:tc>
      </w:tr>
      <w:tr w:rsidR="003D796F" w:rsidRPr="003D796F" w14:paraId="1F824D7A" w14:textId="77777777" w:rsidTr="003D796F">
        <w:tc>
          <w:tcPr>
            <w:tcW w:w="2623" w:type="dxa"/>
            <w:tcMar>
              <w:top w:w="150" w:type="dxa"/>
              <w:left w:w="0" w:type="dxa"/>
              <w:bottom w:w="150" w:type="dxa"/>
              <w:right w:w="240" w:type="dxa"/>
            </w:tcMar>
            <w:vAlign w:val="center"/>
            <w:hideMark/>
          </w:tcPr>
          <w:p w14:paraId="4291B9D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Total</w:t>
            </w:r>
          </w:p>
        </w:tc>
        <w:tc>
          <w:tcPr>
            <w:tcW w:w="2476" w:type="dxa"/>
            <w:tcMar>
              <w:top w:w="150" w:type="dxa"/>
              <w:left w:w="240" w:type="dxa"/>
              <w:bottom w:w="150" w:type="dxa"/>
              <w:right w:w="240" w:type="dxa"/>
            </w:tcMar>
            <w:vAlign w:val="center"/>
            <w:hideMark/>
          </w:tcPr>
          <w:p w14:paraId="6B926017"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55 (61.1)</w:t>
            </w:r>
          </w:p>
        </w:tc>
        <w:tc>
          <w:tcPr>
            <w:tcW w:w="2062" w:type="dxa"/>
            <w:tcMar>
              <w:top w:w="150" w:type="dxa"/>
              <w:left w:w="240" w:type="dxa"/>
              <w:bottom w:w="150" w:type="dxa"/>
              <w:right w:w="240" w:type="dxa"/>
            </w:tcMar>
            <w:vAlign w:val="center"/>
            <w:hideMark/>
          </w:tcPr>
          <w:p w14:paraId="697D320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35 (38.9)</w:t>
            </w:r>
          </w:p>
        </w:tc>
        <w:tc>
          <w:tcPr>
            <w:tcW w:w="631" w:type="dxa"/>
            <w:tcMar>
              <w:top w:w="150" w:type="dxa"/>
              <w:left w:w="240" w:type="dxa"/>
              <w:bottom w:w="150" w:type="dxa"/>
              <w:right w:w="0" w:type="dxa"/>
            </w:tcMar>
            <w:vAlign w:val="center"/>
            <w:hideMark/>
          </w:tcPr>
          <w:p w14:paraId="02F581D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b/>
                <w:bCs/>
                <w:kern w:val="0"/>
                <w:sz w:val="21"/>
                <w:szCs w:val="21"/>
                <w14:ligatures w14:val="none"/>
              </w:rPr>
              <w:t>90</w:t>
            </w:r>
          </w:p>
        </w:tc>
      </w:tr>
    </w:tbl>
    <w:p w14:paraId="64E30249"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Table 7</w:t>
      </w:r>
      <w:r w:rsidRPr="003D796F">
        <w:rPr>
          <w:rFonts w:ascii="Times New Roman" w:eastAsia="Times New Roman" w:hAnsi="Times New Roman" w:cs="Times New Roman"/>
          <w:color w:val="0F1115"/>
          <w:kern w:val="0"/>
          <w14:ligatures w14:val="none"/>
        </w:rPr>
        <w:br/>
      </w:r>
      <w:r w:rsidRPr="003D796F">
        <w:rPr>
          <w:rFonts w:ascii="Times New Roman" w:eastAsia="Times New Roman" w:hAnsi="Times New Roman" w:cs="Times New Roman"/>
          <w:i/>
          <w:iCs/>
          <w:color w:val="0F1115"/>
          <w:kern w:val="0"/>
          <w14:ligatures w14:val="none"/>
        </w:rPr>
        <w:t>Chi-Square Test Results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14"/>
        <w:gridCol w:w="982"/>
        <w:gridCol w:w="655"/>
        <w:gridCol w:w="2031"/>
      </w:tblGrid>
      <w:tr w:rsidR="003D796F" w:rsidRPr="003D796F" w14:paraId="78AFB74E" w14:textId="77777777" w:rsidTr="003D796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3DB878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lastRenderedPageBreak/>
              <w:t>Measure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7EA49A9"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218C485"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roofErr w:type="spellStart"/>
            <w:r w:rsidRPr="003D796F">
              <w:rPr>
                <w:rFonts w:ascii="Times New Roman" w:eastAsia="Times New Roman" w:hAnsi="Times New Roman" w:cs="Times New Roman"/>
                <w:kern w:val="0"/>
                <w:sz w:val="21"/>
                <w:szCs w:val="21"/>
                <w14:ligatures w14:val="none"/>
              </w:rPr>
              <w:t>df</w:t>
            </w:r>
            <w:proofErr w:type="spellEnd"/>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B37D9E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p-value</w:t>
            </w:r>
          </w:p>
        </w:tc>
      </w:tr>
      <w:tr w:rsidR="003D796F" w:rsidRPr="003D796F" w14:paraId="0E05FF0E" w14:textId="77777777" w:rsidTr="003D796F">
        <w:tc>
          <w:tcPr>
            <w:tcW w:w="0" w:type="auto"/>
            <w:tcBorders>
              <w:top w:val="single" w:sz="4" w:space="0" w:color="auto"/>
            </w:tcBorders>
            <w:tcMar>
              <w:top w:w="150" w:type="dxa"/>
              <w:left w:w="0" w:type="dxa"/>
              <w:bottom w:w="150" w:type="dxa"/>
              <w:right w:w="240" w:type="dxa"/>
            </w:tcMar>
            <w:vAlign w:val="center"/>
            <w:hideMark/>
          </w:tcPr>
          <w:p w14:paraId="08181F3F"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Chi-square (χ²) calculated</w:t>
            </w:r>
          </w:p>
        </w:tc>
        <w:tc>
          <w:tcPr>
            <w:tcW w:w="0" w:type="auto"/>
            <w:tcBorders>
              <w:top w:val="single" w:sz="4" w:space="0" w:color="auto"/>
            </w:tcBorders>
            <w:tcMar>
              <w:top w:w="150" w:type="dxa"/>
              <w:left w:w="240" w:type="dxa"/>
              <w:bottom w:w="150" w:type="dxa"/>
              <w:right w:w="240" w:type="dxa"/>
            </w:tcMar>
            <w:vAlign w:val="center"/>
            <w:hideMark/>
          </w:tcPr>
          <w:p w14:paraId="20735814"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17.00</w:t>
            </w:r>
          </w:p>
        </w:tc>
        <w:tc>
          <w:tcPr>
            <w:tcW w:w="0" w:type="auto"/>
            <w:tcBorders>
              <w:top w:val="single" w:sz="4" w:space="0" w:color="auto"/>
            </w:tcBorders>
            <w:tcMar>
              <w:top w:w="150" w:type="dxa"/>
              <w:left w:w="240" w:type="dxa"/>
              <w:bottom w:w="150" w:type="dxa"/>
              <w:right w:w="240" w:type="dxa"/>
            </w:tcMar>
            <w:vAlign w:val="center"/>
            <w:hideMark/>
          </w:tcPr>
          <w:p w14:paraId="0406C6D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2</w:t>
            </w:r>
          </w:p>
        </w:tc>
        <w:tc>
          <w:tcPr>
            <w:tcW w:w="0" w:type="auto"/>
            <w:tcBorders>
              <w:top w:val="single" w:sz="4" w:space="0" w:color="auto"/>
            </w:tcBorders>
            <w:tcMar>
              <w:top w:w="150" w:type="dxa"/>
              <w:left w:w="240" w:type="dxa"/>
              <w:bottom w:w="150" w:type="dxa"/>
              <w:right w:w="0" w:type="dxa"/>
            </w:tcMar>
            <w:vAlign w:val="center"/>
            <w:hideMark/>
          </w:tcPr>
          <w:p w14:paraId="1306FC33"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&lt;0.001</w:t>
            </w:r>
          </w:p>
        </w:tc>
      </w:tr>
      <w:tr w:rsidR="003D796F" w:rsidRPr="003D796F" w14:paraId="7E231F27" w14:textId="77777777" w:rsidTr="003D796F">
        <w:tc>
          <w:tcPr>
            <w:tcW w:w="0" w:type="auto"/>
            <w:tcMar>
              <w:top w:w="150" w:type="dxa"/>
              <w:left w:w="0" w:type="dxa"/>
              <w:bottom w:w="150" w:type="dxa"/>
              <w:right w:w="240" w:type="dxa"/>
            </w:tcMar>
            <w:vAlign w:val="center"/>
            <w:hideMark/>
          </w:tcPr>
          <w:p w14:paraId="17167D5A"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Critical value (α=0.05)</w:t>
            </w:r>
          </w:p>
        </w:tc>
        <w:tc>
          <w:tcPr>
            <w:tcW w:w="0" w:type="auto"/>
            <w:tcMar>
              <w:top w:w="150" w:type="dxa"/>
              <w:left w:w="240" w:type="dxa"/>
              <w:bottom w:w="150" w:type="dxa"/>
              <w:right w:w="240" w:type="dxa"/>
            </w:tcMar>
            <w:vAlign w:val="center"/>
            <w:hideMark/>
          </w:tcPr>
          <w:p w14:paraId="54D3A130"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5.99</w:t>
            </w:r>
          </w:p>
        </w:tc>
        <w:tc>
          <w:tcPr>
            <w:tcW w:w="0" w:type="auto"/>
            <w:tcMar>
              <w:top w:w="150" w:type="dxa"/>
              <w:left w:w="240" w:type="dxa"/>
              <w:bottom w:w="150" w:type="dxa"/>
              <w:right w:w="240" w:type="dxa"/>
            </w:tcMar>
            <w:vAlign w:val="center"/>
            <w:hideMark/>
          </w:tcPr>
          <w:p w14:paraId="55DB90D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34F8EB8"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r>
      <w:tr w:rsidR="003D796F" w:rsidRPr="003D796F" w14:paraId="137B458B" w14:textId="77777777" w:rsidTr="003D796F">
        <w:tc>
          <w:tcPr>
            <w:tcW w:w="0" w:type="auto"/>
            <w:tcMar>
              <w:top w:w="150" w:type="dxa"/>
              <w:left w:w="0" w:type="dxa"/>
              <w:bottom w:w="150" w:type="dxa"/>
              <w:right w:w="240" w:type="dxa"/>
            </w:tcMar>
            <w:vAlign w:val="center"/>
            <w:hideMark/>
          </w:tcPr>
          <w:p w14:paraId="246F141B"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Cramér's V</w:t>
            </w:r>
          </w:p>
        </w:tc>
        <w:tc>
          <w:tcPr>
            <w:tcW w:w="0" w:type="auto"/>
            <w:tcMar>
              <w:top w:w="150" w:type="dxa"/>
              <w:left w:w="240" w:type="dxa"/>
              <w:bottom w:w="150" w:type="dxa"/>
              <w:right w:w="240" w:type="dxa"/>
            </w:tcMar>
            <w:vAlign w:val="center"/>
            <w:hideMark/>
          </w:tcPr>
          <w:p w14:paraId="546309BA"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0.43</w:t>
            </w:r>
          </w:p>
        </w:tc>
        <w:tc>
          <w:tcPr>
            <w:tcW w:w="0" w:type="auto"/>
            <w:tcMar>
              <w:top w:w="150" w:type="dxa"/>
              <w:left w:w="240" w:type="dxa"/>
              <w:bottom w:w="150" w:type="dxa"/>
              <w:right w:w="240" w:type="dxa"/>
            </w:tcMar>
            <w:vAlign w:val="center"/>
            <w:hideMark/>
          </w:tcPr>
          <w:p w14:paraId="76790E11"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1D1D98CA" w14:textId="77777777" w:rsidR="003D796F" w:rsidRPr="003D796F" w:rsidRDefault="003D796F" w:rsidP="003D796F">
            <w:pPr>
              <w:spacing w:after="0" w:line="240" w:lineRule="auto"/>
              <w:rPr>
                <w:rFonts w:ascii="Times New Roman" w:eastAsia="Times New Roman" w:hAnsi="Times New Roman" w:cs="Times New Roman"/>
                <w:kern w:val="0"/>
                <w:sz w:val="21"/>
                <w:szCs w:val="21"/>
                <w14:ligatures w14:val="none"/>
              </w:rPr>
            </w:pPr>
            <w:r w:rsidRPr="003D796F">
              <w:rPr>
                <w:rFonts w:ascii="Times New Roman" w:eastAsia="Times New Roman" w:hAnsi="Times New Roman" w:cs="Times New Roman"/>
                <w:kern w:val="0"/>
                <w:sz w:val="21"/>
                <w:szCs w:val="21"/>
                <w14:ligatures w14:val="none"/>
              </w:rPr>
              <w:t>Moderate association</w:t>
            </w:r>
          </w:p>
        </w:tc>
      </w:tr>
    </w:tbl>
    <w:p w14:paraId="7B2795E6"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Interpretation:</w:t>
      </w:r>
      <w:r w:rsidRPr="003D796F">
        <w:rPr>
          <w:rFonts w:ascii="Times New Roman" w:eastAsia="Times New Roman" w:hAnsi="Times New Roman" w:cs="Times New Roman"/>
          <w:color w:val="0F1115"/>
          <w:kern w:val="0"/>
          <w14:ligatures w14:val="none"/>
        </w:rPr>
        <w:t> There was a statistically significant association between treatment type and clinical outcomes (p &lt; 0.001). The integrated approach yielded the highest recovery rate (89.3%), while traditional medicine alone had the highest complication rate (59.5%). The moderate Cramér's V (0.43) confirms the clinical relevance of this association.</w:t>
      </w:r>
    </w:p>
    <w:p w14:paraId="38AE7F6F"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3.5. Qualitative Findings</w:t>
      </w:r>
    </w:p>
    <w:p w14:paraId="195B87F0"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Theme 1: Traditional healer practices</w:t>
      </w:r>
    </w:p>
    <w:p w14:paraId="677AC805"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Traditional healers reported using multiple techniques: fracture massage, medicinal plants and herbs, traditional bandaging, immobilization using bamboo or wooden splints, scarification, and traditional incantations. One traditional healer stated:</w:t>
      </w:r>
    </w:p>
    <w:p w14:paraId="6C584CBE" w14:textId="77777777" w:rsidR="003D796F" w:rsidRPr="003D796F" w:rsidRDefault="003D796F" w:rsidP="003D796F">
      <w:p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i/>
          <w:iCs/>
          <w:color w:val="0F1115"/>
          <w:kern w:val="0"/>
          <w14:ligatures w14:val="none"/>
        </w:rPr>
        <w:t>"We treat fractures with our plants and herbs at an affordable cost for the entire population. Incantations are part of the treatment because the plants come from our ancestors, and we must respect cultural and traditional principles."</w:t>
      </w:r>
    </w:p>
    <w:p w14:paraId="12850891"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Theme 2: Healthcare professional perceptions</w:t>
      </w:r>
    </w:p>
    <w:p w14:paraId="14A6599A"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Medical personnel expressed concerns about complications arising from traditional treatments, including poor hygiene, improper immobilization, delayed hospital consultation, and severe sequelae such as limb deformation and persistent pain. However, one healthcare professional acknowledged:</w:t>
      </w:r>
    </w:p>
    <w:p w14:paraId="4CC821E4" w14:textId="77777777" w:rsidR="003D796F" w:rsidRPr="003D796F" w:rsidRDefault="003D796F" w:rsidP="003D796F">
      <w:p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i/>
          <w:iCs/>
          <w:color w:val="0F1115"/>
          <w:kern w:val="0"/>
          <w14:ligatures w14:val="none"/>
        </w:rPr>
        <w:t xml:space="preserve">"Many patients arrive at the hospital after spending time with traditional healers. Patients often prefer traditional treatment because it is less costly and aligns with their cultural practices. </w:t>
      </w:r>
      <w:r w:rsidRPr="003D796F">
        <w:rPr>
          <w:rFonts w:ascii="Times New Roman" w:eastAsia="Times New Roman" w:hAnsi="Times New Roman" w:cs="Times New Roman"/>
          <w:i/>
          <w:iCs/>
          <w:color w:val="0F1115"/>
          <w:kern w:val="0"/>
          <w14:ligatures w14:val="none"/>
        </w:rPr>
        <w:lastRenderedPageBreak/>
        <w:t>Moreover, our hospitals lack sufficient equipment and materials for rapid fracture management."</w:t>
      </w:r>
    </w:p>
    <w:p w14:paraId="34C90377"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Theme 3: Collaboration between systems</w:t>
      </w:r>
    </w:p>
    <w:p w14:paraId="1E96CBB1"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No formal collaboration exists between modern healthcare providers and traditional healers. However, some traditional healers reported occasionally referring patients to hospitals for severe cases (open fractures, significant fragment displacement, intense pain, or severe complications). All participants expressed a need for structured collaboration.</w:t>
      </w:r>
    </w:p>
    <w:p w14:paraId="1A110884"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One participant stated:</w:t>
      </w:r>
    </w:p>
    <w:p w14:paraId="1A8060CF" w14:textId="77777777" w:rsidR="003D796F" w:rsidRPr="003D796F" w:rsidRDefault="003D796F" w:rsidP="003D796F">
      <w:p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i/>
          <w:iCs/>
          <w:color w:val="0F1115"/>
          <w:kern w:val="0"/>
          <w14:ligatures w14:val="none"/>
        </w:rPr>
        <w:t>"It would be important to establish collaboration between traditional healers and modern health structures to improve fracture management and reduce complications."</w:t>
      </w:r>
    </w:p>
    <w:p w14:paraId="2F7C5A12" w14:textId="77777777" w:rsidR="003D796F" w:rsidRPr="003D796F" w:rsidRDefault="003D796F" w:rsidP="003D796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D796F">
        <w:rPr>
          <w:rFonts w:ascii="Times New Roman" w:eastAsia="Times New Roman" w:hAnsi="Times New Roman" w:cs="Times New Roman"/>
          <w:b/>
          <w:bCs/>
          <w:color w:val="0F1115"/>
          <w:kern w:val="0"/>
          <w:sz w:val="33"/>
          <w:szCs w:val="33"/>
          <w14:ligatures w14:val="none"/>
        </w:rPr>
        <w:t>4. Discussion</w:t>
      </w:r>
    </w:p>
    <w:p w14:paraId="509825A7"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4.1. Summary of Key Findings</w:t>
      </w:r>
    </w:p>
    <w:p w14:paraId="77E94B96"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This mixed-methods study provides robust evidence that an integrated approach combining modern and traditional medicine significantly improves fracture management outcomes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Key findings include: (1) 46.7% of patients used traditional medicine alone, and 58.9% consulted a traditional healer first; (2) overall complete recovery was 50%, but complications affected 34.4%; (3) the integrated approach yielded the highest recovery rate (89.3%) versus modern medicine alone (65.0%) and traditional medicine alone (40.5%); (4) a statistically significant association was found between treatment type and clinical outcomes (χ² = 17.00, p &lt; 0.001); and (5) no formal collaboration exists between modern and traditional practitioners, despite expressed willingness.</w:t>
      </w:r>
    </w:p>
    <w:p w14:paraId="4C05A41D"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4.2. Comparison with Existing Literature</w:t>
      </w:r>
    </w:p>
    <w:p w14:paraId="0F75D8A9"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lastRenderedPageBreak/>
        <w:t>The predominance of traditional medicine use (46.7%) and first-line consultation with traditional healers (58.9%) aligns with WHO (2013) estimates that a large proportion of African populations rely on traditional medicine for primary healthcare due to its accessibility and cultural acceptability. These findings are consistent with studies from Nigeria (</w:t>
      </w:r>
      <w:proofErr w:type="spellStart"/>
      <w:r w:rsidRPr="003D796F">
        <w:rPr>
          <w:rFonts w:ascii="Times New Roman" w:eastAsia="Times New Roman" w:hAnsi="Times New Roman" w:cs="Times New Roman"/>
          <w:color w:val="0F1115"/>
          <w:kern w:val="0"/>
          <w14:ligatures w14:val="none"/>
        </w:rPr>
        <w:t>Onuminya</w:t>
      </w:r>
      <w:proofErr w:type="spellEnd"/>
      <w:r w:rsidRPr="003D796F">
        <w:rPr>
          <w:rFonts w:ascii="Times New Roman" w:eastAsia="Times New Roman" w:hAnsi="Times New Roman" w:cs="Times New Roman"/>
          <w:color w:val="0F1115"/>
          <w:kern w:val="0"/>
          <w14:ligatures w14:val="none"/>
        </w:rPr>
        <w:t xml:space="preserve">, 2004) and South Africa (Peltzer &amp; </w:t>
      </w:r>
      <w:proofErr w:type="spellStart"/>
      <w:r w:rsidRPr="003D796F">
        <w:rPr>
          <w:rFonts w:ascii="Times New Roman" w:eastAsia="Times New Roman" w:hAnsi="Times New Roman" w:cs="Times New Roman"/>
          <w:color w:val="0F1115"/>
          <w:kern w:val="0"/>
          <w14:ligatures w14:val="none"/>
        </w:rPr>
        <w:t>Mngqundaniso</w:t>
      </w:r>
      <w:proofErr w:type="spellEnd"/>
      <w:r w:rsidRPr="003D796F">
        <w:rPr>
          <w:rFonts w:ascii="Times New Roman" w:eastAsia="Times New Roman" w:hAnsi="Times New Roman" w:cs="Times New Roman"/>
          <w:color w:val="0F1115"/>
          <w:kern w:val="0"/>
          <w14:ligatures w14:val="none"/>
        </w:rPr>
        <w:t>, 2008), where traditional practitioners serve as the first point of contact in areas with limited biomedical services.</w:t>
      </w:r>
    </w:p>
    <w:p w14:paraId="370582FE"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The 34.4% complication rate associated with traditional medicine alone is concerning but consistent with previous reports. </w:t>
      </w:r>
      <w:proofErr w:type="spellStart"/>
      <w:r w:rsidRPr="003D796F">
        <w:rPr>
          <w:rFonts w:ascii="Times New Roman" w:eastAsia="Times New Roman" w:hAnsi="Times New Roman" w:cs="Times New Roman"/>
          <w:color w:val="0F1115"/>
          <w:kern w:val="0"/>
          <w14:ligatures w14:val="none"/>
        </w:rPr>
        <w:t>Idé</w:t>
      </w:r>
      <w:proofErr w:type="spellEnd"/>
      <w:r w:rsidRPr="003D796F">
        <w:rPr>
          <w:rFonts w:ascii="Times New Roman" w:eastAsia="Times New Roman" w:hAnsi="Times New Roman" w:cs="Times New Roman"/>
          <w:color w:val="0F1115"/>
          <w:kern w:val="0"/>
          <w14:ligatures w14:val="none"/>
        </w:rPr>
        <w:t xml:space="preserve"> et al. (2025) in Niger and </w:t>
      </w:r>
      <w:proofErr w:type="spellStart"/>
      <w:r w:rsidRPr="003D796F">
        <w:rPr>
          <w:rFonts w:ascii="Times New Roman" w:eastAsia="Times New Roman" w:hAnsi="Times New Roman" w:cs="Times New Roman"/>
          <w:color w:val="0F1115"/>
          <w:kern w:val="0"/>
          <w14:ligatures w14:val="none"/>
        </w:rPr>
        <w:t>Somé</w:t>
      </w:r>
      <w:proofErr w:type="spellEnd"/>
      <w:r w:rsidRPr="003D796F">
        <w:rPr>
          <w:rFonts w:ascii="Times New Roman" w:eastAsia="Times New Roman" w:hAnsi="Times New Roman" w:cs="Times New Roman"/>
          <w:color w:val="0F1115"/>
          <w:kern w:val="0"/>
          <w14:ligatures w14:val="none"/>
        </w:rPr>
        <w:t xml:space="preserve"> et al. (2024) in Burkina Faso documented similar complication patterns, including poor hygiene, improper immobilization, and delayed referral. These complications are largely preventable with basic training in hygiene and immobilization techniques.</w:t>
      </w:r>
    </w:p>
    <w:p w14:paraId="697F1B92"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The superior performance of the integrated approach (89.3% recovery) supports WHO's (2013) recommendation that integrating traditional medicine into national health systems can improve access and therapeutic outcomes when properly regulated. The combination of modern diagnostic precision and surgical techniques with traditional accessibility and cultural acceptability appears synergistic.</w:t>
      </w:r>
    </w:p>
    <w:p w14:paraId="4C518CF3"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The absence of formal collaboration between modern and traditional practitioners, despite mutual willingness, reflects a gap identified in other African settings. Peltzer and </w:t>
      </w:r>
      <w:proofErr w:type="spellStart"/>
      <w:r w:rsidRPr="003D796F">
        <w:rPr>
          <w:rFonts w:ascii="Times New Roman" w:eastAsia="Times New Roman" w:hAnsi="Times New Roman" w:cs="Times New Roman"/>
          <w:color w:val="0F1115"/>
          <w:kern w:val="0"/>
          <w14:ligatures w14:val="none"/>
        </w:rPr>
        <w:t>Mngqundaniso</w:t>
      </w:r>
      <w:proofErr w:type="spellEnd"/>
      <w:r w:rsidRPr="003D796F">
        <w:rPr>
          <w:rFonts w:ascii="Times New Roman" w:eastAsia="Times New Roman" w:hAnsi="Times New Roman" w:cs="Times New Roman"/>
          <w:color w:val="0F1115"/>
          <w:kern w:val="0"/>
          <w14:ligatures w14:val="none"/>
        </w:rPr>
        <w:t xml:space="preserve"> (2008) noted that lack of trust, regulatory frameworks, and differing therapeutic paradigms limit collaboration.</w:t>
      </w:r>
    </w:p>
    <w:p w14:paraId="6F99291B"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4.3. Interpretation of Factors Influencing Treatment Choice</w:t>
      </w:r>
    </w:p>
    <w:p w14:paraId="61CAE10D"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The qualitative findings explain the quantitative patterns. Patients choose traditional medicine primarily due to affordability (traditional treatments cost significantly less than hospital care), geographic proximity (traditional healers are more accessible), cultural acceptability (practices align with ancestral beliefs), and perceived rapid healing (traditional healers claim quick consolidation).</w:t>
      </w:r>
    </w:p>
    <w:p w14:paraId="3F288D4F"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lastRenderedPageBreak/>
        <w:t>However, these advantages are offset by risks: poor hygiene leading to infection, improper immobilization causing malunion or nonunion, and delayed referral for complications requiring surgical intervention.</w:t>
      </w:r>
    </w:p>
    <w:p w14:paraId="11C1E485"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4.4. Strengths and Limitations</w:t>
      </w:r>
    </w:p>
    <w:p w14:paraId="56688D78"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Strengths:</w:t>
      </w:r>
      <w:r w:rsidRPr="003D796F">
        <w:rPr>
          <w:rFonts w:ascii="Times New Roman" w:eastAsia="Times New Roman" w:hAnsi="Times New Roman" w:cs="Times New Roman"/>
          <w:color w:val="0F1115"/>
          <w:kern w:val="0"/>
          <w14:ligatures w14:val="none"/>
        </w:rPr>
        <w:t> </w:t>
      </w:r>
      <w:proofErr w:type="gramStart"/>
      <w:r w:rsidRPr="003D796F">
        <w:rPr>
          <w:rFonts w:ascii="Times New Roman" w:eastAsia="Times New Roman" w:hAnsi="Times New Roman" w:cs="Times New Roman"/>
          <w:color w:val="0F1115"/>
          <w:kern w:val="0"/>
          <w14:ligatures w14:val="none"/>
        </w:rPr>
        <w:t>Mixed-methods</w:t>
      </w:r>
      <w:proofErr w:type="gramEnd"/>
      <w:r w:rsidRPr="003D796F">
        <w:rPr>
          <w:rFonts w:ascii="Times New Roman" w:eastAsia="Times New Roman" w:hAnsi="Times New Roman" w:cs="Times New Roman"/>
          <w:color w:val="0F1115"/>
          <w:kern w:val="0"/>
          <w14:ligatures w14:val="none"/>
        </w:rPr>
        <w:t xml:space="preserve"> design with triangulation of data from patients, healthcare professionals, and traditional healers; sample of 120 participants across three stakeholder groups; use of structured, pretested instruments; high response rate; statistically significant associations with moderate effect size.</w:t>
      </w:r>
    </w:p>
    <w:p w14:paraId="0408158E"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Limitations:</w:t>
      </w:r>
      <w:r w:rsidRPr="003D796F">
        <w:rPr>
          <w:rFonts w:ascii="Times New Roman" w:eastAsia="Times New Roman" w:hAnsi="Times New Roman" w:cs="Times New Roman"/>
          <w:color w:val="0F1115"/>
          <w:kern w:val="0"/>
          <w14:ligatures w14:val="none"/>
        </w:rPr>
        <w:t> Cross-sectional design precludes causal inference; non-probability sampling may introduce selection bias; self-reported data subject to recall and social desirability bias; single-city study limits generalizability; no systematic radiographic verification of healing.</w:t>
      </w:r>
    </w:p>
    <w:p w14:paraId="452F9DB6" w14:textId="77777777" w:rsidR="003D796F" w:rsidRPr="003D796F" w:rsidRDefault="003D796F" w:rsidP="003D796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D796F">
        <w:rPr>
          <w:rFonts w:ascii="Times New Roman" w:eastAsia="Times New Roman" w:hAnsi="Times New Roman" w:cs="Times New Roman"/>
          <w:b/>
          <w:bCs/>
          <w:color w:val="0F1115"/>
          <w:kern w:val="0"/>
          <w:sz w:val="30"/>
          <w:szCs w:val="30"/>
          <w14:ligatures w14:val="none"/>
        </w:rPr>
        <w:t>4.5. Implications for Policy and Practice</w:t>
      </w:r>
    </w:p>
    <w:p w14:paraId="4EC220A3" w14:textId="77777777" w:rsidR="003D796F" w:rsidRPr="003D796F" w:rsidRDefault="003D796F" w:rsidP="003D796F">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health authorities:</w:t>
      </w:r>
      <w:r w:rsidRPr="003D796F">
        <w:rPr>
          <w:rFonts w:ascii="Times New Roman" w:eastAsia="Times New Roman" w:hAnsi="Times New Roman" w:cs="Times New Roman"/>
          <w:color w:val="0F1115"/>
          <w:kern w:val="0"/>
          <w14:ligatures w14:val="none"/>
        </w:rPr>
        <w:t> Establish a formal integration framework between modern and traditional medicine; develop regulations for traditional fracture care; strengthen modern healthcare infrastructure (equipment, supplies).</w:t>
      </w:r>
    </w:p>
    <w:p w14:paraId="086AFF09" w14:textId="77777777" w:rsidR="003D796F" w:rsidRPr="003D796F" w:rsidRDefault="003D796F" w:rsidP="003D796F">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healthcare professionals:</w:t>
      </w:r>
      <w:r w:rsidRPr="003D796F">
        <w:rPr>
          <w:rFonts w:ascii="Times New Roman" w:eastAsia="Times New Roman" w:hAnsi="Times New Roman" w:cs="Times New Roman"/>
          <w:color w:val="0F1115"/>
          <w:kern w:val="0"/>
          <w14:ligatures w14:val="none"/>
        </w:rPr>
        <w:t> Adopt culturally sensitive communication; provide structured follow-up for fracture patients; collaborate respectfully with traditional healers.</w:t>
      </w:r>
    </w:p>
    <w:p w14:paraId="0BC6AC61" w14:textId="77777777" w:rsidR="003D796F" w:rsidRPr="003D796F" w:rsidRDefault="003D796F" w:rsidP="003D796F">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traditional healers:</w:t>
      </w:r>
      <w:r w:rsidRPr="003D796F">
        <w:rPr>
          <w:rFonts w:ascii="Times New Roman" w:eastAsia="Times New Roman" w:hAnsi="Times New Roman" w:cs="Times New Roman"/>
          <w:color w:val="0F1115"/>
          <w:kern w:val="0"/>
          <w14:ligatures w14:val="none"/>
        </w:rPr>
        <w:t> Receive basic training in hygiene and immobilization techniques; refer complicated cases promptly; participate in collaborative initiatives.</w:t>
      </w:r>
    </w:p>
    <w:p w14:paraId="5FCFA9E0" w14:textId="77777777" w:rsidR="003D796F" w:rsidRPr="003D796F" w:rsidRDefault="003D796F" w:rsidP="003D796F">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the community:</w:t>
      </w:r>
      <w:r w:rsidRPr="003D796F">
        <w:rPr>
          <w:rFonts w:ascii="Times New Roman" w:eastAsia="Times New Roman" w:hAnsi="Times New Roman" w:cs="Times New Roman"/>
          <w:color w:val="0F1115"/>
          <w:kern w:val="0"/>
          <w14:ligatures w14:val="none"/>
        </w:rPr>
        <w:t> Promote early health facility consultation for fractures; provide education on risks of unregulated traditional practices; encourage complementary, safe use of both systems.</w:t>
      </w:r>
    </w:p>
    <w:p w14:paraId="059FCFEE" w14:textId="77777777" w:rsidR="003D796F" w:rsidRDefault="003D796F" w:rsidP="003D796F">
      <w:pPr>
        <w:shd w:val="clear" w:color="auto" w:fill="FFFFFF"/>
        <w:spacing w:before="480" w:after="240" w:line="480" w:lineRule="atLeast"/>
        <w:outlineLvl w:val="1"/>
        <w:rPr>
          <w:rFonts w:ascii="Times New Roman" w:eastAsia="Times New Roman" w:hAnsi="Times New Roman" w:cs="Times New Roman"/>
          <w:color w:val="0F1115"/>
          <w:kern w:val="0"/>
          <w14:ligatures w14:val="none"/>
        </w:rPr>
      </w:pPr>
    </w:p>
    <w:p w14:paraId="2891997A" w14:textId="77777777" w:rsidR="003D796F" w:rsidRDefault="003D796F" w:rsidP="003D796F">
      <w:pPr>
        <w:shd w:val="clear" w:color="auto" w:fill="FFFFFF"/>
        <w:spacing w:before="480" w:after="240" w:line="480" w:lineRule="atLeast"/>
        <w:outlineLvl w:val="1"/>
        <w:rPr>
          <w:rFonts w:ascii="Times New Roman" w:eastAsia="Times New Roman" w:hAnsi="Times New Roman" w:cs="Times New Roman"/>
          <w:color w:val="0F1115"/>
          <w:kern w:val="0"/>
          <w14:ligatures w14:val="none"/>
        </w:rPr>
      </w:pPr>
    </w:p>
    <w:p w14:paraId="045EC936" w14:textId="79E02FAB" w:rsidR="003D796F" w:rsidRPr="003D796F" w:rsidRDefault="003D796F" w:rsidP="003D796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D796F">
        <w:rPr>
          <w:rFonts w:ascii="Times New Roman" w:eastAsia="Times New Roman" w:hAnsi="Times New Roman" w:cs="Times New Roman"/>
          <w:b/>
          <w:bCs/>
          <w:color w:val="0F1115"/>
          <w:kern w:val="0"/>
          <w:sz w:val="33"/>
          <w:szCs w:val="33"/>
          <w14:ligatures w14:val="none"/>
        </w:rPr>
        <w:lastRenderedPageBreak/>
        <w:t>5. Conclusion</w:t>
      </w:r>
    </w:p>
    <w:p w14:paraId="4359C707"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This study demonstrates that the integrated approach between modern and traditional medicine significantly improves fracture management outcomes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with an 89.3% recovery rate compared to 65.0% for modern medicine alone and 40.5% for traditional medicine alone. A statistically significant association exists between treatment type and clinical outcomes (χ² = 17.00, p &lt; 0.001).</w:t>
      </w:r>
    </w:p>
    <w:p w14:paraId="66352A09"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The study confirms all three hypotheses:</w:t>
      </w:r>
    </w:p>
    <w:p w14:paraId="209A9AF3" w14:textId="77777777" w:rsidR="003D796F" w:rsidRPr="003D796F" w:rsidRDefault="003D796F" w:rsidP="003D796F">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H₁ (integration improves efficacy):</w:t>
      </w:r>
      <w:r w:rsidRPr="003D796F">
        <w:rPr>
          <w:rFonts w:ascii="Times New Roman" w:eastAsia="Times New Roman" w:hAnsi="Times New Roman" w:cs="Times New Roman"/>
          <w:color w:val="0F1115"/>
          <w:kern w:val="0"/>
          <w14:ligatures w14:val="none"/>
        </w:rPr>
        <w:t> Confirmed (integrated approach: 89.3% recovery).</w:t>
      </w:r>
    </w:p>
    <w:p w14:paraId="66372388" w14:textId="77777777" w:rsidR="003D796F" w:rsidRPr="003D796F" w:rsidRDefault="003D796F" w:rsidP="003D796F">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H₂ (combined use improves healing):</w:t>
      </w:r>
      <w:r w:rsidRPr="003D796F">
        <w:rPr>
          <w:rFonts w:ascii="Times New Roman" w:eastAsia="Times New Roman" w:hAnsi="Times New Roman" w:cs="Times New Roman"/>
          <w:color w:val="0F1115"/>
          <w:kern w:val="0"/>
          <w14:ligatures w14:val="none"/>
        </w:rPr>
        <w:t> Confirmed (integrated approach superior to either alone).</w:t>
      </w:r>
    </w:p>
    <w:p w14:paraId="6C5B0EA4" w14:textId="77777777" w:rsidR="003D796F" w:rsidRPr="003D796F" w:rsidRDefault="003D796F" w:rsidP="003D796F">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H₃ (sociocultural factors influence choice):</w:t>
      </w:r>
      <w:r w:rsidRPr="003D796F">
        <w:rPr>
          <w:rFonts w:ascii="Times New Roman" w:eastAsia="Times New Roman" w:hAnsi="Times New Roman" w:cs="Times New Roman"/>
          <w:color w:val="0F1115"/>
          <w:kern w:val="0"/>
          <w14:ligatures w14:val="none"/>
        </w:rPr>
        <w:t> Confirmed (58.9% first consult traditional healers; 46.7% use traditional medicine alone).</w:t>
      </w:r>
    </w:p>
    <w:p w14:paraId="7C4D9B8A"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However, the absence of formal collaboration, high complication rates with traditional medicine alone (59.5%), and structural limitations of modern healthcare services remain major challenges.</w:t>
      </w:r>
    </w:p>
    <w:p w14:paraId="485507FA"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To improve fracture management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the following are urgently recommended:</w:t>
      </w:r>
    </w:p>
    <w:p w14:paraId="011FCBA1" w14:textId="77777777" w:rsidR="003D796F" w:rsidRPr="003D796F" w:rsidRDefault="003D796F" w:rsidP="003D796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national and provincial health authorities:</w:t>
      </w:r>
      <w:r w:rsidRPr="003D796F">
        <w:rPr>
          <w:rFonts w:ascii="Times New Roman" w:eastAsia="Times New Roman" w:hAnsi="Times New Roman" w:cs="Times New Roman"/>
          <w:color w:val="0F1115"/>
          <w:kern w:val="0"/>
          <w14:ligatures w14:val="none"/>
        </w:rPr>
        <w:t> Develop and implement a regulatory framework for integrating traditional medicine into the formal health system; allocate resources for modern fracture care equipment.</w:t>
      </w:r>
    </w:p>
    <w:p w14:paraId="3BD38FBE" w14:textId="77777777" w:rsidR="003D796F" w:rsidRPr="003D796F" w:rsidRDefault="003D796F" w:rsidP="003D796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healthcare facilities:</w:t>
      </w:r>
      <w:r w:rsidRPr="003D796F">
        <w:rPr>
          <w:rFonts w:ascii="Times New Roman" w:eastAsia="Times New Roman" w:hAnsi="Times New Roman" w:cs="Times New Roman"/>
          <w:color w:val="0F1115"/>
          <w:kern w:val="0"/>
          <w14:ligatures w14:val="none"/>
        </w:rPr>
        <w:t> Establish referral protocols with traditional healers; provide training on culturally competent care.</w:t>
      </w:r>
    </w:p>
    <w:p w14:paraId="3E3E44F7" w14:textId="77777777" w:rsidR="003D796F" w:rsidRPr="003D796F" w:rsidRDefault="003D796F" w:rsidP="003D796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traditional healers:</w:t>
      </w:r>
      <w:r w:rsidRPr="003D796F">
        <w:rPr>
          <w:rFonts w:ascii="Times New Roman" w:eastAsia="Times New Roman" w:hAnsi="Times New Roman" w:cs="Times New Roman"/>
          <w:color w:val="0F1115"/>
          <w:kern w:val="0"/>
          <w14:ligatures w14:val="none"/>
        </w:rPr>
        <w:t> Participate in certification and training programs; adopt basic hygiene and immobilization standards; refer complicated cases promptly.</w:t>
      </w:r>
    </w:p>
    <w:p w14:paraId="75E88DF8" w14:textId="77777777" w:rsidR="003D796F" w:rsidRPr="003D796F" w:rsidRDefault="003D796F" w:rsidP="003D796F">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For future research:</w:t>
      </w:r>
      <w:r w:rsidRPr="003D796F">
        <w:rPr>
          <w:rFonts w:ascii="Times New Roman" w:eastAsia="Times New Roman" w:hAnsi="Times New Roman" w:cs="Times New Roman"/>
          <w:color w:val="0F1115"/>
          <w:kern w:val="0"/>
          <w14:ligatures w14:val="none"/>
        </w:rPr>
        <w:t> Conduct longitudinal studies to evaluate integrated approach effectiveness; perform randomized controlled trials of specific traditional remedies; assess cost-effectiveness of integration models.</w:t>
      </w:r>
    </w:p>
    <w:p w14:paraId="759B65EA"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lastRenderedPageBreak/>
        <w:t xml:space="preserve">Fracture care in </w:t>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xml:space="preserve"> cannot be optimized by promoting either system alone. The evidence clearly supports an integrated, complementary approach that respects cultural realities while upholding biomedical standards of safety and efficacy.</w:t>
      </w:r>
    </w:p>
    <w:p w14:paraId="0A7919CC" w14:textId="77777777" w:rsidR="003D796F" w:rsidRPr="003D796F" w:rsidRDefault="003D796F" w:rsidP="003D796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D796F">
        <w:rPr>
          <w:rFonts w:ascii="Times New Roman" w:eastAsia="Times New Roman" w:hAnsi="Times New Roman" w:cs="Times New Roman"/>
          <w:b/>
          <w:bCs/>
          <w:color w:val="0F1115"/>
          <w:kern w:val="0"/>
          <w:sz w:val="33"/>
          <w:szCs w:val="33"/>
          <w14:ligatures w14:val="none"/>
        </w:rPr>
        <w:t>6. References</w:t>
      </w:r>
    </w:p>
    <w:p w14:paraId="62DF630D"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Amani Tubura, et al. (2023). Fractures des </w:t>
      </w:r>
      <w:proofErr w:type="spellStart"/>
      <w:r w:rsidRPr="003D796F">
        <w:rPr>
          <w:rFonts w:ascii="Times New Roman" w:eastAsia="Times New Roman" w:hAnsi="Times New Roman" w:cs="Times New Roman"/>
          <w:color w:val="0F1115"/>
          <w:kern w:val="0"/>
          <w14:ligatures w14:val="none"/>
        </w:rPr>
        <w:t>membres</w:t>
      </w:r>
      <w:proofErr w:type="spellEnd"/>
      <w:r w:rsidRPr="003D796F">
        <w:rPr>
          <w:rFonts w:ascii="Times New Roman" w:eastAsia="Times New Roman" w:hAnsi="Times New Roman" w:cs="Times New Roman"/>
          <w:color w:val="0F1115"/>
          <w:kern w:val="0"/>
          <w14:ligatures w14:val="none"/>
        </w:rPr>
        <w:t xml:space="preserve"> chez </w:t>
      </w:r>
      <w:proofErr w:type="spellStart"/>
      <w:r w:rsidRPr="003D796F">
        <w:rPr>
          <w:rFonts w:ascii="Times New Roman" w:eastAsia="Times New Roman" w:hAnsi="Times New Roman" w:cs="Times New Roman"/>
          <w:color w:val="0F1115"/>
          <w:kern w:val="0"/>
          <w14:ligatures w14:val="none"/>
        </w:rPr>
        <w:t>l'adulte</w:t>
      </w:r>
      <w:proofErr w:type="spellEnd"/>
      <w:r w:rsidRPr="003D796F">
        <w:rPr>
          <w:rFonts w:ascii="Times New Roman" w:eastAsia="Times New Roman" w:hAnsi="Times New Roman" w:cs="Times New Roman"/>
          <w:color w:val="0F1115"/>
          <w:kern w:val="0"/>
          <w14:ligatures w14:val="none"/>
        </w:rPr>
        <w:t xml:space="preserve"> à </w:t>
      </w:r>
      <w:proofErr w:type="spellStart"/>
      <w:r w:rsidRPr="003D796F">
        <w:rPr>
          <w:rFonts w:ascii="Times New Roman" w:eastAsia="Times New Roman" w:hAnsi="Times New Roman" w:cs="Times New Roman"/>
          <w:color w:val="0F1115"/>
          <w:kern w:val="0"/>
          <w14:ligatures w14:val="none"/>
        </w:rPr>
        <w:t>l'HGR</w:t>
      </w:r>
      <w:proofErr w:type="spellEnd"/>
      <w:r w:rsidRPr="003D796F">
        <w:rPr>
          <w:rFonts w:ascii="Times New Roman" w:eastAsia="Times New Roman" w:hAnsi="Times New Roman" w:cs="Times New Roman"/>
          <w:color w:val="0F1115"/>
          <w:kern w:val="0"/>
          <w14:ligatures w14:val="none"/>
        </w:rPr>
        <w:t xml:space="preserve"> </w:t>
      </w:r>
      <w:proofErr w:type="spellStart"/>
      <w:r w:rsidRPr="003D796F">
        <w:rPr>
          <w:rFonts w:ascii="Times New Roman" w:eastAsia="Times New Roman" w:hAnsi="Times New Roman" w:cs="Times New Roman"/>
          <w:color w:val="0F1115"/>
          <w:kern w:val="0"/>
          <w14:ligatures w14:val="none"/>
        </w:rPr>
        <w:t>Panzi</w:t>
      </w:r>
      <w:proofErr w:type="spellEnd"/>
      <w:r w:rsidRPr="003D796F">
        <w:rPr>
          <w:rFonts w:ascii="Times New Roman" w:eastAsia="Times New Roman" w:hAnsi="Times New Roman" w:cs="Times New Roman"/>
          <w:color w:val="0F1115"/>
          <w:kern w:val="0"/>
          <w14:ligatures w14:val="none"/>
        </w:rPr>
        <w:t>. </w:t>
      </w:r>
      <w:r w:rsidRPr="003D796F">
        <w:rPr>
          <w:rFonts w:ascii="Times New Roman" w:eastAsia="Times New Roman" w:hAnsi="Times New Roman" w:cs="Times New Roman"/>
          <w:i/>
          <w:iCs/>
          <w:color w:val="0F1115"/>
          <w:kern w:val="0"/>
          <w14:ligatures w14:val="none"/>
        </w:rPr>
        <w:t>Kivu Medical Journal</w:t>
      </w:r>
      <w:r w:rsidRPr="003D796F">
        <w:rPr>
          <w:rFonts w:ascii="Times New Roman" w:eastAsia="Times New Roman" w:hAnsi="Times New Roman" w:cs="Times New Roman"/>
          <w:color w:val="0F1115"/>
          <w:kern w:val="0"/>
          <w14:ligatures w14:val="none"/>
        </w:rPr>
        <w:t>.</w:t>
      </w:r>
    </w:p>
    <w:p w14:paraId="2EE7CF8D"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Assi, R. A., et al. (2023). Fractures </w:t>
      </w:r>
      <w:proofErr w:type="spellStart"/>
      <w:r w:rsidRPr="003D796F">
        <w:rPr>
          <w:rFonts w:ascii="Times New Roman" w:eastAsia="Times New Roman" w:hAnsi="Times New Roman" w:cs="Times New Roman"/>
          <w:color w:val="0F1115"/>
          <w:kern w:val="0"/>
          <w14:ligatures w14:val="none"/>
        </w:rPr>
        <w:t>en</w:t>
      </w:r>
      <w:proofErr w:type="spellEnd"/>
      <w:r w:rsidRPr="003D796F">
        <w:rPr>
          <w:rFonts w:ascii="Times New Roman" w:eastAsia="Times New Roman" w:hAnsi="Times New Roman" w:cs="Times New Roman"/>
          <w:color w:val="0F1115"/>
          <w:kern w:val="0"/>
          <w14:ligatures w14:val="none"/>
        </w:rPr>
        <w:t xml:space="preserve"> Afrique </w:t>
      </w:r>
      <w:proofErr w:type="spellStart"/>
      <w:r w:rsidRPr="003D796F">
        <w:rPr>
          <w:rFonts w:ascii="Times New Roman" w:eastAsia="Times New Roman" w:hAnsi="Times New Roman" w:cs="Times New Roman"/>
          <w:color w:val="0F1115"/>
          <w:kern w:val="0"/>
          <w14:ligatures w14:val="none"/>
        </w:rPr>
        <w:t>subsaharienne</w:t>
      </w:r>
      <w:proofErr w:type="spellEnd"/>
      <w:r w:rsidRPr="003D796F">
        <w:rPr>
          <w:rFonts w:ascii="Times New Roman" w:eastAsia="Times New Roman" w:hAnsi="Times New Roman" w:cs="Times New Roman"/>
          <w:color w:val="0F1115"/>
          <w:kern w:val="0"/>
          <w14:ligatures w14:val="none"/>
        </w:rPr>
        <w:t>. </w:t>
      </w:r>
      <w:r w:rsidRPr="003D796F">
        <w:rPr>
          <w:rFonts w:ascii="Times New Roman" w:eastAsia="Times New Roman" w:hAnsi="Times New Roman" w:cs="Times New Roman"/>
          <w:i/>
          <w:iCs/>
          <w:color w:val="0F1115"/>
          <w:kern w:val="0"/>
          <w14:ligatures w14:val="none"/>
        </w:rPr>
        <w:t>Revue Scientifique Francophone</w:t>
      </w:r>
      <w:r w:rsidRPr="003D796F">
        <w:rPr>
          <w:rFonts w:ascii="Times New Roman" w:eastAsia="Times New Roman" w:hAnsi="Times New Roman" w:cs="Times New Roman"/>
          <w:color w:val="0F1115"/>
          <w:kern w:val="0"/>
          <w14:ligatures w14:val="none"/>
        </w:rPr>
        <w:t>.</w:t>
      </w:r>
    </w:p>
    <w:p w14:paraId="0E12284C"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Braun, V., &amp; Clarke, V. (2006). Using thematic analysis in psychology. </w:t>
      </w:r>
      <w:r w:rsidRPr="003D796F">
        <w:rPr>
          <w:rFonts w:ascii="Times New Roman" w:eastAsia="Times New Roman" w:hAnsi="Times New Roman" w:cs="Times New Roman"/>
          <w:i/>
          <w:iCs/>
          <w:color w:val="0F1115"/>
          <w:kern w:val="0"/>
          <w14:ligatures w14:val="none"/>
        </w:rPr>
        <w:t>Qualitative Research in Psychology, 3</w:t>
      </w:r>
      <w:r w:rsidRPr="003D796F">
        <w:rPr>
          <w:rFonts w:ascii="Times New Roman" w:eastAsia="Times New Roman" w:hAnsi="Times New Roman" w:cs="Times New Roman"/>
          <w:color w:val="0F1115"/>
          <w:kern w:val="0"/>
          <w14:ligatures w14:val="none"/>
        </w:rPr>
        <w:t>(2), 77–101.</w:t>
      </w:r>
    </w:p>
    <w:p w14:paraId="69A09771"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3D796F">
        <w:rPr>
          <w:rFonts w:ascii="Times New Roman" w:eastAsia="Times New Roman" w:hAnsi="Times New Roman" w:cs="Times New Roman"/>
          <w:color w:val="0F1115"/>
          <w:kern w:val="0"/>
          <w14:ligatures w14:val="none"/>
        </w:rPr>
        <w:t>Idé</w:t>
      </w:r>
      <w:proofErr w:type="spellEnd"/>
      <w:r w:rsidRPr="003D796F">
        <w:rPr>
          <w:rFonts w:ascii="Times New Roman" w:eastAsia="Times New Roman" w:hAnsi="Times New Roman" w:cs="Times New Roman"/>
          <w:color w:val="0F1115"/>
          <w:kern w:val="0"/>
          <w14:ligatures w14:val="none"/>
        </w:rPr>
        <w:t xml:space="preserve">, G., Abdoulwahab, M., &amp; Ibo, N. (2025). </w:t>
      </w:r>
      <w:proofErr w:type="spellStart"/>
      <w:r w:rsidRPr="003D796F">
        <w:rPr>
          <w:rFonts w:ascii="Times New Roman" w:eastAsia="Times New Roman" w:hAnsi="Times New Roman" w:cs="Times New Roman"/>
          <w:color w:val="0F1115"/>
          <w:kern w:val="0"/>
          <w14:ligatures w14:val="none"/>
        </w:rPr>
        <w:t>Traitement</w:t>
      </w:r>
      <w:proofErr w:type="spellEnd"/>
      <w:r w:rsidRPr="003D796F">
        <w:rPr>
          <w:rFonts w:ascii="Times New Roman" w:eastAsia="Times New Roman" w:hAnsi="Times New Roman" w:cs="Times New Roman"/>
          <w:color w:val="0F1115"/>
          <w:kern w:val="0"/>
          <w14:ligatures w14:val="none"/>
        </w:rPr>
        <w:t xml:space="preserve"> des </w:t>
      </w:r>
      <w:proofErr w:type="spellStart"/>
      <w:r w:rsidRPr="003D796F">
        <w:rPr>
          <w:rFonts w:ascii="Times New Roman" w:eastAsia="Times New Roman" w:hAnsi="Times New Roman" w:cs="Times New Roman"/>
          <w:color w:val="0F1115"/>
          <w:kern w:val="0"/>
          <w14:ligatures w14:val="none"/>
        </w:rPr>
        <w:t>séquelles</w:t>
      </w:r>
      <w:proofErr w:type="spellEnd"/>
      <w:r w:rsidRPr="003D796F">
        <w:rPr>
          <w:rFonts w:ascii="Times New Roman" w:eastAsia="Times New Roman" w:hAnsi="Times New Roman" w:cs="Times New Roman"/>
          <w:color w:val="0F1115"/>
          <w:kern w:val="0"/>
          <w14:ligatures w14:val="none"/>
        </w:rPr>
        <w:t xml:space="preserve"> du </w:t>
      </w:r>
      <w:proofErr w:type="spellStart"/>
      <w:r w:rsidRPr="003D796F">
        <w:rPr>
          <w:rFonts w:ascii="Times New Roman" w:eastAsia="Times New Roman" w:hAnsi="Times New Roman" w:cs="Times New Roman"/>
          <w:color w:val="0F1115"/>
          <w:kern w:val="0"/>
          <w14:ligatures w14:val="none"/>
        </w:rPr>
        <w:t>traitement</w:t>
      </w:r>
      <w:proofErr w:type="spellEnd"/>
      <w:r w:rsidRPr="003D796F">
        <w:rPr>
          <w:rFonts w:ascii="Times New Roman" w:eastAsia="Times New Roman" w:hAnsi="Times New Roman" w:cs="Times New Roman"/>
          <w:color w:val="0F1115"/>
          <w:kern w:val="0"/>
          <w14:ligatures w14:val="none"/>
        </w:rPr>
        <w:t xml:space="preserve"> </w:t>
      </w:r>
      <w:proofErr w:type="spellStart"/>
      <w:r w:rsidRPr="003D796F">
        <w:rPr>
          <w:rFonts w:ascii="Times New Roman" w:eastAsia="Times New Roman" w:hAnsi="Times New Roman" w:cs="Times New Roman"/>
          <w:color w:val="0F1115"/>
          <w:kern w:val="0"/>
          <w14:ligatures w14:val="none"/>
        </w:rPr>
        <w:t>traditionnel</w:t>
      </w:r>
      <w:proofErr w:type="spellEnd"/>
      <w:r w:rsidRPr="003D796F">
        <w:rPr>
          <w:rFonts w:ascii="Times New Roman" w:eastAsia="Times New Roman" w:hAnsi="Times New Roman" w:cs="Times New Roman"/>
          <w:color w:val="0F1115"/>
          <w:kern w:val="0"/>
          <w14:ligatures w14:val="none"/>
        </w:rPr>
        <w:t xml:space="preserve"> des fractures de </w:t>
      </w:r>
      <w:proofErr w:type="spellStart"/>
      <w:r w:rsidRPr="003D796F">
        <w:rPr>
          <w:rFonts w:ascii="Times New Roman" w:eastAsia="Times New Roman" w:hAnsi="Times New Roman" w:cs="Times New Roman"/>
          <w:color w:val="0F1115"/>
          <w:kern w:val="0"/>
          <w14:ligatures w14:val="none"/>
        </w:rPr>
        <w:t>l'appareil</w:t>
      </w:r>
      <w:proofErr w:type="spellEnd"/>
      <w:r w:rsidRPr="003D796F">
        <w:rPr>
          <w:rFonts w:ascii="Times New Roman" w:eastAsia="Times New Roman" w:hAnsi="Times New Roman" w:cs="Times New Roman"/>
          <w:color w:val="0F1115"/>
          <w:kern w:val="0"/>
          <w14:ligatures w14:val="none"/>
        </w:rPr>
        <w:t xml:space="preserve"> </w:t>
      </w:r>
      <w:proofErr w:type="spellStart"/>
      <w:r w:rsidRPr="003D796F">
        <w:rPr>
          <w:rFonts w:ascii="Times New Roman" w:eastAsia="Times New Roman" w:hAnsi="Times New Roman" w:cs="Times New Roman"/>
          <w:color w:val="0F1115"/>
          <w:kern w:val="0"/>
          <w14:ligatures w14:val="none"/>
        </w:rPr>
        <w:t>locomoteur</w:t>
      </w:r>
      <w:proofErr w:type="spellEnd"/>
      <w:r w:rsidRPr="003D796F">
        <w:rPr>
          <w:rFonts w:ascii="Times New Roman" w:eastAsia="Times New Roman" w:hAnsi="Times New Roman" w:cs="Times New Roman"/>
          <w:color w:val="0F1115"/>
          <w:kern w:val="0"/>
          <w14:ligatures w14:val="none"/>
        </w:rPr>
        <w:t xml:space="preserve"> à Niamey. </w:t>
      </w:r>
      <w:r w:rsidRPr="003D796F">
        <w:rPr>
          <w:rFonts w:ascii="Times New Roman" w:eastAsia="Times New Roman" w:hAnsi="Times New Roman" w:cs="Times New Roman"/>
          <w:i/>
          <w:iCs/>
          <w:color w:val="0F1115"/>
          <w:kern w:val="0"/>
          <w14:ligatures w14:val="none"/>
        </w:rPr>
        <w:t>Health Research in Africa</w:t>
      </w:r>
      <w:r w:rsidRPr="003D796F">
        <w:rPr>
          <w:rFonts w:ascii="Times New Roman" w:eastAsia="Times New Roman" w:hAnsi="Times New Roman" w:cs="Times New Roman"/>
          <w:color w:val="0F1115"/>
          <w:kern w:val="0"/>
          <w14:ligatures w14:val="none"/>
        </w:rPr>
        <w:t>.</w:t>
      </w:r>
    </w:p>
    <w:p w14:paraId="50DEADDB"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3D796F">
        <w:rPr>
          <w:rFonts w:ascii="Times New Roman" w:eastAsia="Times New Roman" w:hAnsi="Times New Roman" w:cs="Times New Roman"/>
          <w:color w:val="0F1115"/>
          <w:kern w:val="0"/>
          <w14:ligatures w14:val="none"/>
        </w:rPr>
        <w:t>Lespessailles</w:t>
      </w:r>
      <w:proofErr w:type="spellEnd"/>
      <w:r w:rsidRPr="003D796F">
        <w:rPr>
          <w:rFonts w:ascii="Times New Roman" w:eastAsia="Times New Roman" w:hAnsi="Times New Roman" w:cs="Times New Roman"/>
          <w:color w:val="0F1115"/>
          <w:kern w:val="0"/>
          <w14:ligatures w14:val="none"/>
        </w:rPr>
        <w:t xml:space="preserve">, É. (2020). </w:t>
      </w:r>
      <w:proofErr w:type="spellStart"/>
      <w:r w:rsidRPr="003D796F">
        <w:rPr>
          <w:rFonts w:ascii="Times New Roman" w:eastAsia="Times New Roman" w:hAnsi="Times New Roman" w:cs="Times New Roman"/>
          <w:color w:val="0F1115"/>
          <w:kern w:val="0"/>
          <w14:ligatures w14:val="none"/>
        </w:rPr>
        <w:t>Épidémiologie</w:t>
      </w:r>
      <w:proofErr w:type="spellEnd"/>
      <w:r w:rsidRPr="003D796F">
        <w:rPr>
          <w:rFonts w:ascii="Times New Roman" w:eastAsia="Times New Roman" w:hAnsi="Times New Roman" w:cs="Times New Roman"/>
          <w:color w:val="0F1115"/>
          <w:kern w:val="0"/>
          <w14:ligatures w14:val="none"/>
        </w:rPr>
        <w:t xml:space="preserve"> de </w:t>
      </w:r>
      <w:proofErr w:type="spellStart"/>
      <w:r w:rsidRPr="003D796F">
        <w:rPr>
          <w:rFonts w:ascii="Times New Roman" w:eastAsia="Times New Roman" w:hAnsi="Times New Roman" w:cs="Times New Roman"/>
          <w:color w:val="0F1115"/>
          <w:kern w:val="0"/>
          <w14:ligatures w14:val="none"/>
        </w:rPr>
        <w:t>l'ostéoporose</w:t>
      </w:r>
      <w:proofErr w:type="spellEnd"/>
      <w:r w:rsidRPr="003D796F">
        <w:rPr>
          <w:rFonts w:ascii="Times New Roman" w:eastAsia="Times New Roman" w:hAnsi="Times New Roman" w:cs="Times New Roman"/>
          <w:color w:val="0F1115"/>
          <w:kern w:val="0"/>
          <w14:ligatures w14:val="none"/>
        </w:rPr>
        <w:t>. </w:t>
      </w:r>
      <w:r w:rsidRPr="003D796F">
        <w:rPr>
          <w:rFonts w:ascii="Times New Roman" w:eastAsia="Times New Roman" w:hAnsi="Times New Roman" w:cs="Times New Roman"/>
          <w:i/>
          <w:iCs/>
          <w:color w:val="0F1115"/>
          <w:kern w:val="0"/>
          <w14:ligatures w14:val="none"/>
        </w:rPr>
        <w:t>Revue Pratique</w:t>
      </w:r>
      <w:r w:rsidRPr="003D796F">
        <w:rPr>
          <w:rFonts w:ascii="Times New Roman" w:eastAsia="Times New Roman" w:hAnsi="Times New Roman" w:cs="Times New Roman"/>
          <w:color w:val="0F1115"/>
          <w:kern w:val="0"/>
          <w14:ligatures w14:val="none"/>
        </w:rPr>
        <w:t>, 11–12.</w:t>
      </w:r>
    </w:p>
    <w:p w14:paraId="09C0824E"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3D796F">
        <w:rPr>
          <w:rFonts w:ascii="Times New Roman" w:eastAsia="Times New Roman" w:hAnsi="Times New Roman" w:cs="Times New Roman"/>
          <w:color w:val="0F1115"/>
          <w:kern w:val="0"/>
          <w14:ligatures w14:val="none"/>
        </w:rPr>
        <w:t>Onuminya</w:t>
      </w:r>
      <w:proofErr w:type="spellEnd"/>
      <w:r w:rsidRPr="003D796F">
        <w:rPr>
          <w:rFonts w:ascii="Times New Roman" w:eastAsia="Times New Roman" w:hAnsi="Times New Roman" w:cs="Times New Roman"/>
          <w:color w:val="0F1115"/>
          <w:kern w:val="0"/>
          <w14:ligatures w14:val="none"/>
        </w:rPr>
        <w:t>, J. E. (2004). The role of traditional bone setters in fracture care in Nigeria. </w:t>
      </w:r>
      <w:r w:rsidRPr="003D796F">
        <w:rPr>
          <w:rFonts w:ascii="Times New Roman" w:eastAsia="Times New Roman" w:hAnsi="Times New Roman" w:cs="Times New Roman"/>
          <w:i/>
          <w:iCs/>
          <w:color w:val="0F1115"/>
          <w:kern w:val="0"/>
          <w14:ligatures w14:val="none"/>
        </w:rPr>
        <w:t>Tropical Doctor</w:t>
      </w:r>
      <w:r w:rsidRPr="003D796F">
        <w:rPr>
          <w:rFonts w:ascii="Times New Roman" w:eastAsia="Times New Roman" w:hAnsi="Times New Roman" w:cs="Times New Roman"/>
          <w:color w:val="0F1115"/>
          <w:kern w:val="0"/>
          <w14:ligatures w14:val="none"/>
        </w:rPr>
        <w:t>.</w:t>
      </w:r>
    </w:p>
    <w:p w14:paraId="39539259"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 xml:space="preserve">Peltzer, K., &amp; </w:t>
      </w:r>
      <w:proofErr w:type="spellStart"/>
      <w:r w:rsidRPr="003D796F">
        <w:rPr>
          <w:rFonts w:ascii="Times New Roman" w:eastAsia="Times New Roman" w:hAnsi="Times New Roman" w:cs="Times New Roman"/>
          <w:color w:val="0F1115"/>
          <w:kern w:val="0"/>
          <w14:ligatures w14:val="none"/>
        </w:rPr>
        <w:t>Mngqundaniso</w:t>
      </w:r>
      <w:proofErr w:type="spellEnd"/>
      <w:r w:rsidRPr="003D796F">
        <w:rPr>
          <w:rFonts w:ascii="Times New Roman" w:eastAsia="Times New Roman" w:hAnsi="Times New Roman" w:cs="Times New Roman"/>
          <w:color w:val="0F1115"/>
          <w:kern w:val="0"/>
          <w14:ligatures w14:val="none"/>
        </w:rPr>
        <w:t>, N. (2008). Patients consulting traditional health practitioners in South Africa. </w:t>
      </w:r>
      <w:r w:rsidRPr="003D796F">
        <w:rPr>
          <w:rFonts w:ascii="Times New Roman" w:eastAsia="Times New Roman" w:hAnsi="Times New Roman" w:cs="Times New Roman"/>
          <w:i/>
          <w:iCs/>
          <w:color w:val="0F1115"/>
          <w:kern w:val="0"/>
          <w14:ligatures w14:val="none"/>
        </w:rPr>
        <w:t>African Journal of Traditional, Complementary and Alternative Medicines</w:t>
      </w:r>
      <w:r w:rsidRPr="003D796F">
        <w:rPr>
          <w:rFonts w:ascii="Times New Roman" w:eastAsia="Times New Roman" w:hAnsi="Times New Roman" w:cs="Times New Roman"/>
          <w:color w:val="0F1115"/>
          <w:kern w:val="0"/>
          <w14:ligatures w14:val="none"/>
        </w:rPr>
        <w:t>.</w:t>
      </w:r>
    </w:p>
    <w:p w14:paraId="56223A05"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3D796F">
        <w:rPr>
          <w:rFonts w:ascii="Times New Roman" w:eastAsia="Times New Roman" w:hAnsi="Times New Roman" w:cs="Times New Roman"/>
          <w:color w:val="0F1115"/>
          <w:kern w:val="0"/>
          <w14:ligatures w14:val="none"/>
        </w:rPr>
        <w:t>Somé</w:t>
      </w:r>
      <w:proofErr w:type="spellEnd"/>
      <w:r w:rsidRPr="003D796F">
        <w:rPr>
          <w:rFonts w:ascii="Times New Roman" w:eastAsia="Times New Roman" w:hAnsi="Times New Roman" w:cs="Times New Roman"/>
          <w:color w:val="0F1115"/>
          <w:kern w:val="0"/>
          <w14:ligatures w14:val="none"/>
        </w:rPr>
        <w:t xml:space="preserve">, A., et al. (2024). Complications des </w:t>
      </w:r>
      <w:proofErr w:type="spellStart"/>
      <w:r w:rsidRPr="003D796F">
        <w:rPr>
          <w:rFonts w:ascii="Times New Roman" w:eastAsia="Times New Roman" w:hAnsi="Times New Roman" w:cs="Times New Roman"/>
          <w:color w:val="0F1115"/>
          <w:kern w:val="0"/>
          <w14:ligatures w14:val="none"/>
        </w:rPr>
        <w:t>traumatismes</w:t>
      </w:r>
      <w:proofErr w:type="spellEnd"/>
      <w:r w:rsidRPr="003D796F">
        <w:rPr>
          <w:rFonts w:ascii="Times New Roman" w:eastAsia="Times New Roman" w:hAnsi="Times New Roman" w:cs="Times New Roman"/>
          <w:color w:val="0F1115"/>
          <w:kern w:val="0"/>
          <w14:ligatures w14:val="none"/>
        </w:rPr>
        <w:t xml:space="preserve"> des </w:t>
      </w:r>
      <w:proofErr w:type="spellStart"/>
      <w:r w:rsidRPr="003D796F">
        <w:rPr>
          <w:rFonts w:ascii="Times New Roman" w:eastAsia="Times New Roman" w:hAnsi="Times New Roman" w:cs="Times New Roman"/>
          <w:color w:val="0F1115"/>
          <w:kern w:val="0"/>
          <w14:ligatures w14:val="none"/>
        </w:rPr>
        <w:t>membres</w:t>
      </w:r>
      <w:proofErr w:type="spellEnd"/>
      <w:r w:rsidRPr="003D796F">
        <w:rPr>
          <w:rFonts w:ascii="Times New Roman" w:eastAsia="Times New Roman" w:hAnsi="Times New Roman" w:cs="Times New Roman"/>
          <w:color w:val="0F1115"/>
          <w:kern w:val="0"/>
          <w14:ligatures w14:val="none"/>
        </w:rPr>
        <w:t xml:space="preserve"> après </w:t>
      </w:r>
      <w:proofErr w:type="spellStart"/>
      <w:r w:rsidRPr="003D796F">
        <w:rPr>
          <w:rFonts w:ascii="Times New Roman" w:eastAsia="Times New Roman" w:hAnsi="Times New Roman" w:cs="Times New Roman"/>
          <w:color w:val="0F1115"/>
          <w:kern w:val="0"/>
          <w14:ligatures w14:val="none"/>
        </w:rPr>
        <w:t>traitement</w:t>
      </w:r>
      <w:proofErr w:type="spellEnd"/>
      <w:r w:rsidRPr="003D796F">
        <w:rPr>
          <w:rFonts w:ascii="Times New Roman" w:eastAsia="Times New Roman" w:hAnsi="Times New Roman" w:cs="Times New Roman"/>
          <w:color w:val="0F1115"/>
          <w:kern w:val="0"/>
          <w14:ligatures w14:val="none"/>
        </w:rPr>
        <w:t xml:space="preserve"> </w:t>
      </w:r>
      <w:proofErr w:type="spellStart"/>
      <w:r w:rsidRPr="003D796F">
        <w:rPr>
          <w:rFonts w:ascii="Times New Roman" w:eastAsia="Times New Roman" w:hAnsi="Times New Roman" w:cs="Times New Roman"/>
          <w:color w:val="0F1115"/>
          <w:kern w:val="0"/>
          <w14:ligatures w14:val="none"/>
        </w:rPr>
        <w:t>traditionnel</w:t>
      </w:r>
      <w:proofErr w:type="spellEnd"/>
      <w:r w:rsidRPr="003D796F">
        <w:rPr>
          <w:rFonts w:ascii="Times New Roman" w:eastAsia="Times New Roman" w:hAnsi="Times New Roman" w:cs="Times New Roman"/>
          <w:color w:val="0F1115"/>
          <w:kern w:val="0"/>
          <w14:ligatures w14:val="none"/>
        </w:rPr>
        <w:t>. </w:t>
      </w:r>
      <w:r w:rsidRPr="003D796F">
        <w:rPr>
          <w:rFonts w:ascii="Times New Roman" w:eastAsia="Times New Roman" w:hAnsi="Times New Roman" w:cs="Times New Roman"/>
          <w:i/>
          <w:iCs/>
          <w:color w:val="0F1115"/>
          <w:kern w:val="0"/>
          <w14:ligatures w14:val="none"/>
        </w:rPr>
        <w:t xml:space="preserve">Revue Africaine de </w:t>
      </w:r>
      <w:proofErr w:type="spellStart"/>
      <w:r w:rsidRPr="003D796F">
        <w:rPr>
          <w:rFonts w:ascii="Times New Roman" w:eastAsia="Times New Roman" w:hAnsi="Times New Roman" w:cs="Times New Roman"/>
          <w:i/>
          <w:iCs/>
          <w:color w:val="0F1115"/>
          <w:kern w:val="0"/>
          <w14:ligatures w14:val="none"/>
        </w:rPr>
        <w:t>Chirurgie</w:t>
      </w:r>
      <w:proofErr w:type="spellEnd"/>
      <w:r w:rsidRPr="003D796F">
        <w:rPr>
          <w:rFonts w:ascii="Times New Roman" w:eastAsia="Times New Roman" w:hAnsi="Times New Roman" w:cs="Times New Roman"/>
          <w:i/>
          <w:iCs/>
          <w:color w:val="0F1115"/>
          <w:kern w:val="0"/>
          <w14:ligatures w14:val="none"/>
        </w:rPr>
        <w:t xml:space="preserve"> </w:t>
      </w:r>
      <w:proofErr w:type="spellStart"/>
      <w:r w:rsidRPr="003D796F">
        <w:rPr>
          <w:rFonts w:ascii="Times New Roman" w:eastAsia="Times New Roman" w:hAnsi="Times New Roman" w:cs="Times New Roman"/>
          <w:i/>
          <w:iCs/>
          <w:color w:val="0F1115"/>
          <w:kern w:val="0"/>
          <w14:ligatures w14:val="none"/>
        </w:rPr>
        <w:t>Orthopédique</w:t>
      </w:r>
      <w:proofErr w:type="spellEnd"/>
      <w:r w:rsidRPr="003D796F">
        <w:rPr>
          <w:rFonts w:ascii="Times New Roman" w:eastAsia="Times New Roman" w:hAnsi="Times New Roman" w:cs="Times New Roman"/>
          <w:color w:val="0F1115"/>
          <w:kern w:val="0"/>
          <w14:ligatures w14:val="none"/>
        </w:rPr>
        <w:t>.</w:t>
      </w:r>
    </w:p>
    <w:p w14:paraId="7A18BBE9"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World Health Organization. (2013). </w:t>
      </w:r>
      <w:r w:rsidRPr="003D796F">
        <w:rPr>
          <w:rFonts w:ascii="Times New Roman" w:eastAsia="Times New Roman" w:hAnsi="Times New Roman" w:cs="Times New Roman"/>
          <w:i/>
          <w:iCs/>
          <w:color w:val="0F1115"/>
          <w:kern w:val="0"/>
          <w14:ligatures w14:val="none"/>
        </w:rPr>
        <w:t>WHO traditional medicine strategy 2014–2023</w:t>
      </w:r>
      <w:r w:rsidRPr="003D796F">
        <w:rPr>
          <w:rFonts w:ascii="Times New Roman" w:eastAsia="Times New Roman" w:hAnsi="Times New Roman" w:cs="Times New Roman"/>
          <w:color w:val="0F1115"/>
          <w:kern w:val="0"/>
          <w14:ligatures w14:val="none"/>
        </w:rPr>
        <w:t>. Geneva: WHO.</w:t>
      </w:r>
    </w:p>
    <w:p w14:paraId="21EDE1A4"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color w:val="0F1115"/>
          <w:kern w:val="0"/>
          <w14:ligatures w14:val="none"/>
        </w:rPr>
        <w:t>World Health Organization. (2024). </w:t>
      </w:r>
      <w:r w:rsidRPr="003D796F">
        <w:rPr>
          <w:rFonts w:ascii="Times New Roman" w:eastAsia="Times New Roman" w:hAnsi="Times New Roman" w:cs="Times New Roman"/>
          <w:i/>
          <w:iCs/>
          <w:color w:val="0F1115"/>
          <w:kern w:val="0"/>
          <w14:ligatures w14:val="none"/>
        </w:rPr>
        <w:t xml:space="preserve">Fractures de </w:t>
      </w:r>
      <w:proofErr w:type="spellStart"/>
      <w:r w:rsidRPr="003D796F">
        <w:rPr>
          <w:rFonts w:ascii="Times New Roman" w:eastAsia="Times New Roman" w:hAnsi="Times New Roman" w:cs="Times New Roman"/>
          <w:i/>
          <w:iCs/>
          <w:color w:val="0F1115"/>
          <w:kern w:val="0"/>
          <w14:ligatures w14:val="none"/>
        </w:rPr>
        <w:t>fragilité</w:t>
      </w:r>
      <w:proofErr w:type="spellEnd"/>
      <w:r w:rsidRPr="003D796F">
        <w:rPr>
          <w:rFonts w:ascii="Times New Roman" w:eastAsia="Times New Roman" w:hAnsi="Times New Roman" w:cs="Times New Roman"/>
          <w:i/>
          <w:iCs/>
          <w:color w:val="0F1115"/>
          <w:kern w:val="0"/>
          <w14:ligatures w14:val="none"/>
        </w:rPr>
        <w:t xml:space="preserve">: fiche </w:t>
      </w:r>
      <w:proofErr w:type="spellStart"/>
      <w:r w:rsidRPr="003D796F">
        <w:rPr>
          <w:rFonts w:ascii="Times New Roman" w:eastAsia="Times New Roman" w:hAnsi="Times New Roman" w:cs="Times New Roman"/>
          <w:i/>
          <w:iCs/>
          <w:color w:val="0F1115"/>
          <w:kern w:val="0"/>
          <w14:ligatures w14:val="none"/>
        </w:rPr>
        <w:t>d'information</w:t>
      </w:r>
      <w:proofErr w:type="spellEnd"/>
      <w:r w:rsidRPr="003D796F">
        <w:rPr>
          <w:rFonts w:ascii="Times New Roman" w:eastAsia="Times New Roman" w:hAnsi="Times New Roman" w:cs="Times New Roman"/>
          <w:color w:val="0F1115"/>
          <w:kern w:val="0"/>
          <w14:ligatures w14:val="none"/>
        </w:rPr>
        <w:t>. Geneva: WHO.</w:t>
      </w:r>
    </w:p>
    <w:p w14:paraId="25EEB1C1"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Corresponding Author:</w:t>
      </w:r>
      <w:r w:rsidRPr="003D796F">
        <w:rPr>
          <w:rFonts w:ascii="Times New Roman" w:eastAsia="Times New Roman" w:hAnsi="Times New Roman" w:cs="Times New Roman"/>
          <w:color w:val="0F1115"/>
          <w:kern w:val="0"/>
          <w14:ligatures w14:val="none"/>
        </w:rPr>
        <w:br/>
        <w:t>Augustin Mboyo Bongoy</w:t>
      </w:r>
      <w:r w:rsidRPr="003D796F">
        <w:rPr>
          <w:rFonts w:ascii="Times New Roman" w:eastAsia="Times New Roman" w:hAnsi="Times New Roman" w:cs="Times New Roman"/>
          <w:color w:val="0F1115"/>
          <w:kern w:val="0"/>
          <w14:ligatures w14:val="none"/>
        </w:rPr>
        <w:br/>
      </w:r>
      <w:proofErr w:type="spellStart"/>
      <w:r w:rsidRPr="003D796F">
        <w:rPr>
          <w:rFonts w:ascii="Times New Roman" w:eastAsia="Times New Roman" w:hAnsi="Times New Roman" w:cs="Times New Roman"/>
          <w:color w:val="0F1115"/>
          <w:kern w:val="0"/>
          <w14:ligatures w14:val="none"/>
        </w:rPr>
        <w:lastRenderedPageBreak/>
        <w:t>Institut</w:t>
      </w:r>
      <w:proofErr w:type="spellEnd"/>
      <w:r w:rsidRPr="003D796F">
        <w:rPr>
          <w:rFonts w:ascii="Times New Roman" w:eastAsia="Times New Roman" w:hAnsi="Times New Roman" w:cs="Times New Roman"/>
          <w:color w:val="0F1115"/>
          <w:kern w:val="0"/>
          <w14:ligatures w14:val="none"/>
        </w:rPr>
        <w:t xml:space="preserve"> Supérieur des Techniques </w:t>
      </w:r>
      <w:proofErr w:type="spellStart"/>
      <w:r w:rsidRPr="003D796F">
        <w:rPr>
          <w:rFonts w:ascii="Times New Roman" w:eastAsia="Times New Roman" w:hAnsi="Times New Roman" w:cs="Times New Roman"/>
          <w:color w:val="0F1115"/>
          <w:kern w:val="0"/>
          <w14:ligatures w14:val="none"/>
        </w:rPr>
        <w:t>Médicales</w:t>
      </w:r>
      <w:proofErr w:type="spellEnd"/>
      <w:r w:rsidRPr="003D796F">
        <w:rPr>
          <w:rFonts w:ascii="Times New Roman" w:eastAsia="Times New Roman" w:hAnsi="Times New Roman" w:cs="Times New Roman"/>
          <w:color w:val="0F1115"/>
          <w:kern w:val="0"/>
          <w14:ligatures w14:val="none"/>
        </w:rPr>
        <w:t xml:space="preserve"> (ISTM)</w:t>
      </w:r>
      <w:r w:rsidRPr="003D796F">
        <w:rPr>
          <w:rFonts w:ascii="Times New Roman" w:eastAsia="Times New Roman" w:hAnsi="Times New Roman" w:cs="Times New Roman"/>
          <w:color w:val="0F1115"/>
          <w:kern w:val="0"/>
          <w14:ligatures w14:val="none"/>
        </w:rPr>
        <w:br/>
      </w:r>
      <w:proofErr w:type="spellStart"/>
      <w:r w:rsidRPr="003D796F">
        <w:rPr>
          <w:rFonts w:ascii="Times New Roman" w:eastAsia="Times New Roman" w:hAnsi="Times New Roman" w:cs="Times New Roman"/>
          <w:color w:val="0F1115"/>
          <w:kern w:val="0"/>
          <w14:ligatures w14:val="none"/>
        </w:rPr>
        <w:t>Mbandaka</w:t>
      </w:r>
      <w:proofErr w:type="spellEnd"/>
      <w:r w:rsidRPr="003D796F">
        <w:rPr>
          <w:rFonts w:ascii="Times New Roman" w:eastAsia="Times New Roman" w:hAnsi="Times New Roman" w:cs="Times New Roman"/>
          <w:color w:val="0F1115"/>
          <w:kern w:val="0"/>
          <w14:ligatures w14:val="none"/>
        </w:rPr>
        <w:t>, Democratic Republic of the Congo</w:t>
      </w:r>
      <w:r w:rsidRPr="003D796F">
        <w:rPr>
          <w:rFonts w:ascii="Times New Roman" w:eastAsia="Times New Roman" w:hAnsi="Times New Roman" w:cs="Times New Roman"/>
          <w:color w:val="0F1115"/>
          <w:kern w:val="0"/>
          <w14:ligatures w14:val="none"/>
        </w:rPr>
        <w:br/>
        <w:t>Email: istm_mbka@gmail.com</w:t>
      </w:r>
    </w:p>
    <w:p w14:paraId="3A6D4670"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Conflict of Interest Statement:</w:t>
      </w:r>
      <w:r w:rsidRPr="003D796F">
        <w:rPr>
          <w:rFonts w:ascii="Times New Roman" w:eastAsia="Times New Roman" w:hAnsi="Times New Roman" w:cs="Times New Roman"/>
          <w:color w:val="0F1115"/>
          <w:kern w:val="0"/>
          <w14:ligatures w14:val="none"/>
        </w:rPr>
        <w:t> The author declares no conflict of interest.</w:t>
      </w:r>
    </w:p>
    <w:p w14:paraId="0D34048B" w14:textId="77777777" w:rsidR="003D796F" w:rsidRPr="003D796F" w:rsidRDefault="003D796F" w:rsidP="003D796F">
      <w:pPr>
        <w:shd w:val="clear" w:color="auto" w:fill="FFFFFF"/>
        <w:spacing w:before="240" w:after="240" w:line="420" w:lineRule="atLeast"/>
        <w:rPr>
          <w:rFonts w:ascii="Times New Roman" w:eastAsia="Times New Roman" w:hAnsi="Times New Roman" w:cs="Times New Roman"/>
          <w:color w:val="0F1115"/>
          <w:kern w:val="0"/>
          <w14:ligatures w14:val="none"/>
        </w:rPr>
      </w:pPr>
      <w:r w:rsidRPr="003D796F">
        <w:rPr>
          <w:rFonts w:ascii="Times New Roman" w:eastAsia="Times New Roman" w:hAnsi="Times New Roman" w:cs="Times New Roman"/>
          <w:b/>
          <w:bCs/>
          <w:color w:val="0F1115"/>
          <w:kern w:val="0"/>
          <w14:ligatures w14:val="none"/>
        </w:rPr>
        <w:t>Acknowledgments:</w:t>
      </w:r>
      <w:r w:rsidRPr="003D796F">
        <w:rPr>
          <w:rFonts w:ascii="Times New Roman" w:eastAsia="Times New Roman" w:hAnsi="Times New Roman" w:cs="Times New Roman"/>
          <w:color w:val="0F1115"/>
          <w:kern w:val="0"/>
          <w14:ligatures w14:val="none"/>
        </w:rPr>
        <w:t xml:space="preserve"> The author thanks Professor Jacques Lofandjola </w:t>
      </w:r>
      <w:proofErr w:type="spellStart"/>
      <w:r w:rsidRPr="003D796F">
        <w:rPr>
          <w:rFonts w:ascii="Times New Roman" w:eastAsia="Times New Roman" w:hAnsi="Times New Roman" w:cs="Times New Roman"/>
          <w:color w:val="0F1115"/>
          <w:kern w:val="0"/>
          <w14:ligatures w14:val="none"/>
        </w:rPr>
        <w:t>Masumbuku</w:t>
      </w:r>
      <w:proofErr w:type="spellEnd"/>
      <w:r w:rsidRPr="003D796F">
        <w:rPr>
          <w:rFonts w:ascii="Times New Roman" w:eastAsia="Times New Roman" w:hAnsi="Times New Roman" w:cs="Times New Roman"/>
          <w:color w:val="0F1115"/>
          <w:kern w:val="0"/>
          <w14:ligatures w14:val="none"/>
        </w:rPr>
        <w:t xml:space="preserve"> for supervision, Professor Thom's Konga </w:t>
      </w:r>
      <w:proofErr w:type="spellStart"/>
      <w:r w:rsidRPr="003D796F">
        <w:rPr>
          <w:rFonts w:ascii="Times New Roman" w:eastAsia="Times New Roman" w:hAnsi="Times New Roman" w:cs="Times New Roman"/>
          <w:color w:val="0F1115"/>
          <w:kern w:val="0"/>
          <w14:ligatures w14:val="none"/>
        </w:rPr>
        <w:t>Bakombo</w:t>
      </w:r>
      <w:proofErr w:type="spellEnd"/>
      <w:r w:rsidRPr="003D796F">
        <w:rPr>
          <w:rFonts w:ascii="Times New Roman" w:eastAsia="Times New Roman" w:hAnsi="Times New Roman" w:cs="Times New Roman"/>
          <w:color w:val="0F1115"/>
          <w:kern w:val="0"/>
          <w14:ligatures w14:val="none"/>
        </w:rPr>
        <w:t xml:space="preserve"> for co-direction, and all patients, healthcare professionals, and traditional healers who participated in this study.</w:t>
      </w:r>
    </w:p>
    <w:p w14:paraId="2FA0035D" w14:textId="77777777" w:rsidR="003D796F" w:rsidRPr="003D796F" w:rsidRDefault="003D796F" w:rsidP="003D796F">
      <w:pPr>
        <w:spacing w:after="0" w:line="240" w:lineRule="auto"/>
        <w:rPr>
          <w:rFonts w:ascii="Times New Roman" w:eastAsia="Times New Roman" w:hAnsi="Times New Roman" w:cs="Times New Roman"/>
          <w:kern w:val="0"/>
          <w14:ligatures w14:val="none"/>
        </w:rPr>
      </w:pPr>
    </w:p>
    <w:p w14:paraId="799C67FA" w14:textId="77777777" w:rsidR="00B41904" w:rsidRPr="003D796F" w:rsidRDefault="00B41904">
      <w:pPr>
        <w:rPr>
          <w:rFonts w:ascii="Times New Roman" w:hAnsi="Times New Roman" w:cs="Times New Roman"/>
        </w:rPr>
      </w:pPr>
    </w:p>
    <w:sectPr w:rsidR="00B41904" w:rsidRPr="003D796F">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2703" w14:textId="77777777" w:rsidR="00F630A1" w:rsidRDefault="00F630A1" w:rsidP="003D796F">
      <w:pPr>
        <w:spacing w:after="0" w:line="240" w:lineRule="auto"/>
      </w:pPr>
      <w:r>
        <w:separator/>
      </w:r>
    </w:p>
  </w:endnote>
  <w:endnote w:type="continuationSeparator" w:id="0">
    <w:p w14:paraId="57839B24" w14:textId="77777777" w:rsidR="00F630A1" w:rsidRDefault="00F630A1" w:rsidP="003D7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3955092"/>
      <w:docPartObj>
        <w:docPartGallery w:val="Page Numbers (Bottom of Page)"/>
        <w:docPartUnique/>
      </w:docPartObj>
    </w:sdtPr>
    <w:sdtContent>
      <w:p w14:paraId="0E0AACF4" w14:textId="07C24CB2" w:rsidR="003D796F" w:rsidRDefault="003D796F" w:rsidP="009F7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8C078E" w14:textId="77777777" w:rsidR="003D796F" w:rsidRDefault="003D796F" w:rsidP="003D79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8843770"/>
      <w:docPartObj>
        <w:docPartGallery w:val="Page Numbers (Bottom of Page)"/>
        <w:docPartUnique/>
      </w:docPartObj>
    </w:sdtPr>
    <w:sdtContent>
      <w:p w14:paraId="357726A2" w14:textId="0C1EF61C" w:rsidR="003D796F" w:rsidRDefault="003D796F" w:rsidP="009F7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422235CF" w14:textId="77777777" w:rsidR="003D796F" w:rsidRDefault="003D796F" w:rsidP="003D79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9B6BB" w14:textId="77777777" w:rsidR="00F630A1" w:rsidRDefault="00F630A1" w:rsidP="003D796F">
      <w:pPr>
        <w:spacing w:after="0" w:line="240" w:lineRule="auto"/>
      </w:pPr>
      <w:r>
        <w:separator/>
      </w:r>
    </w:p>
  </w:footnote>
  <w:footnote w:type="continuationSeparator" w:id="0">
    <w:p w14:paraId="5C40A3D0" w14:textId="77777777" w:rsidR="00F630A1" w:rsidRDefault="00F630A1" w:rsidP="003D7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B1B6B"/>
    <w:multiLevelType w:val="multilevel"/>
    <w:tmpl w:val="1E24C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C864D6"/>
    <w:multiLevelType w:val="multilevel"/>
    <w:tmpl w:val="6074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1E1D01"/>
    <w:multiLevelType w:val="multilevel"/>
    <w:tmpl w:val="B246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A24E68"/>
    <w:multiLevelType w:val="multilevel"/>
    <w:tmpl w:val="617E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160FE4"/>
    <w:multiLevelType w:val="multilevel"/>
    <w:tmpl w:val="BD7C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5603A"/>
    <w:multiLevelType w:val="multilevel"/>
    <w:tmpl w:val="D504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8E2AA4"/>
    <w:multiLevelType w:val="multilevel"/>
    <w:tmpl w:val="327E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6662866">
    <w:abstractNumId w:val="6"/>
  </w:num>
  <w:num w:numId="2" w16cid:durableId="785663251">
    <w:abstractNumId w:val="2"/>
  </w:num>
  <w:num w:numId="3" w16cid:durableId="886184725">
    <w:abstractNumId w:val="1"/>
  </w:num>
  <w:num w:numId="4" w16cid:durableId="933053291">
    <w:abstractNumId w:val="0"/>
  </w:num>
  <w:num w:numId="5" w16cid:durableId="343171030">
    <w:abstractNumId w:val="3"/>
  </w:num>
  <w:num w:numId="6" w16cid:durableId="719208367">
    <w:abstractNumId w:val="5"/>
  </w:num>
  <w:num w:numId="7" w16cid:durableId="4239192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05"/>
    <w:rsid w:val="002C4B73"/>
    <w:rsid w:val="0033223C"/>
    <w:rsid w:val="003D796F"/>
    <w:rsid w:val="003F70DD"/>
    <w:rsid w:val="008F6EA0"/>
    <w:rsid w:val="00A75705"/>
    <w:rsid w:val="00AC0C13"/>
    <w:rsid w:val="00B41904"/>
    <w:rsid w:val="00F6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42A3"/>
  <w15:chartTrackingRefBased/>
  <w15:docId w15:val="{D40C9B3D-0A4F-4E46-A83E-5192318B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7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57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57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7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7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7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7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7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7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7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57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57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7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7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705"/>
    <w:rPr>
      <w:rFonts w:eastAsiaTheme="majorEastAsia" w:cstheme="majorBidi"/>
      <w:color w:val="272727" w:themeColor="text1" w:themeTint="D8"/>
    </w:rPr>
  </w:style>
  <w:style w:type="paragraph" w:styleId="Title">
    <w:name w:val="Title"/>
    <w:basedOn w:val="Normal"/>
    <w:next w:val="Normal"/>
    <w:link w:val="TitleChar"/>
    <w:uiPriority w:val="10"/>
    <w:qFormat/>
    <w:rsid w:val="00A75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7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705"/>
    <w:pPr>
      <w:spacing w:before="160"/>
      <w:jc w:val="center"/>
    </w:pPr>
    <w:rPr>
      <w:i/>
      <w:iCs/>
      <w:color w:val="404040" w:themeColor="text1" w:themeTint="BF"/>
    </w:rPr>
  </w:style>
  <w:style w:type="character" w:customStyle="1" w:styleId="QuoteChar">
    <w:name w:val="Quote Char"/>
    <w:basedOn w:val="DefaultParagraphFont"/>
    <w:link w:val="Quote"/>
    <w:uiPriority w:val="29"/>
    <w:rsid w:val="00A75705"/>
    <w:rPr>
      <w:i/>
      <w:iCs/>
      <w:color w:val="404040" w:themeColor="text1" w:themeTint="BF"/>
    </w:rPr>
  </w:style>
  <w:style w:type="paragraph" w:styleId="ListParagraph">
    <w:name w:val="List Paragraph"/>
    <w:basedOn w:val="Normal"/>
    <w:uiPriority w:val="34"/>
    <w:qFormat/>
    <w:rsid w:val="00A75705"/>
    <w:pPr>
      <w:ind w:left="720"/>
      <w:contextualSpacing/>
    </w:pPr>
  </w:style>
  <w:style w:type="character" w:styleId="IntenseEmphasis">
    <w:name w:val="Intense Emphasis"/>
    <w:basedOn w:val="DefaultParagraphFont"/>
    <w:uiPriority w:val="21"/>
    <w:qFormat/>
    <w:rsid w:val="00A75705"/>
    <w:rPr>
      <w:i/>
      <w:iCs/>
      <w:color w:val="0F4761" w:themeColor="accent1" w:themeShade="BF"/>
    </w:rPr>
  </w:style>
  <w:style w:type="paragraph" w:styleId="IntenseQuote">
    <w:name w:val="Intense Quote"/>
    <w:basedOn w:val="Normal"/>
    <w:next w:val="Normal"/>
    <w:link w:val="IntenseQuoteChar"/>
    <w:uiPriority w:val="30"/>
    <w:qFormat/>
    <w:rsid w:val="00A757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705"/>
    <w:rPr>
      <w:i/>
      <w:iCs/>
      <w:color w:val="0F4761" w:themeColor="accent1" w:themeShade="BF"/>
    </w:rPr>
  </w:style>
  <w:style w:type="character" w:styleId="IntenseReference">
    <w:name w:val="Intense Reference"/>
    <w:basedOn w:val="DefaultParagraphFont"/>
    <w:uiPriority w:val="32"/>
    <w:qFormat/>
    <w:rsid w:val="00A75705"/>
    <w:rPr>
      <w:b/>
      <w:bCs/>
      <w:smallCaps/>
      <w:color w:val="0F4761" w:themeColor="accent1" w:themeShade="BF"/>
      <w:spacing w:val="5"/>
    </w:rPr>
  </w:style>
  <w:style w:type="paragraph" w:customStyle="1" w:styleId="ds-markdown-paragraph">
    <w:name w:val="ds-markdown-paragraph"/>
    <w:basedOn w:val="Normal"/>
    <w:rsid w:val="003D796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D796F"/>
    <w:rPr>
      <w:b/>
      <w:bCs/>
    </w:rPr>
  </w:style>
  <w:style w:type="character" w:styleId="Emphasis">
    <w:name w:val="Emphasis"/>
    <w:basedOn w:val="DefaultParagraphFont"/>
    <w:uiPriority w:val="20"/>
    <w:qFormat/>
    <w:rsid w:val="003D796F"/>
    <w:rPr>
      <w:i/>
      <w:iCs/>
    </w:rPr>
  </w:style>
  <w:style w:type="paragraph" w:styleId="Footer">
    <w:name w:val="footer"/>
    <w:basedOn w:val="Normal"/>
    <w:link w:val="FooterChar"/>
    <w:uiPriority w:val="99"/>
    <w:unhideWhenUsed/>
    <w:rsid w:val="003D7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96F"/>
  </w:style>
  <w:style w:type="character" w:styleId="PageNumber">
    <w:name w:val="page number"/>
    <w:basedOn w:val="DefaultParagraphFont"/>
    <w:uiPriority w:val="99"/>
    <w:semiHidden/>
    <w:unhideWhenUsed/>
    <w:rsid w:val="003D7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3283</Words>
  <Characters>18719</Characters>
  <Application>Microsoft Office Word</Application>
  <DocSecurity>0</DocSecurity>
  <Lines>155</Lines>
  <Paragraphs>43</Paragraphs>
  <ScaleCrop>false</ScaleCrop>
  <Company/>
  <LinksUpToDate>false</LinksUpToDate>
  <CharactersWithSpaces>21959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2026-05-21T08:05:00Z</dcterms:created>
  <dcterms:modified xsi:type="dcterms:W3CDTF">2026-05-21T08:12:00Z</dcterms:modified>
</cp:coreProperties>
</file>