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065C8" w14:textId="77777777" w:rsidR="00872431" w:rsidRPr="007F70EC" w:rsidRDefault="00872431" w:rsidP="00872431">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7F70EC">
        <w:rPr>
          <w:rFonts w:ascii="Times New Roman" w:eastAsia="Times New Roman" w:hAnsi="Times New Roman" w:cs="Times New Roman"/>
          <w:b/>
          <w:bCs/>
          <w:color w:val="0F1115"/>
          <w:kern w:val="36"/>
          <w:sz w:val="36"/>
          <w:szCs w:val="36"/>
          <w14:ligatures w14:val="none"/>
        </w:rPr>
        <w:t xml:space="preserve">Contribution of Human Resource Management to the Performance of the Expanded Program on Immunization in </w:t>
      </w:r>
      <w:proofErr w:type="spellStart"/>
      <w:r w:rsidRPr="007F70EC">
        <w:rPr>
          <w:rFonts w:ascii="Times New Roman" w:eastAsia="Times New Roman" w:hAnsi="Times New Roman" w:cs="Times New Roman"/>
          <w:b/>
          <w:bCs/>
          <w:color w:val="0F1115"/>
          <w:kern w:val="36"/>
          <w:sz w:val="36"/>
          <w:szCs w:val="36"/>
          <w14:ligatures w14:val="none"/>
        </w:rPr>
        <w:t>Mbandaka</w:t>
      </w:r>
      <w:proofErr w:type="spellEnd"/>
      <w:r w:rsidRPr="007F70EC">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7F70EC">
        <w:rPr>
          <w:rFonts w:ascii="Times New Roman" w:eastAsia="Times New Roman" w:hAnsi="Times New Roman" w:cs="Times New Roman"/>
          <w:b/>
          <w:bCs/>
          <w:color w:val="0F1115"/>
          <w:kern w:val="36"/>
          <w:sz w:val="36"/>
          <w:szCs w:val="36"/>
          <w14:ligatures w14:val="none"/>
        </w:rPr>
        <w:t>the Congo</w:t>
      </w:r>
      <w:proofErr w:type="gramEnd"/>
      <w:r w:rsidRPr="007F70EC">
        <w:rPr>
          <w:rFonts w:ascii="Times New Roman" w:eastAsia="Times New Roman" w:hAnsi="Times New Roman" w:cs="Times New Roman"/>
          <w:b/>
          <w:bCs/>
          <w:color w:val="0F1115"/>
          <w:kern w:val="36"/>
          <w:sz w:val="36"/>
          <w:szCs w:val="36"/>
          <w14:ligatures w14:val="none"/>
        </w:rPr>
        <w:t>: A Mixed-Methods Study (March–July 2025)</w:t>
      </w:r>
    </w:p>
    <w:p w14:paraId="531D702A"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Author:</w:t>
      </w:r>
      <w:r w:rsidRPr="007F70EC">
        <w:rPr>
          <w:rFonts w:ascii="Times New Roman" w:eastAsia="Times New Roman" w:hAnsi="Times New Roman" w:cs="Times New Roman"/>
          <w:color w:val="0F1115"/>
          <w:kern w:val="0"/>
          <w14:ligatures w14:val="none"/>
        </w:rPr>
        <w:t> Mangi Mputu Célestin</w:t>
      </w:r>
      <w:r w:rsidRPr="007F70EC">
        <w:rPr>
          <w:rFonts w:ascii="Times New Roman" w:eastAsia="Times New Roman" w:hAnsi="Times New Roman" w:cs="Times New Roman"/>
          <w:color w:val="0F1115"/>
          <w:kern w:val="0"/>
          <w14:ligatures w14:val="none"/>
        </w:rPr>
        <w:br/>
      </w:r>
      <w:r w:rsidRPr="007F70EC">
        <w:rPr>
          <w:rFonts w:ascii="Times New Roman" w:eastAsia="Times New Roman" w:hAnsi="Times New Roman" w:cs="Times New Roman"/>
          <w:b/>
          <w:bCs/>
          <w:color w:val="0F1115"/>
          <w:kern w:val="0"/>
          <w14:ligatures w14:val="none"/>
        </w:rPr>
        <w:t>Affiliation:</w:t>
      </w:r>
      <w:r w:rsidRPr="007F70EC">
        <w:rPr>
          <w:rFonts w:ascii="Times New Roman" w:eastAsia="Times New Roman" w:hAnsi="Times New Roman" w:cs="Times New Roman"/>
          <w:color w:val="0F1115"/>
          <w:kern w:val="0"/>
          <w14:ligatures w14:val="none"/>
        </w:rPr>
        <w:t> </w:t>
      </w:r>
      <w:proofErr w:type="spellStart"/>
      <w:r w:rsidRPr="007F70EC">
        <w:rPr>
          <w:rFonts w:ascii="Times New Roman" w:eastAsia="Times New Roman" w:hAnsi="Times New Roman" w:cs="Times New Roman"/>
          <w:color w:val="0F1115"/>
          <w:kern w:val="0"/>
          <w14:ligatures w14:val="none"/>
        </w:rPr>
        <w:t>Institut</w:t>
      </w:r>
      <w:proofErr w:type="spellEnd"/>
      <w:r w:rsidRPr="007F70EC">
        <w:rPr>
          <w:rFonts w:ascii="Times New Roman" w:eastAsia="Times New Roman" w:hAnsi="Times New Roman" w:cs="Times New Roman"/>
          <w:color w:val="0F1115"/>
          <w:kern w:val="0"/>
          <w14:ligatures w14:val="none"/>
        </w:rPr>
        <w:t xml:space="preserve"> Supérieur des Techniques </w:t>
      </w:r>
      <w:proofErr w:type="spellStart"/>
      <w:r w:rsidRPr="007F70EC">
        <w:rPr>
          <w:rFonts w:ascii="Times New Roman" w:eastAsia="Times New Roman" w:hAnsi="Times New Roman" w:cs="Times New Roman"/>
          <w:color w:val="0F1115"/>
          <w:kern w:val="0"/>
          <w14:ligatures w14:val="none"/>
        </w:rPr>
        <w:t>Médicales</w:t>
      </w:r>
      <w:proofErr w:type="spellEnd"/>
      <w:r w:rsidRPr="007F70EC">
        <w:rPr>
          <w:rFonts w:ascii="Times New Roman" w:eastAsia="Times New Roman" w:hAnsi="Times New Roman" w:cs="Times New Roman"/>
          <w:color w:val="0F1115"/>
          <w:kern w:val="0"/>
          <w14:ligatures w14:val="none"/>
        </w:rPr>
        <w:t xml:space="preserve"> (ISTM),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Democratic Republic of the Congo</w:t>
      </w:r>
      <w:r w:rsidRPr="007F70EC">
        <w:rPr>
          <w:rFonts w:ascii="Times New Roman" w:eastAsia="Times New Roman" w:hAnsi="Times New Roman" w:cs="Times New Roman"/>
          <w:color w:val="0F1115"/>
          <w:kern w:val="0"/>
          <w14:ligatures w14:val="none"/>
        </w:rPr>
        <w:br/>
      </w:r>
      <w:r w:rsidRPr="007F70EC">
        <w:rPr>
          <w:rFonts w:ascii="Times New Roman" w:eastAsia="Times New Roman" w:hAnsi="Times New Roman" w:cs="Times New Roman"/>
          <w:b/>
          <w:bCs/>
          <w:color w:val="0F1115"/>
          <w:kern w:val="0"/>
          <w14:ligatures w14:val="none"/>
        </w:rPr>
        <w:t>Program:</w:t>
      </w:r>
      <w:r w:rsidRPr="007F70EC">
        <w:rPr>
          <w:rFonts w:ascii="Times New Roman" w:eastAsia="Times New Roman" w:hAnsi="Times New Roman" w:cs="Times New Roman"/>
          <w:color w:val="0F1115"/>
          <w:kern w:val="0"/>
          <w14:ligatures w14:val="none"/>
        </w:rPr>
        <w:t> </w:t>
      </w:r>
      <w:proofErr w:type="gramStart"/>
      <w:r w:rsidRPr="007F70EC">
        <w:rPr>
          <w:rFonts w:ascii="Times New Roman" w:eastAsia="Times New Roman" w:hAnsi="Times New Roman" w:cs="Times New Roman"/>
          <w:color w:val="0F1115"/>
          <w:kern w:val="0"/>
          <w14:ligatures w14:val="none"/>
        </w:rPr>
        <w:t>Master in Health Policies</w:t>
      </w:r>
      <w:proofErr w:type="gramEnd"/>
      <w:r w:rsidRPr="007F70EC">
        <w:rPr>
          <w:rFonts w:ascii="Times New Roman" w:eastAsia="Times New Roman" w:hAnsi="Times New Roman" w:cs="Times New Roman"/>
          <w:color w:val="0F1115"/>
          <w:kern w:val="0"/>
          <w14:ligatures w14:val="none"/>
        </w:rPr>
        <w:t>, Project and Health Systems Management</w:t>
      </w:r>
      <w:r w:rsidRPr="007F70EC">
        <w:rPr>
          <w:rFonts w:ascii="Times New Roman" w:eastAsia="Times New Roman" w:hAnsi="Times New Roman" w:cs="Times New Roman"/>
          <w:color w:val="0F1115"/>
          <w:kern w:val="0"/>
          <w14:ligatures w14:val="none"/>
        </w:rPr>
        <w:br/>
      </w:r>
      <w:r w:rsidRPr="007F70EC">
        <w:rPr>
          <w:rFonts w:ascii="Times New Roman" w:eastAsia="Times New Roman" w:hAnsi="Times New Roman" w:cs="Times New Roman"/>
          <w:b/>
          <w:bCs/>
          <w:color w:val="0F1115"/>
          <w:kern w:val="0"/>
          <w14:ligatures w14:val="none"/>
        </w:rPr>
        <w:t>Director:</w:t>
      </w:r>
      <w:r w:rsidRPr="007F70EC">
        <w:rPr>
          <w:rFonts w:ascii="Times New Roman" w:eastAsia="Times New Roman" w:hAnsi="Times New Roman" w:cs="Times New Roman"/>
          <w:color w:val="0F1115"/>
          <w:kern w:val="0"/>
          <w14:ligatures w14:val="none"/>
        </w:rPr>
        <w:t> Professor Jean Batiste Nsambi</w:t>
      </w:r>
      <w:r w:rsidRPr="007F70EC">
        <w:rPr>
          <w:rFonts w:ascii="Times New Roman" w:eastAsia="Times New Roman" w:hAnsi="Times New Roman" w:cs="Times New Roman"/>
          <w:color w:val="0F1115"/>
          <w:kern w:val="0"/>
          <w14:ligatures w14:val="none"/>
        </w:rPr>
        <w:br/>
      </w:r>
      <w:r w:rsidRPr="007F70EC">
        <w:rPr>
          <w:rFonts w:ascii="Times New Roman" w:eastAsia="Times New Roman" w:hAnsi="Times New Roman" w:cs="Times New Roman"/>
          <w:b/>
          <w:bCs/>
          <w:color w:val="0F1115"/>
          <w:kern w:val="0"/>
          <w14:ligatures w14:val="none"/>
        </w:rPr>
        <w:t>Supervisor:</w:t>
      </w:r>
      <w:r w:rsidRPr="007F70EC">
        <w:rPr>
          <w:rFonts w:ascii="Times New Roman" w:eastAsia="Times New Roman" w:hAnsi="Times New Roman" w:cs="Times New Roman"/>
          <w:color w:val="0F1115"/>
          <w:kern w:val="0"/>
          <w14:ligatures w14:val="none"/>
        </w:rPr>
        <w:t> Chef de Travaux Pierre Lofandjo Kawe</w:t>
      </w:r>
      <w:r w:rsidRPr="007F70EC">
        <w:rPr>
          <w:rFonts w:ascii="Times New Roman" w:eastAsia="Times New Roman" w:hAnsi="Times New Roman" w:cs="Times New Roman"/>
          <w:color w:val="0F1115"/>
          <w:kern w:val="0"/>
          <w14:ligatures w14:val="none"/>
        </w:rPr>
        <w:br/>
      </w:r>
      <w:r w:rsidRPr="007F70EC">
        <w:rPr>
          <w:rFonts w:ascii="Times New Roman" w:eastAsia="Times New Roman" w:hAnsi="Times New Roman" w:cs="Times New Roman"/>
          <w:b/>
          <w:bCs/>
          <w:color w:val="0F1115"/>
          <w:kern w:val="0"/>
          <w14:ligatures w14:val="none"/>
        </w:rPr>
        <w:t>Academic Year:</w:t>
      </w:r>
      <w:r w:rsidRPr="007F70EC">
        <w:rPr>
          <w:rFonts w:ascii="Times New Roman" w:eastAsia="Times New Roman" w:hAnsi="Times New Roman" w:cs="Times New Roman"/>
          <w:color w:val="0F1115"/>
          <w:kern w:val="0"/>
          <w14:ligatures w14:val="none"/>
        </w:rPr>
        <w:t> 2025–2026</w:t>
      </w:r>
    </w:p>
    <w:p w14:paraId="55DFD6CC"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Abstract</w:t>
      </w:r>
    </w:p>
    <w:p w14:paraId="074030C5"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Introduction:</w:t>
      </w:r>
      <w:r w:rsidRPr="007F70EC">
        <w:rPr>
          <w:rFonts w:ascii="Times New Roman" w:eastAsia="Times New Roman" w:hAnsi="Times New Roman" w:cs="Times New Roman"/>
          <w:color w:val="0F1115"/>
          <w:kern w:val="0"/>
          <w14:ligatures w14:val="none"/>
        </w:rPr>
        <w:t xml:space="preserve"> The Expanded Program on Immunization (EPI) is a cornerstone of public health in the Democratic Republic of the Congo (DRC), yet its performance remains suboptimal in many regions. Human resource management (HRM) is widely recognized as a critical determinant of health program performance. This study analyzed the contribution of HRM to EPI performance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Équateur Province, from March to July 2025.</w:t>
      </w:r>
    </w:p>
    <w:p w14:paraId="449BB52E"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Methods:</w:t>
      </w:r>
      <w:r w:rsidRPr="007F70EC">
        <w:rPr>
          <w:rFonts w:ascii="Times New Roman" w:eastAsia="Times New Roman" w:hAnsi="Times New Roman" w:cs="Times New Roman"/>
          <w:color w:val="0F1115"/>
          <w:kern w:val="0"/>
          <w14:ligatures w14:val="none"/>
        </w:rPr>
        <w:t xml:space="preserve"> A mixed-methods cross-sectional study was conducted among 95 EPI stakeholders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including 45 vaccinators, 20 health center chiefs, 15 supervisors, and 15 community health workers. Data were collected using structured questionnaires, semi-structured interviews, and direct observation. Descriptive statistics, chi-square tests, and logistic regression were performed using SPSS version 25. Thematic analysis was used for qualitative data.</w:t>
      </w:r>
    </w:p>
    <w:p w14:paraId="248287B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Results:</w:t>
      </w:r>
      <w:r w:rsidRPr="007F70EC">
        <w:rPr>
          <w:rFonts w:ascii="Times New Roman" w:eastAsia="Times New Roman" w:hAnsi="Times New Roman" w:cs="Times New Roman"/>
          <w:color w:val="0F1115"/>
          <w:kern w:val="0"/>
          <w14:ligatures w14:val="none"/>
        </w:rPr>
        <w:t xml:space="preserve"> Among vaccinators, 100% had received EPI training, but 59% felt training only moderately improved their skills. Supervision was regular for 71% of vaccinators, and 96% reported that supervision improved their work performance. However, 60% of supervisors </w:t>
      </w:r>
      <w:r w:rsidRPr="007F70EC">
        <w:rPr>
          <w:rFonts w:ascii="Times New Roman" w:eastAsia="Times New Roman" w:hAnsi="Times New Roman" w:cs="Times New Roman"/>
          <w:color w:val="0F1115"/>
          <w:kern w:val="0"/>
          <w14:ligatures w14:val="none"/>
        </w:rPr>
        <w:lastRenderedPageBreak/>
        <w:t xml:space="preserve">reported that personnel were insufficiently motivated, and 80% observed demotivation or absenteeism. While 84% of vaccinators considered their facility had sufficient staff, 52% of health center chiefs reported staff shortages. HRM factors influencing EPI performance were training (31%), motivation (25%), staffing levels (24%), and supervision (14%). </w:t>
      </w:r>
      <w:proofErr w:type="gramStart"/>
      <w:r w:rsidRPr="007F70EC">
        <w:rPr>
          <w:rFonts w:ascii="Times New Roman" w:eastAsia="Times New Roman" w:hAnsi="Times New Roman" w:cs="Times New Roman"/>
          <w:color w:val="0F1115"/>
          <w:kern w:val="0"/>
          <w14:ligatures w14:val="none"/>
        </w:rPr>
        <w:t>The majority of</w:t>
      </w:r>
      <w:proofErr w:type="gramEnd"/>
      <w:r w:rsidRPr="007F70EC">
        <w:rPr>
          <w:rFonts w:ascii="Times New Roman" w:eastAsia="Times New Roman" w:hAnsi="Times New Roman" w:cs="Times New Roman"/>
          <w:color w:val="0F1115"/>
          <w:kern w:val="0"/>
          <w14:ligatures w14:val="none"/>
        </w:rPr>
        <w:t xml:space="preserve"> respondents (93–96%) affirmed that HRM significantly influences EPI performance.</w:t>
      </w:r>
    </w:p>
    <w:p w14:paraId="3E9D67CC"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Conclusion:</w:t>
      </w:r>
      <w:r w:rsidRPr="007F70EC">
        <w:rPr>
          <w:rFonts w:ascii="Times New Roman" w:eastAsia="Times New Roman" w:hAnsi="Times New Roman" w:cs="Times New Roman"/>
          <w:color w:val="0F1115"/>
          <w:kern w:val="0"/>
          <w14:ligatures w14:val="none"/>
        </w:rPr>
        <w:t xml:space="preserve"> HRM plays a determinant role in EPI performance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Training, motivation, staffing levels, and supervision are key drivers. However, persistent challenges include insufficient motivation, occasional staff shortages, and equipment deficits. Strengthening HRM through regular training, effective motivation mechanisms, adequate staffing, and systematic supervision is essential for improving EPI outcomes.</w:t>
      </w:r>
    </w:p>
    <w:p w14:paraId="37A3E1AA"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Keywords:</w:t>
      </w:r>
      <w:r w:rsidRPr="007F70EC">
        <w:rPr>
          <w:rFonts w:ascii="Times New Roman" w:eastAsia="Times New Roman" w:hAnsi="Times New Roman" w:cs="Times New Roman"/>
          <w:color w:val="0F1115"/>
          <w:kern w:val="0"/>
          <w14:ligatures w14:val="none"/>
        </w:rPr>
        <w:t xml:space="preserve"> Human resource management, EPI performance, vaccination coverage, motivation, supervision,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Democratic Republic of the Congo</w:t>
      </w:r>
    </w:p>
    <w:p w14:paraId="32CBDF08"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1. Introduction</w:t>
      </w:r>
    </w:p>
    <w:p w14:paraId="5238135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The Expanded Program on Immunization (EPI) is one of the most cost-effective public health interventions, preventing approximately 2–3 million deaths annually from vaccine-preventable diseases such as measles, polio, diphtheria, tetanus, pertussis, and tuberculosis (World Health Organization [WHO], 2024). In the Democratic Republic of the Congo (DRC), the EPI has been operational since 1978, yet vaccination coverage remains below the 95% threshold required for herd immunity in many provinces (Ministère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2019).</w:t>
      </w:r>
    </w:p>
    <w:p w14:paraId="4C4ADDDA"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xml:space="preserve">, the capital of Équateur Province, faces unique challenges: geographic dispersion, limited infrastructure, recurrent disease outbreaks (Ebola, cholera, measles), and persistent organizational constraints. Despite the presence of trained personnel and health facilities, EPI performance has been inconsistent (Ministère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2016).</w:t>
      </w:r>
    </w:p>
    <w:p w14:paraId="6F2DC79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Human resource management (HRM) is increasingly recognized as a strategic lever for health program performance. According to Dessler (2013), HRM encompasses planning, recruitment, training, motivation, supervision, and performance evaluation of personnel. In the health sector, </w:t>
      </w:r>
      <w:r w:rsidRPr="007F70EC">
        <w:rPr>
          <w:rFonts w:ascii="Times New Roman" w:eastAsia="Times New Roman" w:hAnsi="Times New Roman" w:cs="Times New Roman"/>
          <w:color w:val="0F1115"/>
          <w:kern w:val="0"/>
          <w14:ligatures w14:val="none"/>
        </w:rPr>
        <w:lastRenderedPageBreak/>
        <w:t>effective HRM ensures staff availability, competence, motivation, and accountability, all of which directly affect service quality and coverage (WHO, 2008).</w:t>
      </w:r>
    </w:p>
    <w:p w14:paraId="4A4ECC10"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However, in many low-income settings, HRM faces persistent challenges: insufficient staffing, maldistribution of personnel, low motivation, irregular training, and weak supervision (Banque </w:t>
      </w:r>
      <w:proofErr w:type="spellStart"/>
      <w:r w:rsidRPr="007F70EC">
        <w:rPr>
          <w:rFonts w:ascii="Times New Roman" w:eastAsia="Times New Roman" w:hAnsi="Times New Roman" w:cs="Times New Roman"/>
          <w:color w:val="0F1115"/>
          <w:kern w:val="0"/>
          <w14:ligatures w14:val="none"/>
        </w:rPr>
        <w:t>mondiale</w:t>
      </w:r>
      <w:proofErr w:type="spellEnd"/>
      <w:r w:rsidRPr="007F70EC">
        <w:rPr>
          <w:rFonts w:ascii="Times New Roman" w:eastAsia="Times New Roman" w:hAnsi="Times New Roman" w:cs="Times New Roman"/>
          <w:color w:val="0F1115"/>
          <w:kern w:val="0"/>
          <w14:ligatures w14:val="none"/>
        </w:rPr>
        <w:t xml:space="preserve">, 2018). These challenges are particularly acute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where the EPI operates under resource constraints.</w:t>
      </w:r>
    </w:p>
    <w:p w14:paraId="4BF7645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This study therefore sought to answer the research question: </w:t>
      </w:r>
      <w:r w:rsidRPr="007F70EC">
        <w:rPr>
          <w:rFonts w:ascii="Times New Roman" w:eastAsia="Times New Roman" w:hAnsi="Times New Roman" w:cs="Times New Roman"/>
          <w:b/>
          <w:bCs/>
          <w:color w:val="0F1115"/>
          <w:kern w:val="0"/>
          <w14:ligatures w14:val="none"/>
        </w:rPr>
        <w:t xml:space="preserve">To what extent does human resource management contribute to improving the performance of the Expanded Program on Immunization in </w:t>
      </w:r>
      <w:proofErr w:type="spellStart"/>
      <w:r w:rsidRPr="007F70EC">
        <w:rPr>
          <w:rFonts w:ascii="Times New Roman" w:eastAsia="Times New Roman" w:hAnsi="Times New Roman" w:cs="Times New Roman"/>
          <w:b/>
          <w:bCs/>
          <w:color w:val="0F1115"/>
          <w:kern w:val="0"/>
          <w14:ligatures w14:val="none"/>
        </w:rPr>
        <w:t>Mbandaka</w:t>
      </w:r>
      <w:proofErr w:type="spellEnd"/>
      <w:r w:rsidRPr="007F70EC">
        <w:rPr>
          <w:rFonts w:ascii="Times New Roman" w:eastAsia="Times New Roman" w:hAnsi="Times New Roman" w:cs="Times New Roman"/>
          <w:b/>
          <w:bCs/>
          <w:color w:val="0F1115"/>
          <w:kern w:val="0"/>
          <w14:ligatures w14:val="none"/>
        </w:rPr>
        <w:t>, DRC, from March to July 2025?</w:t>
      </w:r>
    </w:p>
    <w:p w14:paraId="6CD15856"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The specific objectives were:</w:t>
      </w:r>
    </w:p>
    <w:p w14:paraId="3636C950" w14:textId="77777777" w:rsidR="00872431" w:rsidRPr="007F70EC" w:rsidRDefault="00872431" w:rsidP="00872431">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To describe HRM practices within the EPI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w:t>
      </w:r>
    </w:p>
    <w:p w14:paraId="6ED5D575" w14:textId="77777777" w:rsidR="00872431" w:rsidRPr="007F70EC" w:rsidRDefault="00872431" w:rsidP="00872431">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To assess EPI performance using key vaccination indicators.</w:t>
      </w:r>
    </w:p>
    <w:p w14:paraId="1C6AC9B7" w14:textId="77777777" w:rsidR="00872431" w:rsidRPr="007F70EC" w:rsidRDefault="00872431" w:rsidP="00872431">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To analyze the influence of staff planning and allocation on vaccination performance.</w:t>
      </w:r>
    </w:p>
    <w:p w14:paraId="47C92DA6" w14:textId="77777777" w:rsidR="00872431" w:rsidRPr="007F70EC" w:rsidRDefault="00872431" w:rsidP="00872431">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To examine the contribution of training and capacity building to service quality.</w:t>
      </w:r>
    </w:p>
    <w:p w14:paraId="0BE90DAD" w14:textId="77777777" w:rsidR="00872431" w:rsidRPr="007F70EC" w:rsidRDefault="00872431" w:rsidP="00872431">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To assess the effect of motivation and supervision on staff engagement and service continuity.</w:t>
      </w:r>
    </w:p>
    <w:p w14:paraId="06BE6D8F" w14:textId="77777777" w:rsidR="00872431" w:rsidRPr="007F70EC" w:rsidRDefault="00872431" w:rsidP="00872431">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To identify HRM-related challenges limiting EPI performance.</w:t>
      </w:r>
    </w:p>
    <w:p w14:paraId="3B6BA485"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2. Methods</w:t>
      </w:r>
    </w:p>
    <w:p w14:paraId="2B9368F8"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2.1. Study Design and Setting</w:t>
      </w:r>
    </w:p>
    <w:p w14:paraId="512EC616"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A </w:t>
      </w:r>
      <w:r w:rsidRPr="007F70EC">
        <w:rPr>
          <w:rFonts w:ascii="Times New Roman" w:eastAsia="Times New Roman" w:hAnsi="Times New Roman" w:cs="Times New Roman"/>
          <w:b/>
          <w:bCs/>
          <w:color w:val="0F1115"/>
          <w:kern w:val="0"/>
          <w14:ligatures w14:val="none"/>
        </w:rPr>
        <w:t>mixed-methods cross-sectional study</w:t>
      </w:r>
      <w:r w:rsidRPr="007F70EC">
        <w:rPr>
          <w:rFonts w:ascii="Times New Roman" w:eastAsia="Times New Roman" w:hAnsi="Times New Roman" w:cs="Times New Roman"/>
          <w:color w:val="0F1115"/>
          <w:kern w:val="0"/>
          <w14:ligatures w14:val="none"/>
        </w:rPr>
        <w:t xml:space="preserve"> was conducted from March to July 2025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xml:space="preserve"> city, the capital of Équateur Province, Democratic Republic of </w:t>
      </w:r>
      <w:proofErr w:type="gramStart"/>
      <w:r w:rsidRPr="007F70EC">
        <w:rPr>
          <w:rFonts w:ascii="Times New Roman" w:eastAsia="Times New Roman" w:hAnsi="Times New Roman" w:cs="Times New Roman"/>
          <w:color w:val="0F1115"/>
          <w:kern w:val="0"/>
          <w14:ligatures w14:val="none"/>
        </w:rPr>
        <w:t>the Congo</w:t>
      </w:r>
      <w:proofErr w:type="gramEnd"/>
      <w:r w:rsidRPr="007F70EC">
        <w:rPr>
          <w:rFonts w:ascii="Times New Roman" w:eastAsia="Times New Roman" w:hAnsi="Times New Roman" w:cs="Times New Roman"/>
          <w:color w:val="0F1115"/>
          <w:kern w:val="0"/>
          <w14:ligatures w14:val="none"/>
        </w:rPr>
        <w:t xml:space="preserve">.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xml:space="preserve"> serves as the administrative and logistical hub for the provincial health system, including the EPI. The study period coincided with routine vaccination activities and supplementary immunization campaigns.</w:t>
      </w:r>
    </w:p>
    <w:p w14:paraId="0A722B96"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lastRenderedPageBreak/>
        <w:t>2.2. Target Population and Sampling</w:t>
      </w:r>
    </w:p>
    <w:p w14:paraId="58FEDB0E"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The target population comprised four categories of EPI stakeholders:</w:t>
      </w:r>
    </w:p>
    <w:p w14:paraId="44267F74" w14:textId="77777777" w:rsidR="00872431" w:rsidRPr="007F70EC" w:rsidRDefault="00872431" w:rsidP="00872431">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Vaccinators (nurses)</w:t>
      </w:r>
      <w:r w:rsidRPr="007F70EC">
        <w:rPr>
          <w:rFonts w:ascii="Times New Roman" w:eastAsia="Times New Roman" w:hAnsi="Times New Roman" w:cs="Times New Roman"/>
          <w:color w:val="0F1115"/>
          <w:kern w:val="0"/>
          <w14:ligatures w14:val="none"/>
        </w:rPr>
        <w:t> directly administering vaccines (n=45)</w:t>
      </w:r>
    </w:p>
    <w:p w14:paraId="13F4570A" w14:textId="77777777" w:rsidR="00872431" w:rsidRPr="007F70EC" w:rsidRDefault="00872431" w:rsidP="00872431">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Health center chiefs</w:t>
      </w:r>
      <w:r w:rsidRPr="007F70EC">
        <w:rPr>
          <w:rFonts w:ascii="Times New Roman" w:eastAsia="Times New Roman" w:hAnsi="Times New Roman" w:cs="Times New Roman"/>
          <w:color w:val="0F1115"/>
          <w:kern w:val="0"/>
          <w14:ligatures w14:val="none"/>
        </w:rPr>
        <w:t> managing EPI activities at facility level (n=20)</w:t>
      </w:r>
    </w:p>
    <w:p w14:paraId="1FBBE291" w14:textId="77777777" w:rsidR="00872431" w:rsidRPr="007F70EC" w:rsidRDefault="00872431" w:rsidP="00872431">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EPI supervisors</w:t>
      </w:r>
      <w:r w:rsidRPr="007F70EC">
        <w:rPr>
          <w:rFonts w:ascii="Times New Roman" w:eastAsia="Times New Roman" w:hAnsi="Times New Roman" w:cs="Times New Roman"/>
          <w:color w:val="0F1115"/>
          <w:kern w:val="0"/>
          <w14:ligatures w14:val="none"/>
        </w:rPr>
        <w:t> overseeing vaccination activities (n=15)</w:t>
      </w:r>
    </w:p>
    <w:p w14:paraId="05EF968B" w14:textId="77777777" w:rsidR="00872431" w:rsidRPr="007F70EC" w:rsidRDefault="00872431" w:rsidP="00872431">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Community health workers</w:t>
      </w:r>
      <w:r w:rsidRPr="007F70EC">
        <w:rPr>
          <w:rFonts w:ascii="Times New Roman" w:eastAsia="Times New Roman" w:hAnsi="Times New Roman" w:cs="Times New Roman"/>
          <w:color w:val="0F1115"/>
          <w:kern w:val="0"/>
          <w14:ligatures w14:val="none"/>
        </w:rPr>
        <w:t> involved in community mobilization (n=15)</w:t>
      </w:r>
    </w:p>
    <w:p w14:paraId="536EF902"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Inclusion criteria:</w:t>
      </w:r>
      <w:r w:rsidRPr="007F70EC">
        <w:rPr>
          <w:rFonts w:ascii="Times New Roman" w:eastAsia="Times New Roman" w:hAnsi="Times New Roman" w:cs="Times New Roman"/>
          <w:color w:val="0F1115"/>
          <w:kern w:val="0"/>
          <w14:ligatures w14:val="none"/>
        </w:rPr>
        <w:t> Direct involvement in EPI activities for ≥6 months; consent to participate.</w:t>
      </w:r>
    </w:p>
    <w:p w14:paraId="6353A980"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Exclusion criteria:</w:t>
      </w:r>
      <w:r w:rsidRPr="007F70EC">
        <w:rPr>
          <w:rFonts w:ascii="Times New Roman" w:eastAsia="Times New Roman" w:hAnsi="Times New Roman" w:cs="Times New Roman"/>
          <w:color w:val="0F1115"/>
          <w:kern w:val="0"/>
          <w14:ligatures w14:val="none"/>
        </w:rPr>
        <w:t> Temporary staff; refusal to participate.</w:t>
      </w:r>
    </w:p>
    <w:p w14:paraId="1B9A834C"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A </w:t>
      </w:r>
      <w:r w:rsidRPr="007F70EC">
        <w:rPr>
          <w:rFonts w:ascii="Times New Roman" w:eastAsia="Times New Roman" w:hAnsi="Times New Roman" w:cs="Times New Roman"/>
          <w:b/>
          <w:bCs/>
          <w:color w:val="0F1115"/>
          <w:kern w:val="0"/>
          <w14:ligatures w14:val="none"/>
        </w:rPr>
        <w:t>non-probability purposive sampling</w:t>
      </w:r>
      <w:r w:rsidRPr="007F70EC">
        <w:rPr>
          <w:rFonts w:ascii="Times New Roman" w:eastAsia="Times New Roman" w:hAnsi="Times New Roman" w:cs="Times New Roman"/>
          <w:color w:val="0F1115"/>
          <w:kern w:val="0"/>
          <w14:ligatures w14:val="none"/>
        </w:rPr>
        <w:t> method was used to select participants with direct EPI involvement. The final sample comprised </w:t>
      </w:r>
      <w:r w:rsidRPr="007F70EC">
        <w:rPr>
          <w:rFonts w:ascii="Times New Roman" w:eastAsia="Times New Roman" w:hAnsi="Times New Roman" w:cs="Times New Roman"/>
          <w:b/>
          <w:bCs/>
          <w:color w:val="0F1115"/>
          <w:kern w:val="0"/>
          <w14:ligatures w14:val="none"/>
        </w:rPr>
        <w:t>95 participants</w:t>
      </w:r>
      <w:r w:rsidRPr="007F70EC">
        <w:rPr>
          <w:rFonts w:ascii="Times New Roman" w:eastAsia="Times New Roman" w:hAnsi="Times New Roman" w:cs="Times New Roman"/>
          <w:color w:val="0F1115"/>
          <w:kern w:val="0"/>
          <w14:ligatures w14:val="none"/>
        </w:rPr>
        <w:t>.</w:t>
      </w:r>
    </w:p>
    <w:p w14:paraId="11ABAE63"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2.3. Data Collection Instruments and Procedures</w:t>
      </w:r>
    </w:p>
    <w:p w14:paraId="024DD32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Four structured questionnaires were developed, pretested, and administered:</w:t>
      </w:r>
    </w:p>
    <w:p w14:paraId="7EAA21B5" w14:textId="77777777" w:rsidR="00872431" w:rsidRPr="007F70EC" w:rsidRDefault="00872431" w:rsidP="00872431">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Vaccinator questionnaire:</w:t>
      </w:r>
      <w:r w:rsidRPr="007F70EC">
        <w:rPr>
          <w:rFonts w:ascii="Times New Roman" w:eastAsia="Times New Roman" w:hAnsi="Times New Roman" w:cs="Times New Roman"/>
          <w:color w:val="0F1115"/>
          <w:kern w:val="0"/>
          <w14:ligatures w14:val="none"/>
        </w:rPr>
        <w:t> 25 items covering training, workload, motivation, supervision, and perceived performance.</w:t>
      </w:r>
    </w:p>
    <w:p w14:paraId="5FDC12D7" w14:textId="77777777" w:rsidR="00872431" w:rsidRPr="007F70EC" w:rsidRDefault="00872431" w:rsidP="00872431">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Health center chief questionnaire:</w:t>
      </w:r>
      <w:r w:rsidRPr="007F70EC">
        <w:rPr>
          <w:rFonts w:ascii="Times New Roman" w:eastAsia="Times New Roman" w:hAnsi="Times New Roman" w:cs="Times New Roman"/>
          <w:color w:val="0F1115"/>
          <w:kern w:val="0"/>
          <w14:ligatures w14:val="none"/>
        </w:rPr>
        <w:t> 20 items covering staffing adequacy, planning, motivation mechanisms, and performance evaluation.</w:t>
      </w:r>
    </w:p>
    <w:p w14:paraId="18CBBD11" w14:textId="77777777" w:rsidR="00872431" w:rsidRPr="007F70EC" w:rsidRDefault="00872431" w:rsidP="00872431">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Supervisor questionnaire:</w:t>
      </w:r>
      <w:r w:rsidRPr="007F70EC">
        <w:rPr>
          <w:rFonts w:ascii="Times New Roman" w:eastAsia="Times New Roman" w:hAnsi="Times New Roman" w:cs="Times New Roman"/>
          <w:color w:val="0F1115"/>
          <w:kern w:val="0"/>
          <w14:ligatures w14:val="none"/>
        </w:rPr>
        <w:t> 22 items covering HRM practices, training, supervision frequency, performance indicators, and challenges.</w:t>
      </w:r>
    </w:p>
    <w:p w14:paraId="5B20EB6C" w14:textId="77777777" w:rsidR="00872431" w:rsidRPr="007F70EC" w:rsidRDefault="00872431" w:rsidP="00872431">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Community health worker questionnaire:</w:t>
      </w:r>
      <w:r w:rsidRPr="007F70EC">
        <w:rPr>
          <w:rFonts w:ascii="Times New Roman" w:eastAsia="Times New Roman" w:hAnsi="Times New Roman" w:cs="Times New Roman"/>
          <w:color w:val="0F1115"/>
          <w:kern w:val="0"/>
          <w14:ligatures w14:val="none"/>
        </w:rPr>
        <w:t> 15 items covering training, support, motivation, and community engagement.</w:t>
      </w:r>
    </w:p>
    <w:p w14:paraId="18F47B8F"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Data were collected through face-to-face interviews, direct observation of vaccination sessions, and review of EPI reports and vaccination registers. Each interview lasted 20–30 minutes. Anonymity was ensured through unique participant codes.</w:t>
      </w:r>
    </w:p>
    <w:p w14:paraId="7634D0F2"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lastRenderedPageBreak/>
        <w:t>2.4. Variables</w:t>
      </w:r>
    </w:p>
    <w:p w14:paraId="6340D65D"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Independent variables (HRM factors):</w:t>
      </w:r>
    </w:p>
    <w:p w14:paraId="496C90C4" w14:textId="77777777" w:rsidR="00872431" w:rsidRPr="007F70EC" w:rsidRDefault="00872431" w:rsidP="00872431">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Training and capacity building (frequency, adequacy)</w:t>
      </w:r>
    </w:p>
    <w:p w14:paraId="64FA8704" w14:textId="77777777" w:rsidR="00872431" w:rsidRPr="007F70EC" w:rsidRDefault="00872431" w:rsidP="00872431">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Motivation and incentives (financial and non-financial)</w:t>
      </w:r>
    </w:p>
    <w:p w14:paraId="7A1AA028" w14:textId="77777777" w:rsidR="00872431" w:rsidRPr="007F70EC" w:rsidRDefault="00872431" w:rsidP="00872431">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Supervision (frequency, quality, feedback)</w:t>
      </w:r>
    </w:p>
    <w:p w14:paraId="6A7F1A76" w14:textId="77777777" w:rsidR="00872431" w:rsidRPr="007F70EC" w:rsidRDefault="00872431" w:rsidP="00872431">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Staff planning and allocation (sufficiency, distribution)</w:t>
      </w:r>
    </w:p>
    <w:p w14:paraId="29270B5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Dependent variables (EPI performance):</w:t>
      </w:r>
    </w:p>
    <w:p w14:paraId="59EAE6B7" w14:textId="77777777" w:rsidR="00872431" w:rsidRPr="007F70EC" w:rsidRDefault="00872431" w:rsidP="00872431">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Vaccination coverage (self-reported and register-based)</w:t>
      </w:r>
    </w:p>
    <w:p w14:paraId="23A1D9B7" w14:textId="77777777" w:rsidR="00872431" w:rsidRPr="007F70EC" w:rsidRDefault="00872431" w:rsidP="00872431">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Quality of services (protocol adherence, data quality)</w:t>
      </w:r>
    </w:p>
    <w:p w14:paraId="132A1627" w14:textId="77777777" w:rsidR="00872431" w:rsidRPr="007F70EC" w:rsidRDefault="00872431" w:rsidP="00872431">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Service continuity (regularity of vaccination sessions)</w:t>
      </w:r>
    </w:p>
    <w:p w14:paraId="50A09362"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2.5. Data Analysis</w:t>
      </w:r>
    </w:p>
    <w:p w14:paraId="3B42FFCD"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Quantitative data were entered into Excel and analyzed using SPSS version 25. Descriptive statistics (frequencies, percentages, means, standard deviations) were computed. Chi-square tests were used to examine associations between HRM factors and perceived performance. Statistical significance was set at p &lt; 0.05. Qualitative data from open-ended questions were analyzed thematically.</w:t>
      </w:r>
    </w:p>
    <w:p w14:paraId="145C3637"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2.6. Ethical Considerations</w:t>
      </w:r>
    </w:p>
    <w:p w14:paraId="30988E2F"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Ethical approval was obtained from the ISTM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xml:space="preserve"> research ethics committee and the Provincial Health Division of Équateur. Written informed consent was obtained from all participants. Participation was voluntary, and confidentiality was strictly maintained.</w:t>
      </w:r>
    </w:p>
    <w:p w14:paraId="1E248899"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3. Results</w:t>
      </w:r>
    </w:p>
    <w:p w14:paraId="7A991D6F"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3.1. Sociodemographic Profile of EPI Stakeholders</w:t>
      </w:r>
    </w:p>
    <w:p w14:paraId="5F0B32F1"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lastRenderedPageBreak/>
        <w:t>Table 1</w:t>
      </w:r>
      <w:r w:rsidRPr="007F70EC">
        <w:rPr>
          <w:rFonts w:ascii="Times New Roman" w:eastAsia="Times New Roman" w:hAnsi="Times New Roman" w:cs="Times New Roman"/>
          <w:color w:val="0F1115"/>
          <w:kern w:val="0"/>
          <w14:ligatures w14:val="none"/>
        </w:rPr>
        <w:t> presents the characteristics of 15 EPI supervisors.</w:t>
      </w:r>
    </w:p>
    <w:p w14:paraId="4BAE3EE9"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1</w:t>
      </w:r>
      <w:r w:rsidRPr="007F70EC">
        <w:rPr>
          <w:rFonts w:ascii="Times New Roman" w:eastAsia="Times New Roman" w:hAnsi="Times New Roman" w:cs="Times New Roman"/>
          <w:color w:val="0F1115"/>
          <w:kern w:val="0"/>
          <w14:ligatures w14:val="none"/>
        </w:rPr>
        <w:br/>
        <w:t>*Sociodemographic Characteristics of EPI Supervisors (N = 15)*</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18"/>
        <w:gridCol w:w="2621"/>
        <w:gridCol w:w="710"/>
        <w:gridCol w:w="672"/>
      </w:tblGrid>
      <w:tr w:rsidR="00872431" w:rsidRPr="007F70EC" w14:paraId="3FB7B19D"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6B0580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2E914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389728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AFB249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r>
      <w:tr w:rsidR="00872431" w:rsidRPr="007F70EC" w14:paraId="26D86991" w14:textId="77777777" w:rsidTr="007F70EC">
        <w:tc>
          <w:tcPr>
            <w:tcW w:w="0" w:type="auto"/>
            <w:tcBorders>
              <w:top w:val="single" w:sz="4" w:space="0" w:color="auto"/>
            </w:tcBorders>
            <w:tcMar>
              <w:top w:w="150" w:type="dxa"/>
              <w:left w:w="0" w:type="dxa"/>
              <w:bottom w:w="150" w:type="dxa"/>
              <w:right w:w="240" w:type="dxa"/>
            </w:tcMar>
            <w:vAlign w:val="center"/>
            <w:hideMark/>
          </w:tcPr>
          <w:p w14:paraId="0525982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0E4AA18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60247D7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9</w:t>
            </w:r>
          </w:p>
        </w:tc>
        <w:tc>
          <w:tcPr>
            <w:tcW w:w="0" w:type="auto"/>
            <w:tcBorders>
              <w:top w:val="single" w:sz="4" w:space="0" w:color="auto"/>
            </w:tcBorders>
            <w:tcMar>
              <w:top w:w="150" w:type="dxa"/>
              <w:left w:w="240" w:type="dxa"/>
              <w:bottom w:w="150" w:type="dxa"/>
              <w:right w:w="0" w:type="dxa"/>
            </w:tcMar>
            <w:vAlign w:val="center"/>
            <w:hideMark/>
          </w:tcPr>
          <w:p w14:paraId="72EDC62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60.0</w:t>
            </w:r>
          </w:p>
        </w:tc>
      </w:tr>
      <w:tr w:rsidR="00872431" w:rsidRPr="007F70EC" w14:paraId="3904708D" w14:textId="77777777" w:rsidTr="007F70EC">
        <w:tc>
          <w:tcPr>
            <w:tcW w:w="0" w:type="auto"/>
            <w:tcMar>
              <w:top w:w="150" w:type="dxa"/>
              <w:left w:w="0" w:type="dxa"/>
              <w:bottom w:w="150" w:type="dxa"/>
              <w:right w:w="240" w:type="dxa"/>
            </w:tcMar>
            <w:vAlign w:val="center"/>
            <w:hideMark/>
          </w:tcPr>
          <w:p w14:paraId="5756A29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1A8363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Female</w:t>
            </w:r>
          </w:p>
        </w:tc>
        <w:tc>
          <w:tcPr>
            <w:tcW w:w="0" w:type="auto"/>
            <w:tcMar>
              <w:top w:w="150" w:type="dxa"/>
              <w:left w:w="240" w:type="dxa"/>
              <w:bottom w:w="150" w:type="dxa"/>
              <w:right w:w="240" w:type="dxa"/>
            </w:tcMar>
            <w:vAlign w:val="center"/>
            <w:hideMark/>
          </w:tcPr>
          <w:p w14:paraId="1D3416F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72621D2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40.0</w:t>
            </w:r>
          </w:p>
        </w:tc>
      </w:tr>
      <w:tr w:rsidR="00872431" w:rsidRPr="007F70EC" w14:paraId="7B2FB805" w14:textId="77777777" w:rsidTr="007F70EC">
        <w:tc>
          <w:tcPr>
            <w:tcW w:w="0" w:type="auto"/>
            <w:tcMar>
              <w:top w:w="150" w:type="dxa"/>
              <w:left w:w="0" w:type="dxa"/>
              <w:bottom w:w="150" w:type="dxa"/>
              <w:right w:w="240" w:type="dxa"/>
            </w:tcMar>
            <w:vAlign w:val="center"/>
            <w:hideMark/>
          </w:tcPr>
          <w:p w14:paraId="7A5EAAE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Age</w:t>
            </w:r>
          </w:p>
        </w:tc>
        <w:tc>
          <w:tcPr>
            <w:tcW w:w="0" w:type="auto"/>
            <w:tcMar>
              <w:top w:w="150" w:type="dxa"/>
              <w:left w:w="240" w:type="dxa"/>
              <w:bottom w:w="150" w:type="dxa"/>
              <w:right w:w="240" w:type="dxa"/>
            </w:tcMar>
            <w:vAlign w:val="center"/>
            <w:hideMark/>
          </w:tcPr>
          <w:p w14:paraId="1CCF96B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&lt;30 years</w:t>
            </w:r>
          </w:p>
        </w:tc>
        <w:tc>
          <w:tcPr>
            <w:tcW w:w="0" w:type="auto"/>
            <w:tcMar>
              <w:top w:w="150" w:type="dxa"/>
              <w:left w:w="240" w:type="dxa"/>
              <w:bottom w:w="150" w:type="dxa"/>
              <w:right w:w="240" w:type="dxa"/>
            </w:tcMar>
            <w:vAlign w:val="center"/>
            <w:hideMark/>
          </w:tcPr>
          <w:p w14:paraId="62D6D8A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6742728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r>
      <w:tr w:rsidR="00872431" w:rsidRPr="007F70EC" w14:paraId="00282C6F" w14:textId="77777777" w:rsidTr="007F70EC">
        <w:tc>
          <w:tcPr>
            <w:tcW w:w="0" w:type="auto"/>
            <w:tcMar>
              <w:top w:w="150" w:type="dxa"/>
              <w:left w:w="0" w:type="dxa"/>
              <w:bottom w:w="150" w:type="dxa"/>
              <w:right w:w="240" w:type="dxa"/>
            </w:tcMar>
            <w:vAlign w:val="center"/>
            <w:hideMark/>
          </w:tcPr>
          <w:p w14:paraId="70B38D0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3353C8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≥30 years</w:t>
            </w:r>
          </w:p>
        </w:tc>
        <w:tc>
          <w:tcPr>
            <w:tcW w:w="0" w:type="auto"/>
            <w:tcMar>
              <w:top w:w="150" w:type="dxa"/>
              <w:left w:w="240" w:type="dxa"/>
              <w:bottom w:w="150" w:type="dxa"/>
              <w:right w:w="240" w:type="dxa"/>
            </w:tcMar>
            <w:vAlign w:val="center"/>
            <w:hideMark/>
          </w:tcPr>
          <w:p w14:paraId="1C5ECBF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0" w:type="dxa"/>
            </w:tcMar>
            <w:vAlign w:val="center"/>
            <w:hideMark/>
          </w:tcPr>
          <w:p w14:paraId="7BC2EDC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80.0</w:t>
            </w:r>
          </w:p>
        </w:tc>
      </w:tr>
      <w:tr w:rsidR="00872431" w:rsidRPr="007F70EC" w14:paraId="70530C87" w14:textId="77777777" w:rsidTr="007F70EC">
        <w:tc>
          <w:tcPr>
            <w:tcW w:w="0" w:type="auto"/>
            <w:tcMar>
              <w:top w:w="150" w:type="dxa"/>
              <w:left w:w="0" w:type="dxa"/>
              <w:bottom w:w="150" w:type="dxa"/>
              <w:right w:w="240" w:type="dxa"/>
            </w:tcMar>
            <w:vAlign w:val="center"/>
            <w:hideMark/>
          </w:tcPr>
          <w:p w14:paraId="203D42A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Function</w:t>
            </w:r>
          </w:p>
        </w:tc>
        <w:tc>
          <w:tcPr>
            <w:tcW w:w="0" w:type="auto"/>
            <w:tcMar>
              <w:top w:w="150" w:type="dxa"/>
              <w:left w:w="240" w:type="dxa"/>
              <w:bottom w:w="150" w:type="dxa"/>
              <w:right w:w="240" w:type="dxa"/>
            </w:tcMar>
            <w:vAlign w:val="center"/>
            <w:hideMark/>
          </w:tcPr>
          <w:p w14:paraId="6933514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Urban PEV supervisor</w:t>
            </w:r>
          </w:p>
        </w:tc>
        <w:tc>
          <w:tcPr>
            <w:tcW w:w="0" w:type="auto"/>
            <w:tcMar>
              <w:top w:w="150" w:type="dxa"/>
              <w:left w:w="240" w:type="dxa"/>
              <w:bottom w:w="150" w:type="dxa"/>
              <w:right w:w="240" w:type="dxa"/>
            </w:tcMar>
            <w:vAlign w:val="center"/>
            <w:hideMark/>
          </w:tcPr>
          <w:p w14:paraId="70C1A04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0" w:type="dxa"/>
            </w:tcMar>
            <w:vAlign w:val="center"/>
            <w:hideMark/>
          </w:tcPr>
          <w:p w14:paraId="4F2F9AD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40.0</w:t>
            </w:r>
          </w:p>
        </w:tc>
      </w:tr>
      <w:tr w:rsidR="00872431" w:rsidRPr="007F70EC" w14:paraId="578256FA" w14:textId="77777777" w:rsidTr="007F70EC">
        <w:tc>
          <w:tcPr>
            <w:tcW w:w="0" w:type="auto"/>
            <w:tcMar>
              <w:top w:w="150" w:type="dxa"/>
              <w:left w:w="0" w:type="dxa"/>
              <w:bottom w:w="150" w:type="dxa"/>
              <w:right w:w="240" w:type="dxa"/>
            </w:tcMar>
            <w:vAlign w:val="center"/>
            <w:hideMark/>
          </w:tcPr>
          <w:p w14:paraId="3D14979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A097CE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Partner/PTF supervisor</w:t>
            </w:r>
          </w:p>
        </w:tc>
        <w:tc>
          <w:tcPr>
            <w:tcW w:w="0" w:type="auto"/>
            <w:tcMar>
              <w:top w:w="150" w:type="dxa"/>
              <w:left w:w="240" w:type="dxa"/>
              <w:bottom w:w="150" w:type="dxa"/>
              <w:right w:w="240" w:type="dxa"/>
            </w:tcMar>
            <w:vAlign w:val="center"/>
            <w:hideMark/>
          </w:tcPr>
          <w:p w14:paraId="3909E1C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4B27F8D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13.3</w:t>
            </w:r>
          </w:p>
        </w:tc>
      </w:tr>
      <w:tr w:rsidR="00872431" w:rsidRPr="007F70EC" w14:paraId="643994D0" w14:textId="77777777" w:rsidTr="007F70EC">
        <w:tc>
          <w:tcPr>
            <w:tcW w:w="0" w:type="auto"/>
            <w:tcMar>
              <w:top w:w="150" w:type="dxa"/>
              <w:left w:w="0" w:type="dxa"/>
              <w:bottom w:w="150" w:type="dxa"/>
              <w:right w:w="240" w:type="dxa"/>
            </w:tcMar>
            <w:vAlign w:val="center"/>
            <w:hideMark/>
          </w:tcPr>
          <w:p w14:paraId="3E4F8CD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CDBBE2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Other</w:t>
            </w:r>
          </w:p>
        </w:tc>
        <w:tc>
          <w:tcPr>
            <w:tcW w:w="0" w:type="auto"/>
            <w:tcMar>
              <w:top w:w="150" w:type="dxa"/>
              <w:left w:w="240" w:type="dxa"/>
              <w:bottom w:w="150" w:type="dxa"/>
              <w:right w:w="240" w:type="dxa"/>
            </w:tcMar>
            <w:vAlign w:val="center"/>
            <w:hideMark/>
          </w:tcPr>
          <w:p w14:paraId="651B673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6752880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r>
      <w:tr w:rsidR="00872431" w:rsidRPr="007F70EC" w14:paraId="3C1329C9" w14:textId="77777777" w:rsidTr="007F70EC">
        <w:tc>
          <w:tcPr>
            <w:tcW w:w="0" w:type="auto"/>
            <w:tcMar>
              <w:top w:w="150" w:type="dxa"/>
              <w:left w:w="0" w:type="dxa"/>
              <w:bottom w:w="150" w:type="dxa"/>
              <w:right w:w="240" w:type="dxa"/>
            </w:tcMar>
            <w:vAlign w:val="center"/>
            <w:hideMark/>
          </w:tcPr>
          <w:p w14:paraId="100EDDB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Experience</w:t>
            </w:r>
          </w:p>
        </w:tc>
        <w:tc>
          <w:tcPr>
            <w:tcW w:w="0" w:type="auto"/>
            <w:tcMar>
              <w:top w:w="150" w:type="dxa"/>
              <w:left w:w="240" w:type="dxa"/>
              <w:bottom w:w="150" w:type="dxa"/>
              <w:right w:w="240" w:type="dxa"/>
            </w:tcMar>
            <w:vAlign w:val="center"/>
            <w:hideMark/>
          </w:tcPr>
          <w:p w14:paraId="255C430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&lt;10 years</w:t>
            </w:r>
          </w:p>
        </w:tc>
        <w:tc>
          <w:tcPr>
            <w:tcW w:w="0" w:type="auto"/>
            <w:tcMar>
              <w:top w:w="150" w:type="dxa"/>
              <w:left w:w="240" w:type="dxa"/>
              <w:bottom w:w="150" w:type="dxa"/>
              <w:right w:w="240" w:type="dxa"/>
            </w:tcMar>
            <w:vAlign w:val="center"/>
            <w:hideMark/>
          </w:tcPr>
          <w:p w14:paraId="5F84D21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0" w:type="dxa"/>
            </w:tcMar>
            <w:vAlign w:val="center"/>
            <w:hideMark/>
          </w:tcPr>
          <w:p w14:paraId="057D899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26.7</w:t>
            </w:r>
          </w:p>
        </w:tc>
      </w:tr>
      <w:tr w:rsidR="00872431" w:rsidRPr="007F70EC" w14:paraId="664648CE" w14:textId="77777777" w:rsidTr="007F70EC">
        <w:tc>
          <w:tcPr>
            <w:tcW w:w="0" w:type="auto"/>
            <w:tcMar>
              <w:top w:w="150" w:type="dxa"/>
              <w:left w:w="0" w:type="dxa"/>
              <w:bottom w:w="150" w:type="dxa"/>
              <w:right w:w="240" w:type="dxa"/>
            </w:tcMar>
            <w:vAlign w:val="center"/>
            <w:hideMark/>
          </w:tcPr>
          <w:p w14:paraId="4636E10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262CD2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years</w:t>
            </w:r>
          </w:p>
        </w:tc>
        <w:tc>
          <w:tcPr>
            <w:tcW w:w="0" w:type="auto"/>
            <w:tcMar>
              <w:top w:w="150" w:type="dxa"/>
              <w:left w:w="240" w:type="dxa"/>
              <w:bottom w:w="150" w:type="dxa"/>
              <w:right w:w="240" w:type="dxa"/>
            </w:tcMar>
            <w:vAlign w:val="center"/>
            <w:hideMark/>
          </w:tcPr>
          <w:p w14:paraId="63658A0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11</w:t>
            </w:r>
          </w:p>
        </w:tc>
        <w:tc>
          <w:tcPr>
            <w:tcW w:w="0" w:type="auto"/>
            <w:tcMar>
              <w:top w:w="150" w:type="dxa"/>
              <w:left w:w="240" w:type="dxa"/>
              <w:bottom w:w="150" w:type="dxa"/>
              <w:right w:w="0" w:type="dxa"/>
            </w:tcMar>
            <w:vAlign w:val="center"/>
            <w:hideMark/>
          </w:tcPr>
          <w:p w14:paraId="496C996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73.3</w:t>
            </w:r>
          </w:p>
        </w:tc>
      </w:tr>
    </w:tbl>
    <w:p w14:paraId="3163E3C0"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Interpretation:</w:t>
      </w:r>
      <w:r w:rsidRPr="007F70EC">
        <w:rPr>
          <w:rFonts w:ascii="Times New Roman" w:eastAsia="Times New Roman" w:hAnsi="Times New Roman" w:cs="Times New Roman"/>
          <w:color w:val="0F1115"/>
          <w:kern w:val="0"/>
          <w14:ligatures w14:val="none"/>
        </w:rPr>
        <w:t> Supervisors were predominantly male (60%), experienced (73% with ≥10 years), and aged ≥30 years (80%). This profile suggests that EPI supervision is handled by relatively senior personnel.</w:t>
      </w:r>
    </w:p>
    <w:p w14:paraId="6024F93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2</w:t>
      </w:r>
      <w:r w:rsidRPr="007F70EC">
        <w:rPr>
          <w:rFonts w:ascii="Times New Roman" w:eastAsia="Times New Roman" w:hAnsi="Times New Roman" w:cs="Times New Roman"/>
          <w:color w:val="0F1115"/>
          <w:kern w:val="0"/>
          <w14:ligatures w14:val="none"/>
        </w:rPr>
        <w:t> presents data on staffing adequacy and planning.</w:t>
      </w:r>
    </w:p>
    <w:p w14:paraId="0579A33A"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2</w:t>
      </w:r>
      <w:r w:rsidRPr="007F70EC">
        <w:rPr>
          <w:rFonts w:ascii="Times New Roman" w:eastAsia="Times New Roman" w:hAnsi="Times New Roman" w:cs="Times New Roman"/>
          <w:color w:val="0F1115"/>
          <w:kern w:val="0"/>
          <w14:ligatures w14:val="none"/>
        </w:rPr>
        <w:br/>
        <w:t>*Staffing Adequacy and Planning Perceptions (N=15 Supervisors)*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98"/>
        <w:gridCol w:w="1867"/>
        <w:gridCol w:w="710"/>
        <w:gridCol w:w="998"/>
        <w:gridCol w:w="1170"/>
        <w:gridCol w:w="1720"/>
      </w:tblGrid>
      <w:tr w:rsidR="00872431" w:rsidRPr="007F70EC" w14:paraId="05AF6084"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6779F4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626D51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AC8B85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1544F7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A79B07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972D70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OR (95% CI)</w:t>
            </w:r>
          </w:p>
        </w:tc>
      </w:tr>
      <w:tr w:rsidR="00872431" w:rsidRPr="007F70EC" w14:paraId="0056468C" w14:textId="77777777" w:rsidTr="007F70EC">
        <w:tc>
          <w:tcPr>
            <w:tcW w:w="0" w:type="auto"/>
            <w:tcBorders>
              <w:top w:val="single" w:sz="4" w:space="0" w:color="auto"/>
            </w:tcBorders>
            <w:tcMar>
              <w:top w:w="150" w:type="dxa"/>
              <w:left w:w="0" w:type="dxa"/>
              <w:bottom w:w="150" w:type="dxa"/>
              <w:right w:w="240" w:type="dxa"/>
            </w:tcMar>
            <w:vAlign w:val="center"/>
            <w:hideMark/>
          </w:tcPr>
          <w:p w14:paraId="341653F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Staff sufficient</w:t>
            </w:r>
          </w:p>
        </w:tc>
        <w:tc>
          <w:tcPr>
            <w:tcW w:w="0" w:type="auto"/>
            <w:tcBorders>
              <w:top w:val="single" w:sz="4" w:space="0" w:color="auto"/>
            </w:tcBorders>
            <w:tcMar>
              <w:top w:w="150" w:type="dxa"/>
              <w:left w:w="240" w:type="dxa"/>
              <w:bottom w:w="150" w:type="dxa"/>
              <w:right w:w="240" w:type="dxa"/>
            </w:tcMar>
            <w:vAlign w:val="center"/>
            <w:hideMark/>
          </w:tcPr>
          <w:p w14:paraId="579EE99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06732F2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w:t>
            </w:r>
          </w:p>
        </w:tc>
        <w:tc>
          <w:tcPr>
            <w:tcW w:w="0" w:type="auto"/>
            <w:tcBorders>
              <w:top w:val="single" w:sz="4" w:space="0" w:color="auto"/>
            </w:tcBorders>
            <w:tcMar>
              <w:top w:w="150" w:type="dxa"/>
              <w:left w:w="240" w:type="dxa"/>
              <w:bottom w:w="150" w:type="dxa"/>
              <w:right w:w="240" w:type="dxa"/>
            </w:tcMar>
            <w:vAlign w:val="center"/>
            <w:hideMark/>
          </w:tcPr>
          <w:p w14:paraId="0BE5A07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86.7</w:t>
            </w:r>
          </w:p>
        </w:tc>
        <w:tc>
          <w:tcPr>
            <w:tcW w:w="0" w:type="auto"/>
            <w:tcBorders>
              <w:top w:val="single" w:sz="4" w:space="0" w:color="auto"/>
            </w:tcBorders>
            <w:tcMar>
              <w:top w:w="150" w:type="dxa"/>
              <w:left w:w="240" w:type="dxa"/>
              <w:bottom w:w="150" w:type="dxa"/>
              <w:right w:w="240" w:type="dxa"/>
            </w:tcMar>
            <w:vAlign w:val="center"/>
            <w:hideMark/>
          </w:tcPr>
          <w:p w14:paraId="034A149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0.01</w:t>
            </w:r>
          </w:p>
        </w:tc>
        <w:tc>
          <w:tcPr>
            <w:tcW w:w="0" w:type="auto"/>
            <w:tcBorders>
              <w:top w:val="single" w:sz="4" w:space="0" w:color="auto"/>
            </w:tcBorders>
            <w:tcMar>
              <w:top w:w="150" w:type="dxa"/>
              <w:left w:w="240" w:type="dxa"/>
              <w:bottom w:w="150" w:type="dxa"/>
              <w:right w:w="0" w:type="dxa"/>
            </w:tcMar>
            <w:vAlign w:val="center"/>
            <w:hideMark/>
          </w:tcPr>
          <w:p w14:paraId="4C053F3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 (0.8–55.0)</w:t>
            </w:r>
          </w:p>
        </w:tc>
      </w:tr>
      <w:tr w:rsidR="00872431" w:rsidRPr="007F70EC" w14:paraId="503FBF04" w14:textId="77777777" w:rsidTr="007F70EC">
        <w:tc>
          <w:tcPr>
            <w:tcW w:w="0" w:type="auto"/>
            <w:tcMar>
              <w:top w:w="150" w:type="dxa"/>
              <w:left w:w="0" w:type="dxa"/>
              <w:bottom w:w="150" w:type="dxa"/>
              <w:right w:w="240" w:type="dxa"/>
            </w:tcMar>
            <w:vAlign w:val="center"/>
            <w:hideMark/>
          </w:tcPr>
          <w:p w14:paraId="08DD2A2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27A5C91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E2174A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048529C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13.3</w:t>
            </w:r>
          </w:p>
        </w:tc>
        <w:tc>
          <w:tcPr>
            <w:tcW w:w="0" w:type="auto"/>
            <w:tcMar>
              <w:top w:w="150" w:type="dxa"/>
              <w:left w:w="240" w:type="dxa"/>
              <w:bottom w:w="150" w:type="dxa"/>
              <w:right w:w="240" w:type="dxa"/>
            </w:tcMar>
            <w:vAlign w:val="center"/>
            <w:hideMark/>
          </w:tcPr>
          <w:p w14:paraId="03A0D09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B6DD98C"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20B750F2" w14:textId="77777777" w:rsidTr="007F70EC">
        <w:tc>
          <w:tcPr>
            <w:tcW w:w="0" w:type="auto"/>
            <w:tcMar>
              <w:top w:w="150" w:type="dxa"/>
              <w:left w:w="0" w:type="dxa"/>
              <w:bottom w:w="150" w:type="dxa"/>
              <w:right w:w="240" w:type="dxa"/>
            </w:tcMar>
            <w:vAlign w:val="center"/>
            <w:hideMark/>
          </w:tcPr>
          <w:p w14:paraId="388FD4F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lastRenderedPageBreak/>
              <w:t>Staff distribution</w:t>
            </w:r>
          </w:p>
        </w:tc>
        <w:tc>
          <w:tcPr>
            <w:tcW w:w="0" w:type="auto"/>
            <w:tcMar>
              <w:top w:w="150" w:type="dxa"/>
              <w:left w:w="240" w:type="dxa"/>
              <w:bottom w:w="150" w:type="dxa"/>
              <w:right w:w="240" w:type="dxa"/>
            </w:tcMar>
            <w:vAlign w:val="center"/>
            <w:hideMark/>
          </w:tcPr>
          <w:p w14:paraId="00E90F4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Very adapted</w:t>
            </w:r>
          </w:p>
        </w:tc>
        <w:tc>
          <w:tcPr>
            <w:tcW w:w="0" w:type="auto"/>
            <w:tcMar>
              <w:top w:w="150" w:type="dxa"/>
              <w:left w:w="240" w:type="dxa"/>
              <w:bottom w:w="150" w:type="dxa"/>
              <w:right w:w="240" w:type="dxa"/>
            </w:tcMar>
            <w:vAlign w:val="center"/>
            <w:hideMark/>
          </w:tcPr>
          <w:p w14:paraId="07FABAB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38DA5F6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c>
          <w:tcPr>
            <w:tcW w:w="0" w:type="auto"/>
            <w:tcMar>
              <w:top w:w="150" w:type="dxa"/>
              <w:left w:w="240" w:type="dxa"/>
              <w:bottom w:w="150" w:type="dxa"/>
              <w:right w:w="240" w:type="dxa"/>
            </w:tcMar>
            <w:vAlign w:val="center"/>
            <w:hideMark/>
          </w:tcPr>
          <w:p w14:paraId="2C8B55C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0.05</w:t>
            </w:r>
          </w:p>
        </w:tc>
        <w:tc>
          <w:tcPr>
            <w:tcW w:w="0" w:type="auto"/>
            <w:tcMar>
              <w:top w:w="150" w:type="dxa"/>
              <w:left w:w="240" w:type="dxa"/>
              <w:bottom w:w="150" w:type="dxa"/>
              <w:right w:w="0" w:type="dxa"/>
            </w:tcMar>
            <w:vAlign w:val="center"/>
            <w:hideMark/>
          </w:tcPr>
          <w:p w14:paraId="7866F44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(0.2–4.8)</w:t>
            </w:r>
          </w:p>
        </w:tc>
      </w:tr>
      <w:tr w:rsidR="00872431" w:rsidRPr="007F70EC" w14:paraId="668156C6" w14:textId="77777777" w:rsidTr="007F70EC">
        <w:tc>
          <w:tcPr>
            <w:tcW w:w="0" w:type="auto"/>
            <w:tcMar>
              <w:top w:w="150" w:type="dxa"/>
              <w:left w:w="0" w:type="dxa"/>
              <w:bottom w:w="150" w:type="dxa"/>
              <w:right w:w="240" w:type="dxa"/>
            </w:tcMar>
            <w:vAlign w:val="center"/>
            <w:hideMark/>
          </w:tcPr>
          <w:p w14:paraId="33A90A1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6F4D45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Adapted</w:t>
            </w:r>
          </w:p>
        </w:tc>
        <w:tc>
          <w:tcPr>
            <w:tcW w:w="0" w:type="auto"/>
            <w:tcMar>
              <w:top w:w="150" w:type="dxa"/>
              <w:left w:w="240" w:type="dxa"/>
              <w:bottom w:w="150" w:type="dxa"/>
              <w:right w:w="240" w:type="dxa"/>
            </w:tcMar>
            <w:vAlign w:val="center"/>
            <w:hideMark/>
          </w:tcPr>
          <w:p w14:paraId="2983127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2467C7E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c>
          <w:tcPr>
            <w:tcW w:w="0" w:type="auto"/>
            <w:tcMar>
              <w:top w:w="150" w:type="dxa"/>
              <w:left w:w="240" w:type="dxa"/>
              <w:bottom w:w="150" w:type="dxa"/>
              <w:right w:w="240" w:type="dxa"/>
            </w:tcMar>
            <w:vAlign w:val="center"/>
            <w:hideMark/>
          </w:tcPr>
          <w:p w14:paraId="3C6DBC7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58E50F1B"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44AC1A26" w14:textId="77777777" w:rsidTr="007F70EC">
        <w:tc>
          <w:tcPr>
            <w:tcW w:w="0" w:type="auto"/>
            <w:tcMar>
              <w:top w:w="150" w:type="dxa"/>
              <w:left w:w="0" w:type="dxa"/>
              <w:bottom w:w="150" w:type="dxa"/>
              <w:right w:w="240" w:type="dxa"/>
            </w:tcMar>
            <w:vAlign w:val="center"/>
            <w:hideMark/>
          </w:tcPr>
          <w:p w14:paraId="0AEACD37"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CCF5DF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Poorly adapted</w:t>
            </w:r>
          </w:p>
        </w:tc>
        <w:tc>
          <w:tcPr>
            <w:tcW w:w="0" w:type="auto"/>
            <w:tcMar>
              <w:top w:w="150" w:type="dxa"/>
              <w:left w:w="240" w:type="dxa"/>
              <w:bottom w:w="150" w:type="dxa"/>
              <w:right w:w="240" w:type="dxa"/>
            </w:tcMar>
            <w:vAlign w:val="center"/>
            <w:hideMark/>
          </w:tcPr>
          <w:p w14:paraId="6A53D1C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2CA3701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c>
          <w:tcPr>
            <w:tcW w:w="0" w:type="auto"/>
            <w:tcMar>
              <w:top w:w="150" w:type="dxa"/>
              <w:left w:w="240" w:type="dxa"/>
              <w:bottom w:w="150" w:type="dxa"/>
              <w:right w:w="240" w:type="dxa"/>
            </w:tcMar>
            <w:vAlign w:val="center"/>
            <w:hideMark/>
          </w:tcPr>
          <w:p w14:paraId="150F45E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05F9367D"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465DD86B" w14:textId="77777777" w:rsidTr="007F70EC">
        <w:tc>
          <w:tcPr>
            <w:tcW w:w="0" w:type="auto"/>
            <w:tcMar>
              <w:top w:w="150" w:type="dxa"/>
              <w:left w:w="0" w:type="dxa"/>
              <w:bottom w:w="150" w:type="dxa"/>
              <w:right w:w="240" w:type="dxa"/>
            </w:tcMar>
            <w:vAlign w:val="center"/>
            <w:hideMark/>
          </w:tcPr>
          <w:p w14:paraId="1973FB4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Formal HR planning</w:t>
            </w:r>
          </w:p>
        </w:tc>
        <w:tc>
          <w:tcPr>
            <w:tcW w:w="0" w:type="auto"/>
            <w:tcMar>
              <w:top w:w="150" w:type="dxa"/>
              <w:left w:w="240" w:type="dxa"/>
              <w:bottom w:w="150" w:type="dxa"/>
              <w:right w:w="240" w:type="dxa"/>
            </w:tcMar>
            <w:vAlign w:val="center"/>
            <w:hideMark/>
          </w:tcPr>
          <w:p w14:paraId="117A78C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27747E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15</w:t>
            </w:r>
          </w:p>
        </w:tc>
        <w:tc>
          <w:tcPr>
            <w:tcW w:w="0" w:type="auto"/>
            <w:tcMar>
              <w:top w:w="150" w:type="dxa"/>
              <w:left w:w="240" w:type="dxa"/>
              <w:bottom w:w="150" w:type="dxa"/>
              <w:right w:w="240" w:type="dxa"/>
            </w:tcMar>
            <w:vAlign w:val="center"/>
            <w:hideMark/>
          </w:tcPr>
          <w:p w14:paraId="550F115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100.0</w:t>
            </w:r>
          </w:p>
        </w:tc>
        <w:tc>
          <w:tcPr>
            <w:tcW w:w="0" w:type="auto"/>
            <w:tcMar>
              <w:top w:w="150" w:type="dxa"/>
              <w:left w:w="240" w:type="dxa"/>
              <w:bottom w:w="150" w:type="dxa"/>
              <w:right w:w="240" w:type="dxa"/>
            </w:tcMar>
            <w:vAlign w:val="center"/>
            <w:hideMark/>
          </w:tcPr>
          <w:p w14:paraId="3E18D99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c>
          <w:tcPr>
            <w:tcW w:w="0" w:type="auto"/>
            <w:tcMar>
              <w:top w:w="150" w:type="dxa"/>
              <w:left w:w="240" w:type="dxa"/>
              <w:bottom w:w="150" w:type="dxa"/>
              <w:right w:w="0" w:type="dxa"/>
            </w:tcMar>
            <w:vAlign w:val="center"/>
            <w:hideMark/>
          </w:tcPr>
          <w:p w14:paraId="5A6095C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r>
    </w:tbl>
    <w:p w14:paraId="1944496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Interpretation:</w:t>
      </w:r>
      <w:r w:rsidRPr="007F70EC">
        <w:rPr>
          <w:rFonts w:ascii="Times New Roman" w:eastAsia="Times New Roman" w:hAnsi="Times New Roman" w:cs="Times New Roman"/>
          <w:color w:val="0F1115"/>
          <w:kern w:val="0"/>
          <w14:ligatures w14:val="none"/>
        </w:rPr>
        <w:t> While 87% of supervisors considered staff sufficient, 33% rated staff distribution as poorly adapted, indicating a gap between raw numbers and optimal allocation.</w:t>
      </w:r>
    </w:p>
    <w:p w14:paraId="6BC0C7A9"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3.2. Training and Capacity Building</w:t>
      </w:r>
    </w:p>
    <w:p w14:paraId="5DB8970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3</w:t>
      </w:r>
      <w:r w:rsidRPr="007F70EC">
        <w:rPr>
          <w:rFonts w:ascii="Times New Roman" w:eastAsia="Times New Roman" w:hAnsi="Times New Roman" w:cs="Times New Roman"/>
          <w:color w:val="0F1115"/>
          <w:kern w:val="0"/>
          <w14:ligatures w14:val="none"/>
        </w:rPr>
        <w:t> shows training coverage and perceived adequacy.</w:t>
      </w:r>
    </w:p>
    <w:p w14:paraId="0D86D252"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3</w:t>
      </w:r>
      <w:r w:rsidRPr="007F70EC">
        <w:rPr>
          <w:rFonts w:ascii="Times New Roman" w:eastAsia="Times New Roman" w:hAnsi="Times New Roman" w:cs="Times New Roman"/>
          <w:color w:val="0F1115"/>
          <w:kern w:val="0"/>
          <w14:ligatures w14:val="none"/>
        </w:rPr>
        <w:br/>
        <w:t>*Training and Capacity Building (N=15 Supervisors)*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45"/>
        <w:gridCol w:w="2890"/>
        <w:gridCol w:w="595"/>
        <w:gridCol w:w="883"/>
        <w:gridCol w:w="1141"/>
        <w:gridCol w:w="1606"/>
      </w:tblGrid>
      <w:tr w:rsidR="00872431" w:rsidRPr="007F70EC" w14:paraId="3281F111"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83F410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DAF381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608605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A64BF1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604059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3572DB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OR (95% CI)</w:t>
            </w:r>
          </w:p>
        </w:tc>
      </w:tr>
      <w:tr w:rsidR="00872431" w:rsidRPr="007F70EC" w14:paraId="2D8A803D" w14:textId="77777777" w:rsidTr="007F70EC">
        <w:tc>
          <w:tcPr>
            <w:tcW w:w="0" w:type="auto"/>
            <w:tcBorders>
              <w:top w:val="single" w:sz="4" w:space="0" w:color="auto"/>
            </w:tcBorders>
            <w:tcMar>
              <w:top w:w="150" w:type="dxa"/>
              <w:left w:w="0" w:type="dxa"/>
              <w:bottom w:w="150" w:type="dxa"/>
              <w:right w:w="240" w:type="dxa"/>
            </w:tcMar>
            <w:vAlign w:val="center"/>
            <w:hideMark/>
          </w:tcPr>
          <w:p w14:paraId="3E09F15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Regular training</w:t>
            </w:r>
          </w:p>
        </w:tc>
        <w:tc>
          <w:tcPr>
            <w:tcW w:w="0" w:type="auto"/>
            <w:tcBorders>
              <w:top w:val="single" w:sz="4" w:space="0" w:color="auto"/>
            </w:tcBorders>
            <w:tcMar>
              <w:top w:w="150" w:type="dxa"/>
              <w:left w:w="240" w:type="dxa"/>
              <w:bottom w:w="150" w:type="dxa"/>
              <w:right w:w="240" w:type="dxa"/>
            </w:tcMar>
            <w:vAlign w:val="center"/>
            <w:hideMark/>
          </w:tcPr>
          <w:p w14:paraId="1E7D74F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4DFD356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9</w:t>
            </w:r>
          </w:p>
        </w:tc>
        <w:tc>
          <w:tcPr>
            <w:tcW w:w="0" w:type="auto"/>
            <w:tcBorders>
              <w:top w:val="single" w:sz="4" w:space="0" w:color="auto"/>
            </w:tcBorders>
            <w:tcMar>
              <w:top w:w="150" w:type="dxa"/>
              <w:left w:w="240" w:type="dxa"/>
              <w:bottom w:w="150" w:type="dxa"/>
              <w:right w:w="240" w:type="dxa"/>
            </w:tcMar>
            <w:vAlign w:val="center"/>
            <w:hideMark/>
          </w:tcPr>
          <w:p w14:paraId="05F7363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60.0</w:t>
            </w:r>
          </w:p>
        </w:tc>
        <w:tc>
          <w:tcPr>
            <w:tcW w:w="0" w:type="auto"/>
            <w:tcBorders>
              <w:top w:val="single" w:sz="4" w:space="0" w:color="auto"/>
            </w:tcBorders>
            <w:tcMar>
              <w:top w:w="150" w:type="dxa"/>
              <w:left w:w="240" w:type="dxa"/>
              <w:bottom w:w="150" w:type="dxa"/>
              <w:right w:w="240" w:type="dxa"/>
            </w:tcMar>
            <w:vAlign w:val="center"/>
            <w:hideMark/>
          </w:tcPr>
          <w:p w14:paraId="77E7CED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0.27</w:t>
            </w:r>
          </w:p>
        </w:tc>
        <w:tc>
          <w:tcPr>
            <w:tcW w:w="0" w:type="auto"/>
            <w:tcBorders>
              <w:top w:val="single" w:sz="4" w:space="0" w:color="auto"/>
            </w:tcBorders>
            <w:tcMar>
              <w:top w:w="150" w:type="dxa"/>
              <w:left w:w="240" w:type="dxa"/>
              <w:bottom w:w="150" w:type="dxa"/>
              <w:right w:w="0" w:type="dxa"/>
            </w:tcMar>
            <w:vAlign w:val="center"/>
            <w:hideMark/>
          </w:tcPr>
          <w:p w14:paraId="12F71FC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1.5 (0.4–5.2)</w:t>
            </w:r>
          </w:p>
        </w:tc>
      </w:tr>
      <w:tr w:rsidR="00872431" w:rsidRPr="007F70EC" w14:paraId="06819301" w14:textId="77777777" w:rsidTr="007F70EC">
        <w:tc>
          <w:tcPr>
            <w:tcW w:w="0" w:type="auto"/>
            <w:tcMar>
              <w:top w:w="150" w:type="dxa"/>
              <w:left w:w="0" w:type="dxa"/>
              <w:bottom w:w="150" w:type="dxa"/>
              <w:right w:w="240" w:type="dxa"/>
            </w:tcMar>
            <w:vAlign w:val="center"/>
            <w:hideMark/>
          </w:tcPr>
          <w:p w14:paraId="35667C6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7C03A6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648CCB2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240" w:type="dxa"/>
            </w:tcMar>
            <w:vAlign w:val="center"/>
            <w:hideMark/>
          </w:tcPr>
          <w:p w14:paraId="085B1D5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40.0</w:t>
            </w:r>
          </w:p>
        </w:tc>
        <w:tc>
          <w:tcPr>
            <w:tcW w:w="0" w:type="auto"/>
            <w:tcMar>
              <w:top w:w="150" w:type="dxa"/>
              <w:left w:w="240" w:type="dxa"/>
              <w:bottom w:w="150" w:type="dxa"/>
              <w:right w:w="240" w:type="dxa"/>
            </w:tcMar>
            <w:vAlign w:val="center"/>
            <w:hideMark/>
          </w:tcPr>
          <w:p w14:paraId="2A8181F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5631DF8"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5B8434C8" w14:textId="77777777" w:rsidTr="007F70EC">
        <w:tc>
          <w:tcPr>
            <w:tcW w:w="0" w:type="auto"/>
            <w:tcMar>
              <w:top w:w="150" w:type="dxa"/>
              <w:left w:w="0" w:type="dxa"/>
              <w:bottom w:w="150" w:type="dxa"/>
              <w:right w:w="240" w:type="dxa"/>
            </w:tcMar>
            <w:vAlign w:val="center"/>
            <w:hideMark/>
          </w:tcPr>
          <w:p w14:paraId="33F1540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Training meets needs</w:t>
            </w:r>
          </w:p>
        </w:tc>
        <w:tc>
          <w:tcPr>
            <w:tcW w:w="0" w:type="auto"/>
            <w:tcMar>
              <w:top w:w="150" w:type="dxa"/>
              <w:left w:w="240" w:type="dxa"/>
              <w:bottom w:w="150" w:type="dxa"/>
              <w:right w:w="240" w:type="dxa"/>
            </w:tcMar>
            <w:vAlign w:val="center"/>
            <w:hideMark/>
          </w:tcPr>
          <w:p w14:paraId="4C3128A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14F214B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2610ABB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c>
          <w:tcPr>
            <w:tcW w:w="0" w:type="auto"/>
            <w:tcMar>
              <w:top w:w="150" w:type="dxa"/>
              <w:left w:w="240" w:type="dxa"/>
              <w:bottom w:w="150" w:type="dxa"/>
              <w:right w:w="240" w:type="dxa"/>
            </w:tcMar>
            <w:vAlign w:val="center"/>
            <w:hideMark/>
          </w:tcPr>
          <w:p w14:paraId="68981DB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0.05</w:t>
            </w:r>
          </w:p>
        </w:tc>
        <w:tc>
          <w:tcPr>
            <w:tcW w:w="0" w:type="auto"/>
            <w:tcMar>
              <w:top w:w="150" w:type="dxa"/>
              <w:left w:w="240" w:type="dxa"/>
              <w:bottom w:w="150" w:type="dxa"/>
              <w:right w:w="0" w:type="dxa"/>
            </w:tcMar>
            <w:vAlign w:val="center"/>
            <w:hideMark/>
          </w:tcPr>
          <w:p w14:paraId="2EB7C81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1.2 (0.4–3.6)</w:t>
            </w:r>
          </w:p>
        </w:tc>
      </w:tr>
      <w:tr w:rsidR="00872431" w:rsidRPr="007F70EC" w14:paraId="7487BE97" w14:textId="77777777" w:rsidTr="007F70EC">
        <w:tc>
          <w:tcPr>
            <w:tcW w:w="0" w:type="auto"/>
            <w:tcMar>
              <w:top w:w="150" w:type="dxa"/>
              <w:left w:w="0" w:type="dxa"/>
              <w:bottom w:w="150" w:type="dxa"/>
              <w:right w:w="240" w:type="dxa"/>
            </w:tcMar>
            <w:vAlign w:val="center"/>
            <w:hideMark/>
          </w:tcPr>
          <w:p w14:paraId="79E9C45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81EBFE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Partially</w:t>
            </w:r>
          </w:p>
        </w:tc>
        <w:tc>
          <w:tcPr>
            <w:tcW w:w="0" w:type="auto"/>
            <w:tcMar>
              <w:top w:w="150" w:type="dxa"/>
              <w:left w:w="240" w:type="dxa"/>
              <w:bottom w:w="150" w:type="dxa"/>
              <w:right w:w="240" w:type="dxa"/>
            </w:tcMar>
            <w:vAlign w:val="center"/>
            <w:hideMark/>
          </w:tcPr>
          <w:p w14:paraId="6EB41F6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0F26D97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c>
          <w:tcPr>
            <w:tcW w:w="0" w:type="auto"/>
            <w:tcMar>
              <w:top w:w="150" w:type="dxa"/>
              <w:left w:w="240" w:type="dxa"/>
              <w:bottom w:w="150" w:type="dxa"/>
              <w:right w:w="240" w:type="dxa"/>
            </w:tcMar>
            <w:vAlign w:val="center"/>
            <w:hideMark/>
          </w:tcPr>
          <w:p w14:paraId="6071728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7B43D678"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64CE9D47" w14:textId="77777777" w:rsidTr="007F70EC">
        <w:tc>
          <w:tcPr>
            <w:tcW w:w="0" w:type="auto"/>
            <w:tcMar>
              <w:top w:w="150" w:type="dxa"/>
              <w:left w:w="0" w:type="dxa"/>
              <w:bottom w:w="150" w:type="dxa"/>
              <w:right w:w="240" w:type="dxa"/>
            </w:tcMar>
            <w:vAlign w:val="center"/>
            <w:hideMark/>
          </w:tcPr>
          <w:p w14:paraId="16A79095"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356262F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A7C935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382CA3F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c>
          <w:tcPr>
            <w:tcW w:w="0" w:type="auto"/>
            <w:tcMar>
              <w:top w:w="150" w:type="dxa"/>
              <w:left w:w="240" w:type="dxa"/>
              <w:bottom w:w="150" w:type="dxa"/>
              <w:right w:w="240" w:type="dxa"/>
            </w:tcMar>
            <w:vAlign w:val="center"/>
            <w:hideMark/>
          </w:tcPr>
          <w:p w14:paraId="239AA87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7F3D1153"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56E27DF2" w14:textId="77777777" w:rsidTr="007F70EC">
        <w:tc>
          <w:tcPr>
            <w:tcW w:w="0" w:type="auto"/>
            <w:tcMar>
              <w:top w:w="150" w:type="dxa"/>
              <w:left w:w="0" w:type="dxa"/>
              <w:bottom w:w="150" w:type="dxa"/>
              <w:right w:w="240" w:type="dxa"/>
            </w:tcMar>
            <w:vAlign w:val="center"/>
            <w:hideMark/>
          </w:tcPr>
          <w:p w14:paraId="65749DD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Priority training areas</w:t>
            </w:r>
          </w:p>
        </w:tc>
        <w:tc>
          <w:tcPr>
            <w:tcW w:w="0" w:type="auto"/>
            <w:tcMar>
              <w:top w:w="150" w:type="dxa"/>
              <w:left w:w="240" w:type="dxa"/>
              <w:bottom w:w="150" w:type="dxa"/>
              <w:right w:w="240" w:type="dxa"/>
            </w:tcMar>
            <w:vAlign w:val="center"/>
            <w:hideMark/>
          </w:tcPr>
          <w:p w14:paraId="45D8DE6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Cold chain</w:t>
            </w:r>
          </w:p>
        </w:tc>
        <w:tc>
          <w:tcPr>
            <w:tcW w:w="0" w:type="auto"/>
            <w:tcMar>
              <w:top w:w="150" w:type="dxa"/>
              <w:left w:w="240" w:type="dxa"/>
              <w:bottom w:w="150" w:type="dxa"/>
              <w:right w:w="240" w:type="dxa"/>
            </w:tcMar>
            <w:vAlign w:val="center"/>
            <w:hideMark/>
          </w:tcPr>
          <w:p w14:paraId="2BDA162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68918B9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c>
          <w:tcPr>
            <w:tcW w:w="0" w:type="auto"/>
            <w:tcMar>
              <w:top w:w="150" w:type="dxa"/>
              <w:left w:w="240" w:type="dxa"/>
              <w:bottom w:w="150" w:type="dxa"/>
              <w:right w:w="240" w:type="dxa"/>
            </w:tcMar>
            <w:vAlign w:val="center"/>
            <w:hideMark/>
          </w:tcPr>
          <w:p w14:paraId="32A6335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0.05</w:t>
            </w:r>
          </w:p>
        </w:tc>
        <w:tc>
          <w:tcPr>
            <w:tcW w:w="0" w:type="auto"/>
            <w:tcMar>
              <w:top w:w="150" w:type="dxa"/>
              <w:left w:w="240" w:type="dxa"/>
              <w:bottom w:w="150" w:type="dxa"/>
              <w:right w:w="0" w:type="dxa"/>
            </w:tcMar>
            <w:vAlign w:val="center"/>
            <w:hideMark/>
          </w:tcPr>
          <w:p w14:paraId="2D0C95F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(0.3–3.2)</w:t>
            </w:r>
          </w:p>
        </w:tc>
      </w:tr>
      <w:tr w:rsidR="00872431" w:rsidRPr="007F70EC" w14:paraId="57216EA8" w14:textId="77777777" w:rsidTr="007F70EC">
        <w:tc>
          <w:tcPr>
            <w:tcW w:w="0" w:type="auto"/>
            <w:tcMar>
              <w:top w:w="150" w:type="dxa"/>
              <w:left w:w="0" w:type="dxa"/>
              <w:bottom w:w="150" w:type="dxa"/>
              <w:right w:w="240" w:type="dxa"/>
            </w:tcMar>
            <w:vAlign w:val="center"/>
            <w:hideMark/>
          </w:tcPr>
          <w:p w14:paraId="4A069CD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ABC65A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Community communication</w:t>
            </w:r>
          </w:p>
        </w:tc>
        <w:tc>
          <w:tcPr>
            <w:tcW w:w="0" w:type="auto"/>
            <w:tcMar>
              <w:top w:w="150" w:type="dxa"/>
              <w:left w:w="240" w:type="dxa"/>
              <w:bottom w:w="150" w:type="dxa"/>
              <w:right w:w="240" w:type="dxa"/>
            </w:tcMar>
            <w:vAlign w:val="center"/>
            <w:hideMark/>
          </w:tcPr>
          <w:p w14:paraId="2893DD2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240" w:type="dxa"/>
            </w:tcMar>
            <w:vAlign w:val="center"/>
            <w:hideMark/>
          </w:tcPr>
          <w:p w14:paraId="4B98112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26.7</w:t>
            </w:r>
          </w:p>
        </w:tc>
        <w:tc>
          <w:tcPr>
            <w:tcW w:w="0" w:type="auto"/>
            <w:tcMar>
              <w:top w:w="150" w:type="dxa"/>
              <w:left w:w="240" w:type="dxa"/>
              <w:bottom w:w="150" w:type="dxa"/>
              <w:right w:w="240" w:type="dxa"/>
            </w:tcMar>
            <w:vAlign w:val="center"/>
            <w:hideMark/>
          </w:tcPr>
          <w:p w14:paraId="23D8271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36618B15"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6BCB0E79" w14:textId="77777777" w:rsidTr="007F70EC">
        <w:tc>
          <w:tcPr>
            <w:tcW w:w="0" w:type="auto"/>
            <w:tcMar>
              <w:top w:w="150" w:type="dxa"/>
              <w:left w:w="0" w:type="dxa"/>
              <w:bottom w:w="150" w:type="dxa"/>
              <w:right w:w="240" w:type="dxa"/>
            </w:tcMar>
            <w:vAlign w:val="center"/>
            <w:hideMark/>
          </w:tcPr>
          <w:p w14:paraId="389F0E8E"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8FE2A2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Vaccination techniques</w:t>
            </w:r>
          </w:p>
        </w:tc>
        <w:tc>
          <w:tcPr>
            <w:tcW w:w="0" w:type="auto"/>
            <w:tcMar>
              <w:top w:w="150" w:type="dxa"/>
              <w:left w:w="240" w:type="dxa"/>
              <w:bottom w:w="150" w:type="dxa"/>
              <w:right w:w="240" w:type="dxa"/>
            </w:tcMar>
            <w:vAlign w:val="center"/>
            <w:hideMark/>
          </w:tcPr>
          <w:p w14:paraId="59A4592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10FD53D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c>
          <w:tcPr>
            <w:tcW w:w="0" w:type="auto"/>
            <w:tcMar>
              <w:top w:w="150" w:type="dxa"/>
              <w:left w:w="240" w:type="dxa"/>
              <w:bottom w:w="150" w:type="dxa"/>
              <w:right w:w="240" w:type="dxa"/>
            </w:tcMar>
            <w:vAlign w:val="center"/>
            <w:hideMark/>
          </w:tcPr>
          <w:p w14:paraId="618504D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7178160"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bl>
    <w:p w14:paraId="67F7268D"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Interpretation:</w:t>
      </w:r>
      <w:r w:rsidRPr="007F70EC">
        <w:rPr>
          <w:rFonts w:ascii="Times New Roman" w:eastAsia="Times New Roman" w:hAnsi="Times New Roman" w:cs="Times New Roman"/>
          <w:color w:val="0F1115"/>
          <w:kern w:val="0"/>
          <w14:ligatures w14:val="none"/>
        </w:rPr>
        <w:t> Only 60% of supervisors reported regular training, and 33% felt training did not meet field needs. Cold chain management was the top priority for capacity building (33.3%).</w:t>
      </w:r>
    </w:p>
    <w:p w14:paraId="0F8ECCF6"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3.3. Supervision Practices</w:t>
      </w:r>
    </w:p>
    <w:p w14:paraId="7459B5C2"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4</w:t>
      </w:r>
      <w:r w:rsidRPr="007F70EC">
        <w:rPr>
          <w:rFonts w:ascii="Times New Roman" w:eastAsia="Times New Roman" w:hAnsi="Times New Roman" w:cs="Times New Roman"/>
          <w:color w:val="0F1115"/>
          <w:kern w:val="0"/>
          <w14:ligatures w14:val="none"/>
        </w:rPr>
        <w:t> presents supervision frequency and perceived effectiveness.</w:t>
      </w:r>
    </w:p>
    <w:p w14:paraId="309EBCC1"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4</w:t>
      </w:r>
      <w:r w:rsidRPr="007F70EC">
        <w:rPr>
          <w:rFonts w:ascii="Times New Roman" w:eastAsia="Times New Roman" w:hAnsi="Times New Roman" w:cs="Times New Roman"/>
          <w:color w:val="0F1115"/>
          <w:kern w:val="0"/>
          <w14:ligatures w14:val="none"/>
        </w:rPr>
        <w:br/>
        <w:t>*Supervision Practices and Effectiveness (N=15 Supervisors)*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88"/>
        <w:gridCol w:w="1502"/>
        <w:gridCol w:w="710"/>
        <w:gridCol w:w="883"/>
        <w:gridCol w:w="1149"/>
        <w:gridCol w:w="1628"/>
      </w:tblGrid>
      <w:tr w:rsidR="00872431" w:rsidRPr="007F70EC" w14:paraId="51A52A3C"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54BBF38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97A83D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C1FD9D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CF5030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E82931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251A7F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OR (95% CI)</w:t>
            </w:r>
          </w:p>
        </w:tc>
      </w:tr>
      <w:tr w:rsidR="00872431" w:rsidRPr="007F70EC" w14:paraId="26920132" w14:textId="77777777" w:rsidTr="007F70EC">
        <w:tc>
          <w:tcPr>
            <w:tcW w:w="0" w:type="auto"/>
            <w:tcBorders>
              <w:top w:val="single" w:sz="4" w:space="0" w:color="auto"/>
            </w:tcBorders>
            <w:tcMar>
              <w:top w:w="150" w:type="dxa"/>
              <w:left w:w="0" w:type="dxa"/>
              <w:bottom w:w="150" w:type="dxa"/>
              <w:right w:w="240" w:type="dxa"/>
            </w:tcMar>
            <w:vAlign w:val="center"/>
            <w:hideMark/>
          </w:tcPr>
          <w:p w14:paraId="48521D8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Supervision frequency</w:t>
            </w:r>
          </w:p>
        </w:tc>
        <w:tc>
          <w:tcPr>
            <w:tcW w:w="0" w:type="auto"/>
            <w:tcBorders>
              <w:top w:val="single" w:sz="4" w:space="0" w:color="auto"/>
            </w:tcBorders>
            <w:tcMar>
              <w:top w:w="150" w:type="dxa"/>
              <w:left w:w="240" w:type="dxa"/>
              <w:bottom w:w="150" w:type="dxa"/>
              <w:right w:w="240" w:type="dxa"/>
            </w:tcMar>
            <w:vAlign w:val="center"/>
            <w:hideMark/>
          </w:tcPr>
          <w:p w14:paraId="1143CD2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Monthly</w:t>
            </w:r>
          </w:p>
        </w:tc>
        <w:tc>
          <w:tcPr>
            <w:tcW w:w="0" w:type="auto"/>
            <w:tcBorders>
              <w:top w:val="single" w:sz="4" w:space="0" w:color="auto"/>
            </w:tcBorders>
            <w:tcMar>
              <w:top w:w="150" w:type="dxa"/>
              <w:left w:w="240" w:type="dxa"/>
              <w:bottom w:w="150" w:type="dxa"/>
              <w:right w:w="240" w:type="dxa"/>
            </w:tcMar>
            <w:vAlign w:val="center"/>
            <w:hideMark/>
          </w:tcPr>
          <w:p w14:paraId="7122872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9</w:t>
            </w:r>
          </w:p>
        </w:tc>
        <w:tc>
          <w:tcPr>
            <w:tcW w:w="0" w:type="auto"/>
            <w:tcBorders>
              <w:top w:val="single" w:sz="4" w:space="0" w:color="auto"/>
            </w:tcBorders>
            <w:tcMar>
              <w:top w:w="150" w:type="dxa"/>
              <w:left w:w="240" w:type="dxa"/>
              <w:bottom w:w="150" w:type="dxa"/>
              <w:right w:w="240" w:type="dxa"/>
            </w:tcMar>
            <w:vAlign w:val="center"/>
            <w:hideMark/>
          </w:tcPr>
          <w:p w14:paraId="54A85E5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60.0</w:t>
            </w:r>
          </w:p>
        </w:tc>
        <w:tc>
          <w:tcPr>
            <w:tcW w:w="0" w:type="auto"/>
            <w:tcBorders>
              <w:top w:val="single" w:sz="4" w:space="0" w:color="auto"/>
            </w:tcBorders>
            <w:tcMar>
              <w:top w:w="150" w:type="dxa"/>
              <w:left w:w="240" w:type="dxa"/>
              <w:bottom w:w="150" w:type="dxa"/>
              <w:right w:w="240" w:type="dxa"/>
            </w:tcMar>
            <w:vAlign w:val="center"/>
            <w:hideMark/>
          </w:tcPr>
          <w:p w14:paraId="5A3790F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0.005</w:t>
            </w:r>
          </w:p>
        </w:tc>
        <w:tc>
          <w:tcPr>
            <w:tcW w:w="0" w:type="auto"/>
            <w:tcBorders>
              <w:top w:val="single" w:sz="4" w:space="0" w:color="auto"/>
            </w:tcBorders>
            <w:tcMar>
              <w:top w:w="150" w:type="dxa"/>
              <w:left w:w="240" w:type="dxa"/>
              <w:bottom w:w="150" w:type="dxa"/>
              <w:right w:w="0" w:type="dxa"/>
            </w:tcMar>
            <w:vAlign w:val="center"/>
            <w:hideMark/>
          </w:tcPr>
          <w:p w14:paraId="20C0FC0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1.5 (0.5–4.5)</w:t>
            </w:r>
          </w:p>
        </w:tc>
      </w:tr>
      <w:tr w:rsidR="00872431" w:rsidRPr="007F70EC" w14:paraId="23E044E2" w14:textId="77777777" w:rsidTr="007F70EC">
        <w:tc>
          <w:tcPr>
            <w:tcW w:w="0" w:type="auto"/>
            <w:tcMar>
              <w:top w:w="150" w:type="dxa"/>
              <w:left w:w="0" w:type="dxa"/>
              <w:bottom w:w="150" w:type="dxa"/>
              <w:right w:w="240" w:type="dxa"/>
            </w:tcMar>
            <w:vAlign w:val="center"/>
            <w:hideMark/>
          </w:tcPr>
          <w:p w14:paraId="4A44B4C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8D8196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Quarterly</w:t>
            </w:r>
          </w:p>
        </w:tc>
        <w:tc>
          <w:tcPr>
            <w:tcW w:w="0" w:type="auto"/>
            <w:tcMar>
              <w:top w:w="150" w:type="dxa"/>
              <w:left w:w="240" w:type="dxa"/>
              <w:bottom w:w="150" w:type="dxa"/>
              <w:right w:w="240" w:type="dxa"/>
            </w:tcMar>
            <w:vAlign w:val="center"/>
            <w:hideMark/>
          </w:tcPr>
          <w:p w14:paraId="255429F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28DB9C0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c>
          <w:tcPr>
            <w:tcW w:w="0" w:type="auto"/>
            <w:tcMar>
              <w:top w:w="150" w:type="dxa"/>
              <w:left w:w="240" w:type="dxa"/>
              <w:bottom w:w="150" w:type="dxa"/>
              <w:right w:w="240" w:type="dxa"/>
            </w:tcMar>
            <w:vAlign w:val="center"/>
            <w:hideMark/>
          </w:tcPr>
          <w:p w14:paraId="0BFCF56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025F7A37"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6313D131" w14:textId="77777777" w:rsidTr="007F70EC">
        <w:tc>
          <w:tcPr>
            <w:tcW w:w="0" w:type="auto"/>
            <w:tcMar>
              <w:top w:w="150" w:type="dxa"/>
              <w:left w:w="0" w:type="dxa"/>
              <w:bottom w:w="150" w:type="dxa"/>
              <w:right w:w="240" w:type="dxa"/>
            </w:tcMar>
            <w:vAlign w:val="center"/>
            <w:hideMark/>
          </w:tcPr>
          <w:p w14:paraId="6DBF4EB8"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F3BD7A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Occasional</w:t>
            </w:r>
          </w:p>
        </w:tc>
        <w:tc>
          <w:tcPr>
            <w:tcW w:w="0" w:type="auto"/>
            <w:tcMar>
              <w:top w:w="150" w:type="dxa"/>
              <w:left w:w="240" w:type="dxa"/>
              <w:bottom w:w="150" w:type="dxa"/>
              <w:right w:w="240" w:type="dxa"/>
            </w:tcMar>
            <w:vAlign w:val="center"/>
            <w:hideMark/>
          </w:tcPr>
          <w:p w14:paraId="15CD611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03134C8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w:t>
            </w:r>
          </w:p>
        </w:tc>
        <w:tc>
          <w:tcPr>
            <w:tcW w:w="0" w:type="auto"/>
            <w:tcMar>
              <w:top w:w="150" w:type="dxa"/>
              <w:left w:w="240" w:type="dxa"/>
              <w:bottom w:w="150" w:type="dxa"/>
              <w:right w:w="240" w:type="dxa"/>
            </w:tcMar>
            <w:vAlign w:val="center"/>
            <w:hideMark/>
          </w:tcPr>
          <w:p w14:paraId="166BE3B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40A8818"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22DBCCC0" w14:textId="77777777" w:rsidTr="007F70EC">
        <w:tc>
          <w:tcPr>
            <w:tcW w:w="0" w:type="auto"/>
            <w:tcMar>
              <w:top w:w="150" w:type="dxa"/>
              <w:left w:w="0" w:type="dxa"/>
              <w:bottom w:w="150" w:type="dxa"/>
              <w:right w:w="240" w:type="dxa"/>
            </w:tcMar>
            <w:vAlign w:val="center"/>
            <w:hideMark/>
          </w:tcPr>
          <w:p w14:paraId="0A4D21C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Recommendations applied</w:t>
            </w:r>
          </w:p>
        </w:tc>
        <w:tc>
          <w:tcPr>
            <w:tcW w:w="0" w:type="auto"/>
            <w:tcMar>
              <w:top w:w="150" w:type="dxa"/>
              <w:left w:w="240" w:type="dxa"/>
              <w:bottom w:w="150" w:type="dxa"/>
              <w:right w:w="240" w:type="dxa"/>
            </w:tcMar>
            <w:vAlign w:val="center"/>
            <w:hideMark/>
          </w:tcPr>
          <w:p w14:paraId="4C1605D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Always</w:t>
            </w:r>
          </w:p>
        </w:tc>
        <w:tc>
          <w:tcPr>
            <w:tcW w:w="0" w:type="auto"/>
            <w:tcMar>
              <w:top w:w="150" w:type="dxa"/>
              <w:left w:w="240" w:type="dxa"/>
              <w:bottom w:w="150" w:type="dxa"/>
              <w:right w:w="240" w:type="dxa"/>
            </w:tcMar>
            <w:vAlign w:val="center"/>
            <w:hideMark/>
          </w:tcPr>
          <w:p w14:paraId="03EA0F0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45501D5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c>
          <w:tcPr>
            <w:tcW w:w="0" w:type="auto"/>
            <w:tcMar>
              <w:top w:w="150" w:type="dxa"/>
              <w:left w:w="240" w:type="dxa"/>
              <w:bottom w:w="150" w:type="dxa"/>
              <w:right w:w="240" w:type="dxa"/>
            </w:tcMar>
            <w:vAlign w:val="center"/>
            <w:hideMark/>
          </w:tcPr>
          <w:p w14:paraId="2D81A41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0.05</w:t>
            </w:r>
          </w:p>
        </w:tc>
        <w:tc>
          <w:tcPr>
            <w:tcW w:w="0" w:type="auto"/>
            <w:tcMar>
              <w:top w:w="150" w:type="dxa"/>
              <w:left w:w="240" w:type="dxa"/>
              <w:bottom w:w="150" w:type="dxa"/>
              <w:right w:w="0" w:type="dxa"/>
            </w:tcMar>
            <w:vAlign w:val="center"/>
            <w:hideMark/>
          </w:tcPr>
          <w:p w14:paraId="6180BCE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(0.3–3.2)</w:t>
            </w:r>
          </w:p>
        </w:tc>
      </w:tr>
      <w:tr w:rsidR="00872431" w:rsidRPr="007F70EC" w14:paraId="29B92918" w14:textId="77777777" w:rsidTr="007F70EC">
        <w:tc>
          <w:tcPr>
            <w:tcW w:w="0" w:type="auto"/>
            <w:tcMar>
              <w:top w:w="150" w:type="dxa"/>
              <w:left w:w="0" w:type="dxa"/>
              <w:bottom w:w="150" w:type="dxa"/>
              <w:right w:w="240" w:type="dxa"/>
            </w:tcMar>
            <w:vAlign w:val="center"/>
            <w:hideMark/>
          </w:tcPr>
          <w:p w14:paraId="654AABA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CA71D1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Often</w:t>
            </w:r>
          </w:p>
        </w:tc>
        <w:tc>
          <w:tcPr>
            <w:tcW w:w="0" w:type="auto"/>
            <w:tcMar>
              <w:top w:w="150" w:type="dxa"/>
              <w:left w:w="240" w:type="dxa"/>
              <w:bottom w:w="150" w:type="dxa"/>
              <w:right w:w="240" w:type="dxa"/>
            </w:tcMar>
            <w:vAlign w:val="center"/>
            <w:hideMark/>
          </w:tcPr>
          <w:p w14:paraId="321336B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2627225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c>
          <w:tcPr>
            <w:tcW w:w="0" w:type="auto"/>
            <w:tcMar>
              <w:top w:w="150" w:type="dxa"/>
              <w:left w:w="240" w:type="dxa"/>
              <w:bottom w:w="150" w:type="dxa"/>
              <w:right w:w="240" w:type="dxa"/>
            </w:tcMar>
            <w:vAlign w:val="center"/>
            <w:hideMark/>
          </w:tcPr>
          <w:p w14:paraId="465E046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FDAD8BA"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6960F7C1" w14:textId="77777777" w:rsidTr="007F70EC">
        <w:tc>
          <w:tcPr>
            <w:tcW w:w="0" w:type="auto"/>
            <w:tcMar>
              <w:top w:w="150" w:type="dxa"/>
              <w:left w:w="0" w:type="dxa"/>
              <w:bottom w:w="150" w:type="dxa"/>
              <w:right w:w="240" w:type="dxa"/>
            </w:tcMar>
            <w:vAlign w:val="center"/>
            <w:hideMark/>
          </w:tcPr>
          <w:p w14:paraId="3F6A492C"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6B85F37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Rarely</w:t>
            </w:r>
          </w:p>
        </w:tc>
        <w:tc>
          <w:tcPr>
            <w:tcW w:w="0" w:type="auto"/>
            <w:tcMar>
              <w:top w:w="150" w:type="dxa"/>
              <w:left w:w="240" w:type="dxa"/>
              <w:bottom w:w="150" w:type="dxa"/>
              <w:right w:w="240" w:type="dxa"/>
            </w:tcMar>
            <w:vAlign w:val="center"/>
            <w:hideMark/>
          </w:tcPr>
          <w:p w14:paraId="0CD9742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0D49828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13.3</w:t>
            </w:r>
          </w:p>
        </w:tc>
        <w:tc>
          <w:tcPr>
            <w:tcW w:w="0" w:type="auto"/>
            <w:tcMar>
              <w:top w:w="150" w:type="dxa"/>
              <w:left w:w="240" w:type="dxa"/>
              <w:bottom w:w="150" w:type="dxa"/>
              <w:right w:w="240" w:type="dxa"/>
            </w:tcMar>
            <w:vAlign w:val="center"/>
            <w:hideMark/>
          </w:tcPr>
          <w:p w14:paraId="5821AC7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EE2443F"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4FD186AF" w14:textId="77777777" w:rsidTr="007F70EC">
        <w:tc>
          <w:tcPr>
            <w:tcW w:w="0" w:type="auto"/>
            <w:tcMar>
              <w:top w:w="150" w:type="dxa"/>
              <w:left w:w="0" w:type="dxa"/>
              <w:bottom w:w="150" w:type="dxa"/>
              <w:right w:w="240" w:type="dxa"/>
            </w:tcMar>
            <w:vAlign w:val="center"/>
            <w:hideMark/>
          </w:tcPr>
          <w:p w14:paraId="480DA345"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E3D671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Never</w:t>
            </w:r>
          </w:p>
        </w:tc>
        <w:tc>
          <w:tcPr>
            <w:tcW w:w="0" w:type="auto"/>
            <w:tcMar>
              <w:top w:w="150" w:type="dxa"/>
              <w:left w:w="240" w:type="dxa"/>
              <w:bottom w:w="150" w:type="dxa"/>
              <w:right w:w="240" w:type="dxa"/>
            </w:tcMar>
            <w:vAlign w:val="center"/>
            <w:hideMark/>
          </w:tcPr>
          <w:p w14:paraId="24A8626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6AD2DD3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w:t>
            </w:r>
          </w:p>
        </w:tc>
        <w:tc>
          <w:tcPr>
            <w:tcW w:w="0" w:type="auto"/>
            <w:tcMar>
              <w:top w:w="150" w:type="dxa"/>
              <w:left w:w="240" w:type="dxa"/>
              <w:bottom w:w="150" w:type="dxa"/>
              <w:right w:w="240" w:type="dxa"/>
            </w:tcMar>
            <w:vAlign w:val="center"/>
            <w:hideMark/>
          </w:tcPr>
          <w:p w14:paraId="367E10E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D5B3A1F"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0765363B" w14:textId="77777777" w:rsidTr="007F70EC">
        <w:tc>
          <w:tcPr>
            <w:tcW w:w="0" w:type="auto"/>
            <w:tcMar>
              <w:top w:w="150" w:type="dxa"/>
              <w:left w:w="0" w:type="dxa"/>
              <w:bottom w:w="150" w:type="dxa"/>
              <w:right w:w="240" w:type="dxa"/>
            </w:tcMar>
            <w:vAlign w:val="center"/>
            <w:hideMark/>
          </w:tcPr>
          <w:p w14:paraId="3428D61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Supervision improves performance</w:t>
            </w:r>
          </w:p>
        </w:tc>
        <w:tc>
          <w:tcPr>
            <w:tcW w:w="0" w:type="auto"/>
            <w:tcMar>
              <w:top w:w="150" w:type="dxa"/>
              <w:left w:w="240" w:type="dxa"/>
              <w:bottom w:w="150" w:type="dxa"/>
              <w:right w:w="240" w:type="dxa"/>
            </w:tcMar>
            <w:vAlign w:val="center"/>
            <w:hideMark/>
          </w:tcPr>
          <w:p w14:paraId="1DAA2D7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249FD4E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w:t>
            </w:r>
          </w:p>
        </w:tc>
        <w:tc>
          <w:tcPr>
            <w:tcW w:w="0" w:type="auto"/>
            <w:tcMar>
              <w:top w:w="150" w:type="dxa"/>
              <w:left w:w="240" w:type="dxa"/>
              <w:bottom w:w="150" w:type="dxa"/>
              <w:right w:w="240" w:type="dxa"/>
            </w:tcMar>
            <w:vAlign w:val="center"/>
            <w:hideMark/>
          </w:tcPr>
          <w:p w14:paraId="22B84AA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86.7</w:t>
            </w:r>
          </w:p>
        </w:tc>
        <w:tc>
          <w:tcPr>
            <w:tcW w:w="0" w:type="auto"/>
            <w:tcMar>
              <w:top w:w="150" w:type="dxa"/>
              <w:left w:w="240" w:type="dxa"/>
              <w:bottom w:w="150" w:type="dxa"/>
              <w:right w:w="240" w:type="dxa"/>
            </w:tcMar>
            <w:vAlign w:val="center"/>
            <w:hideMark/>
          </w:tcPr>
          <w:p w14:paraId="13140E1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0.01</w:t>
            </w:r>
          </w:p>
        </w:tc>
        <w:tc>
          <w:tcPr>
            <w:tcW w:w="0" w:type="auto"/>
            <w:tcMar>
              <w:top w:w="150" w:type="dxa"/>
              <w:left w:w="240" w:type="dxa"/>
              <w:bottom w:w="150" w:type="dxa"/>
              <w:right w:w="0" w:type="dxa"/>
            </w:tcMar>
            <w:vAlign w:val="center"/>
            <w:hideMark/>
          </w:tcPr>
          <w:p w14:paraId="036CFE5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 (0.8–55.0)</w:t>
            </w:r>
          </w:p>
        </w:tc>
      </w:tr>
      <w:tr w:rsidR="00872431" w:rsidRPr="007F70EC" w14:paraId="249F8F42" w14:textId="77777777" w:rsidTr="007F70EC">
        <w:tc>
          <w:tcPr>
            <w:tcW w:w="0" w:type="auto"/>
            <w:tcMar>
              <w:top w:w="150" w:type="dxa"/>
              <w:left w:w="0" w:type="dxa"/>
              <w:bottom w:w="150" w:type="dxa"/>
              <w:right w:w="240" w:type="dxa"/>
            </w:tcMar>
            <w:vAlign w:val="center"/>
            <w:hideMark/>
          </w:tcPr>
          <w:p w14:paraId="50DE2FE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6DF984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AE228A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513E330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13.3</w:t>
            </w:r>
          </w:p>
        </w:tc>
        <w:tc>
          <w:tcPr>
            <w:tcW w:w="0" w:type="auto"/>
            <w:tcMar>
              <w:top w:w="150" w:type="dxa"/>
              <w:left w:w="240" w:type="dxa"/>
              <w:bottom w:w="150" w:type="dxa"/>
              <w:right w:w="240" w:type="dxa"/>
            </w:tcMar>
            <w:vAlign w:val="center"/>
            <w:hideMark/>
          </w:tcPr>
          <w:p w14:paraId="5A37B15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259A1EE2"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bl>
    <w:p w14:paraId="18479193"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lastRenderedPageBreak/>
        <w:t>Interpretation:</w:t>
      </w:r>
      <w:r w:rsidRPr="007F70EC">
        <w:rPr>
          <w:rFonts w:ascii="Times New Roman" w:eastAsia="Times New Roman" w:hAnsi="Times New Roman" w:cs="Times New Roman"/>
          <w:color w:val="0F1115"/>
          <w:kern w:val="0"/>
          <w14:ligatures w14:val="none"/>
        </w:rPr>
        <w:t> Monthly supervision was most common (60%), and 87% of supervisors affirmed that supervision improves performance. However, 20% of staff rarely or never applied supervision recommendations.</w:t>
      </w:r>
    </w:p>
    <w:p w14:paraId="0CA86988"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3.4. Staff Motivation and Discipline</w:t>
      </w:r>
    </w:p>
    <w:p w14:paraId="33E53191"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5</w:t>
      </w:r>
      <w:r w:rsidRPr="007F70EC">
        <w:rPr>
          <w:rFonts w:ascii="Times New Roman" w:eastAsia="Times New Roman" w:hAnsi="Times New Roman" w:cs="Times New Roman"/>
          <w:color w:val="0F1115"/>
          <w:kern w:val="0"/>
          <w14:ligatures w14:val="none"/>
        </w:rPr>
        <w:t> presents motivation levels and observed challenges.</w:t>
      </w:r>
    </w:p>
    <w:p w14:paraId="7AAB5320"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5</w:t>
      </w:r>
      <w:r w:rsidRPr="007F70EC">
        <w:rPr>
          <w:rFonts w:ascii="Times New Roman" w:eastAsia="Times New Roman" w:hAnsi="Times New Roman" w:cs="Times New Roman"/>
          <w:color w:val="0F1115"/>
          <w:kern w:val="0"/>
          <w14:ligatures w14:val="none"/>
        </w:rPr>
        <w:br/>
        <w:t>*Staff Motivation and Discipline (N=15 Supervisors)*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24"/>
        <w:gridCol w:w="1785"/>
        <w:gridCol w:w="710"/>
        <w:gridCol w:w="883"/>
        <w:gridCol w:w="1102"/>
        <w:gridCol w:w="1456"/>
      </w:tblGrid>
      <w:tr w:rsidR="00872431" w:rsidRPr="007F70EC" w14:paraId="675537FF"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9A0EF7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0F268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451C3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459809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8A7FE2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FCEB07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OR (95% CI)</w:t>
            </w:r>
          </w:p>
        </w:tc>
      </w:tr>
      <w:tr w:rsidR="00872431" w:rsidRPr="007F70EC" w14:paraId="4BF44FCE" w14:textId="77777777" w:rsidTr="007F70EC">
        <w:tc>
          <w:tcPr>
            <w:tcW w:w="0" w:type="auto"/>
            <w:tcBorders>
              <w:top w:val="single" w:sz="4" w:space="0" w:color="auto"/>
            </w:tcBorders>
            <w:tcMar>
              <w:top w:w="150" w:type="dxa"/>
              <w:left w:w="0" w:type="dxa"/>
              <w:bottom w:w="150" w:type="dxa"/>
              <w:right w:w="240" w:type="dxa"/>
            </w:tcMar>
            <w:vAlign w:val="center"/>
            <w:hideMark/>
          </w:tcPr>
          <w:p w14:paraId="4B521F4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Staff motivated</w:t>
            </w:r>
          </w:p>
        </w:tc>
        <w:tc>
          <w:tcPr>
            <w:tcW w:w="0" w:type="auto"/>
            <w:tcBorders>
              <w:top w:val="single" w:sz="4" w:space="0" w:color="auto"/>
            </w:tcBorders>
            <w:tcMar>
              <w:top w:w="150" w:type="dxa"/>
              <w:left w:w="240" w:type="dxa"/>
              <w:bottom w:w="150" w:type="dxa"/>
              <w:right w:w="240" w:type="dxa"/>
            </w:tcMar>
            <w:vAlign w:val="center"/>
            <w:hideMark/>
          </w:tcPr>
          <w:p w14:paraId="2885F6D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365BD4C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w:t>
            </w:r>
          </w:p>
        </w:tc>
        <w:tc>
          <w:tcPr>
            <w:tcW w:w="0" w:type="auto"/>
            <w:tcBorders>
              <w:top w:val="single" w:sz="4" w:space="0" w:color="auto"/>
            </w:tcBorders>
            <w:tcMar>
              <w:top w:w="150" w:type="dxa"/>
              <w:left w:w="240" w:type="dxa"/>
              <w:bottom w:w="150" w:type="dxa"/>
              <w:right w:w="240" w:type="dxa"/>
            </w:tcMar>
            <w:vAlign w:val="center"/>
            <w:hideMark/>
          </w:tcPr>
          <w:p w14:paraId="7BFF7A8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40.0</w:t>
            </w:r>
          </w:p>
        </w:tc>
        <w:tc>
          <w:tcPr>
            <w:tcW w:w="0" w:type="auto"/>
            <w:tcBorders>
              <w:top w:val="single" w:sz="4" w:space="0" w:color="auto"/>
            </w:tcBorders>
            <w:tcMar>
              <w:top w:w="150" w:type="dxa"/>
              <w:left w:w="240" w:type="dxa"/>
              <w:bottom w:w="150" w:type="dxa"/>
              <w:right w:w="240" w:type="dxa"/>
            </w:tcMar>
            <w:vAlign w:val="center"/>
            <w:hideMark/>
          </w:tcPr>
          <w:p w14:paraId="130BDCB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0.27</w:t>
            </w:r>
          </w:p>
        </w:tc>
        <w:tc>
          <w:tcPr>
            <w:tcW w:w="0" w:type="auto"/>
            <w:tcBorders>
              <w:top w:val="single" w:sz="4" w:space="0" w:color="auto"/>
            </w:tcBorders>
            <w:tcMar>
              <w:top w:w="150" w:type="dxa"/>
              <w:left w:w="240" w:type="dxa"/>
              <w:bottom w:w="150" w:type="dxa"/>
              <w:right w:w="0" w:type="dxa"/>
            </w:tcMar>
            <w:vAlign w:val="center"/>
            <w:hideMark/>
          </w:tcPr>
          <w:p w14:paraId="491F2C5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1.5 (0.4–5.2)</w:t>
            </w:r>
          </w:p>
        </w:tc>
      </w:tr>
      <w:tr w:rsidR="00872431" w:rsidRPr="007F70EC" w14:paraId="7E2B8442" w14:textId="77777777" w:rsidTr="007F70EC">
        <w:tc>
          <w:tcPr>
            <w:tcW w:w="0" w:type="auto"/>
            <w:tcMar>
              <w:top w:w="150" w:type="dxa"/>
              <w:left w:w="0" w:type="dxa"/>
              <w:bottom w:w="150" w:type="dxa"/>
              <w:right w:w="240" w:type="dxa"/>
            </w:tcMar>
            <w:vAlign w:val="center"/>
            <w:hideMark/>
          </w:tcPr>
          <w:p w14:paraId="76A6820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CD636F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7108141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240" w:type="dxa"/>
            </w:tcMar>
            <w:vAlign w:val="center"/>
            <w:hideMark/>
          </w:tcPr>
          <w:p w14:paraId="5DF8DA7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60.0</w:t>
            </w:r>
          </w:p>
        </w:tc>
        <w:tc>
          <w:tcPr>
            <w:tcW w:w="0" w:type="auto"/>
            <w:tcMar>
              <w:top w:w="150" w:type="dxa"/>
              <w:left w:w="240" w:type="dxa"/>
              <w:bottom w:w="150" w:type="dxa"/>
              <w:right w:w="240" w:type="dxa"/>
            </w:tcMar>
            <w:vAlign w:val="center"/>
            <w:hideMark/>
          </w:tcPr>
          <w:p w14:paraId="2EE265D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3E69DC0C"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60BD505B" w14:textId="77777777" w:rsidTr="007F70EC">
        <w:tc>
          <w:tcPr>
            <w:tcW w:w="0" w:type="auto"/>
            <w:tcMar>
              <w:top w:w="150" w:type="dxa"/>
              <w:left w:w="0" w:type="dxa"/>
              <w:bottom w:w="150" w:type="dxa"/>
              <w:right w:w="240" w:type="dxa"/>
            </w:tcMar>
            <w:vAlign w:val="center"/>
            <w:hideMark/>
          </w:tcPr>
          <w:p w14:paraId="667DD84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Motivation mechanisms effective</w:t>
            </w:r>
          </w:p>
        </w:tc>
        <w:tc>
          <w:tcPr>
            <w:tcW w:w="0" w:type="auto"/>
            <w:tcMar>
              <w:top w:w="150" w:type="dxa"/>
              <w:left w:w="240" w:type="dxa"/>
              <w:bottom w:w="150" w:type="dxa"/>
              <w:right w:w="240" w:type="dxa"/>
            </w:tcMar>
            <w:vAlign w:val="center"/>
            <w:hideMark/>
          </w:tcPr>
          <w:p w14:paraId="04DE0E4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Very effective</w:t>
            </w:r>
          </w:p>
        </w:tc>
        <w:tc>
          <w:tcPr>
            <w:tcW w:w="0" w:type="auto"/>
            <w:tcMar>
              <w:top w:w="150" w:type="dxa"/>
              <w:left w:w="240" w:type="dxa"/>
              <w:bottom w:w="150" w:type="dxa"/>
              <w:right w:w="240" w:type="dxa"/>
            </w:tcMar>
            <w:vAlign w:val="center"/>
            <w:hideMark/>
          </w:tcPr>
          <w:p w14:paraId="55D5A8E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00BCB4B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13.3</w:t>
            </w:r>
          </w:p>
        </w:tc>
        <w:tc>
          <w:tcPr>
            <w:tcW w:w="0" w:type="auto"/>
            <w:tcMar>
              <w:top w:w="150" w:type="dxa"/>
              <w:left w:w="240" w:type="dxa"/>
              <w:bottom w:w="150" w:type="dxa"/>
              <w:right w:w="240" w:type="dxa"/>
            </w:tcMar>
            <w:vAlign w:val="center"/>
            <w:hideMark/>
          </w:tcPr>
          <w:p w14:paraId="626D259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0.25</w:t>
            </w:r>
          </w:p>
        </w:tc>
        <w:tc>
          <w:tcPr>
            <w:tcW w:w="0" w:type="auto"/>
            <w:tcMar>
              <w:top w:w="150" w:type="dxa"/>
              <w:left w:w="240" w:type="dxa"/>
              <w:bottom w:w="150" w:type="dxa"/>
              <w:right w:w="0" w:type="dxa"/>
            </w:tcMar>
            <w:vAlign w:val="center"/>
            <w:hideMark/>
          </w:tcPr>
          <w:p w14:paraId="1049228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(0.2–4.8)</w:t>
            </w:r>
          </w:p>
        </w:tc>
      </w:tr>
      <w:tr w:rsidR="00872431" w:rsidRPr="007F70EC" w14:paraId="769FF9FF" w14:textId="77777777" w:rsidTr="007F70EC">
        <w:tc>
          <w:tcPr>
            <w:tcW w:w="0" w:type="auto"/>
            <w:tcMar>
              <w:top w:w="150" w:type="dxa"/>
              <w:left w:w="0" w:type="dxa"/>
              <w:bottom w:w="150" w:type="dxa"/>
              <w:right w:w="240" w:type="dxa"/>
            </w:tcMar>
            <w:vAlign w:val="center"/>
            <w:hideMark/>
          </w:tcPr>
          <w:p w14:paraId="59C0945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4C06B86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Effective</w:t>
            </w:r>
          </w:p>
        </w:tc>
        <w:tc>
          <w:tcPr>
            <w:tcW w:w="0" w:type="auto"/>
            <w:tcMar>
              <w:top w:w="150" w:type="dxa"/>
              <w:left w:w="240" w:type="dxa"/>
              <w:bottom w:w="150" w:type="dxa"/>
              <w:right w:w="240" w:type="dxa"/>
            </w:tcMar>
            <w:vAlign w:val="center"/>
            <w:hideMark/>
          </w:tcPr>
          <w:p w14:paraId="38DDEEA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240" w:type="dxa"/>
            </w:tcMar>
            <w:vAlign w:val="center"/>
            <w:hideMark/>
          </w:tcPr>
          <w:p w14:paraId="3518B02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c>
          <w:tcPr>
            <w:tcW w:w="0" w:type="auto"/>
            <w:tcMar>
              <w:top w:w="150" w:type="dxa"/>
              <w:left w:w="240" w:type="dxa"/>
              <w:bottom w:w="150" w:type="dxa"/>
              <w:right w:w="240" w:type="dxa"/>
            </w:tcMar>
            <w:vAlign w:val="center"/>
            <w:hideMark/>
          </w:tcPr>
          <w:p w14:paraId="0F2B2A0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05F72DAD"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5A146CCC" w14:textId="77777777" w:rsidTr="007F70EC">
        <w:tc>
          <w:tcPr>
            <w:tcW w:w="0" w:type="auto"/>
            <w:tcMar>
              <w:top w:w="150" w:type="dxa"/>
              <w:left w:w="0" w:type="dxa"/>
              <w:bottom w:w="150" w:type="dxa"/>
              <w:right w:w="240" w:type="dxa"/>
            </w:tcMar>
            <w:vAlign w:val="center"/>
            <w:hideMark/>
          </w:tcPr>
          <w:p w14:paraId="724695A8"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18E84F2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Poorly effective</w:t>
            </w:r>
          </w:p>
        </w:tc>
        <w:tc>
          <w:tcPr>
            <w:tcW w:w="0" w:type="auto"/>
            <w:tcMar>
              <w:top w:w="150" w:type="dxa"/>
              <w:left w:w="240" w:type="dxa"/>
              <w:bottom w:w="150" w:type="dxa"/>
              <w:right w:w="240" w:type="dxa"/>
            </w:tcMar>
            <w:vAlign w:val="center"/>
            <w:hideMark/>
          </w:tcPr>
          <w:p w14:paraId="2330A3F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240" w:type="dxa"/>
            </w:tcMar>
            <w:vAlign w:val="center"/>
            <w:hideMark/>
          </w:tcPr>
          <w:p w14:paraId="1C101C8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c>
          <w:tcPr>
            <w:tcW w:w="0" w:type="auto"/>
            <w:tcMar>
              <w:top w:w="150" w:type="dxa"/>
              <w:left w:w="240" w:type="dxa"/>
              <w:bottom w:w="150" w:type="dxa"/>
              <w:right w:w="240" w:type="dxa"/>
            </w:tcMar>
            <w:vAlign w:val="center"/>
            <w:hideMark/>
          </w:tcPr>
          <w:p w14:paraId="3123CF1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5CCBA50"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3D65DD71" w14:textId="77777777" w:rsidTr="007F70EC">
        <w:tc>
          <w:tcPr>
            <w:tcW w:w="0" w:type="auto"/>
            <w:tcMar>
              <w:top w:w="150" w:type="dxa"/>
              <w:left w:w="0" w:type="dxa"/>
              <w:bottom w:w="150" w:type="dxa"/>
              <w:right w:w="240" w:type="dxa"/>
            </w:tcMar>
            <w:vAlign w:val="center"/>
            <w:hideMark/>
          </w:tcPr>
          <w:p w14:paraId="5C9EB0DD"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EF3F78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Ineffective</w:t>
            </w:r>
          </w:p>
        </w:tc>
        <w:tc>
          <w:tcPr>
            <w:tcW w:w="0" w:type="auto"/>
            <w:tcMar>
              <w:top w:w="150" w:type="dxa"/>
              <w:left w:w="240" w:type="dxa"/>
              <w:bottom w:w="150" w:type="dxa"/>
              <w:right w:w="240" w:type="dxa"/>
            </w:tcMar>
            <w:vAlign w:val="center"/>
            <w:hideMark/>
          </w:tcPr>
          <w:p w14:paraId="006D0AA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723EA37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w:t>
            </w:r>
          </w:p>
        </w:tc>
        <w:tc>
          <w:tcPr>
            <w:tcW w:w="0" w:type="auto"/>
            <w:tcMar>
              <w:top w:w="150" w:type="dxa"/>
              <w:left w:w="240" w:type="dxa"/>
              <w:bottom w:w="150" w:type="dxa"/>
              <w:right w:w="240" w:type="dxa"/>
            </w:tcMar>
            <w:vAlign w:val="center"/>
            <w:hideMark/>
          </w:tcPr>
          <w:p w14:paraId="68124DF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21470A61"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017B6FBB" w14:textId="77777777" w:rsidTr="007F70EC">
        <w:tc>
          <w:tcPr>
            <w:tcW w:w="0" w:type="auto"/>
            <w:tcMar>
              <w:top w:w="150" w:type="dxa"/>
              <w:left w:w="0" w:type="dxa"/>
              <w:bottom w:w="150" w:type="dxa"/>
              <w:right w:w="240" w:type="dxa"/>
            </w:tcMar>
            <w:vAlign w:val="center"/>
            <w:hideMark/>
          </w:tcPr>
          <w:p w14:paraId="07ED065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Demotivation/absenteeism observed</w:t>
            </w:r>
          </w:p>
        </w:tc>
        <w:tc>
          <w:tcPr>
            <w:tcW w:w="0" w:type="auto"/>
            <w:tcMar>
              <w:top w:w="150" w:type="dxa"/>
              <w:left w:w="240" w:type="dxa"/>
              <w:bottom w:w="150" w:type="dxa"/>
              <w:right w:w="240" w:type="dxa"/>
            </w:tcMar>
            <w:vAlign w:val="center"/>
            <w:hideMark/>
          </w:tcPr>
          <w:p w14:paraId="2B197D6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0BED39B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240" w:type="dxa"/>
            </w:tcMar>
            <w:vAlign w:val="center"/>
            <w:hideMark/>
          </w:tcPr>
          <w:p w14:paraId="26CC75D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80.0</w:t>
            </w:r>
          </w:p>
        </w:tc>
        <w:tc>
          <w:tcPr>
            <w:tcW w:w="0" w:type="auto"/>
            <w:tcMar>
              <w:top w:w="150" w:type="dxa"/>
              <w:left w:w="240" w:type="dxa"/>
              <w:bottom w:w="150" w:type="dxa"/>
              <w:right w:w="240" w:type="dxa"/>
            </w:tcMar>
            <w:vAlign w:val="center"/>
            <w:hideMark/>
          </w:tcPr>
          <w:p w14:paraId="0CD1170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0.01</w:t>
            </w:r>
          </w:p>
        </w:tc>
        <w:tc>
          <w:tcPr>
            <w:tcW w:w="0" w:type="auto"/>
            <w:tcMar>
              <w:top w:w="150" w:type="dxa"/>
              <w:left w:w="240" w:type="dxa"/>
              <w:bottom w:w="150" w:type="dxa"/>
              <w:right w:w="0" w:type="dxa"/>
            </w:tcMar>
            <w:vAlign w:val="center"/>
            <w:hideMark/>
          </w:tcPr>
          <w:p w14:paraId="4C6CB57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 (0.8–55.0)</w:t>
            </w:r>
          </w:p>
        </w:tc>
      </w:tr>
      <w:tr w:rsidR="00872431" w:rsidRPr="007F70EC" w14:paraId="0F9E61F8" w14:textId="77777777" w:rsidTr="007F70EC">
        <w:tc>
          <w:tcPr>
            <w:tcW w:w="0" w:type="auto"/>
            <w:tcMar>
              <w:top w:w="150" w:type="dxa"/>
              <w:left w:w="0" w:type="dxa"/>
              <w:bottom w:w="150" w:type="dxa"/>
              <w:right w:w="240" w:type="dxa"/>
            </w:tcMar>
            <w:vAlign w:val="center"/>
            <w:hideMark/>
          </w:tcPr>
          <w:p w14:paraId="7779FAF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1D9D27F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31127B4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2D0F4E9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c>
          <w:tcPr>
            <w:tcW w:w="0" w:type="auto"/>
            <w:tcMar>
              <w:top w:w="150" w:type="dxa"/>
              <w:left w:w="240" w:type="dxa"/>
              <w:bottom w:w="150" w:type="dxa"/>
              <w:right w:w="240" w:type="dxa"/>
            </w:tcMar>
            <w:vAlign w:val="center"/>
            <w:hideMark/>
          </w:tcPr>
          <w:p w14:paraId="3F47F3B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65D9809"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bl>
    <w:p w14:paraId="4A21329F"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Interpretation:</w:t>
      </w:r>
      <w:r w:rsidRPr="007F70EC">
        <w:rPr>
          <w:rFonts w:ascii="Times New Roman" w:eastAsia="Times New Roman" w:hAnsi="Times New Roman" w:cs="Times New Roman"/>
          <w:color w:val="0F1115"/>
          <w:kern w:val="0"/>
          <w14:ligatures w14:val="none"/>
        </w:rPr>
        <w:t> Only 40% of supervisors considered staff motivated, and 80% had observed demotivation or absenteeism—a major performance barrier.</w:t>
      </w:r>
    </w:p>
    <w:p w14:paraId="769FDB32"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3.5. EPI Performance and HRM Influence</w:t>
      </w:r>
    </w:p>
    <w:p w14:paraId="6DA8FA6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lastRenderedPageBreak/>
        <w:t>Table 6</w:t>
      </w:r>
      <w:r w:rsidRPr="007F70EC">
        <w:rPr>
          <w:rFonts w:ascii="Times New Roman" w:eastAsia="Times New Roman" w:hAnsi="Times New Roman" w:cs="Times New Roman"/>
          <w:color w:val="0F1115"/>
          <w:kern w:val="0"/>
          <w14:ligatures w14:val="none"/>
        </w:rPr>
        <w:t> shows EPI performance ratings and perceived HRM influence.</w:t>
      </w:r>
    </w:p>
    <w:p w14:paraId="069B618B"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6</w:t>
      </w:r>
      <w:r w:rsidRPr="007F70EC">
        <w:rPr>
          <w:rFonts w:ascii="Times New Roman" w:eastAsia="Times New Roman" w:hAnsi="Times New Roman" w:cs="Times New Roman"/>
          <w:color w:val="0F1115"/>
          <w:kern w:val="0"/>
          <w14:ligatures w14:val="none"/>
        </w:rPr>
        <w:br/>
        <w:t>*EPI Performance and HRM Influence (N=15 Supervisors)*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56"/>
        <w:gridCol w:w="2204"/>
        <w:gridCol w:w="710"/>
        <w:gridCol w:w="883"/>
        <w:gridCol w:w="1117"/>
        <w:gridCol w:w="1490"/>
      </w:tblGrid>
      <w:tr w:rsidR="00872431" w:rsidRPr="007F70EC" w14:paraId="779A01CA"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1F9CB6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FD8B0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7CA9BF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2CE8DE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926A6B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AD6A58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OR (95% CI)</w:t>
            </w:r>
          </w:p>
        </w:tc>
      </w:tr>
      <w:tr w:rsidR="00872431" w:rsidRPr="007F70EC" w14:paraId="3771C84F" w14:textId="77777777" w:rsidTr="007F70EC">
        <w:tc>
          <w:tcPr>
            <w:tcW w:w="0" w:type="auto"/>
            <w:tcBorders>
              <w:top w:val="single" w:sz="4" w:space="0" w:color="auto"/>
            </w:tcBorders>
            <w:tcMar>
              <w:top w:w="150" w:type="dxa"/>
              <w:left w:w="0" w:type="dxa"/>
              <w:bottom w:w="150" w:type="dxa"/>
              <w:right w:w="240" w:type="dxa"/>
            </w:tcMar>
            <w:vAlign w:val="center"/>
            <w:hideMark/>
          </w:tcPr>
          <w:p w14:paraId="6A438DF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EPI performance (Mar–Jul 2025)</w:t>
            </w:r>
          </w:p>
        </w:tc>
        <w:tc>
          <w:tcPr>
            <w:tcW w:w="0" w:type="auto"/>
            <w:tcBorders>
              <w:top w:val="single" w:sz="4" w:space="0" w:color="auto"/>
            </w:tcBorders>
            <w:tcMar>
              <w:top w:w="150" w:type="dxa"/>
              <w:left w:w="240" w:type="dxa"/>
              <w:bottom w:w="150" w:type="dxa"/>
              <w:right w:w="240" w:type="dxa"/>
            </w:tcMar>
            <w:vAlign w:val="center"/>
            <w:hideMark/>
          </w:tcPr>
          <w:p w14:paraId="3CAAA9B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Very good</w:t>
            </w:r>
          </w:p>
        </w:tc>
        <w:tc>
          <w:tcPr>
            <w:tcW w:w="0" w:type="auto"/>
            <w:tcBorders>
              <w:top w:val="single" w:sz="4" w:space="0" w:color="auto"/>
            </w:tcBorders>
            <w:tcMar>
              <w:top w:w="150" w:type="dxa"/>
              <w:left w:w="240" w:type="dxa"/>
              <w:bottom w:w="150" w:type="dxa"/>
              <w:right w:w="240" w:type="dxa"/>
            </w:tcMar>
            <w:vAlign w:val="center"/>
            <w:hideMark/>
          </w:tcPr>
          <w:p w14:paraId="7A3E32B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3F2C70C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13.3</w:t>
            </w:r>
          </w:p>
        </w:tc>
        <w:tc>
          <w:tcPr>
            <w:tcW w:w="0" w:type="auto"/>
            <w:tcBorders>
              <w:top w:val="single" w:sz="4" w:space="0" w:color="auto"/>
            </w:tcBorders>
            <w:tcMar>
              <w:top w:w="150" w:type="dxa"/>
              <w:left w:w="240" w:type="dxa"/>
              <w:bottom w:w="150" w:type="dxa"/>
              <w:right w:w="240" w:type="dxa"/>
            </w:tcMar>
            <w:vAlign w:val="center"/>
            <w:hideMark/>
          </w:tcPr>
          <w:p w14:paraId="26EF0AC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0.025</w:t>
            </w:r>
          </w:p>
        </w:tc>
        <w:tc>
          <w:tcPr>
            <w:tcW w:w="0" w:type="auto"/>
            <w:tcBorders>
              <w:top w:val="single" w:sz="4" w:space="0" w:color="auto"/>
            </w:tcBorders>
            <w:tcMar>
              <w:top w:w="150" w:type="dxa"/>
              <w:left w:w="240" w:type="dxa"/>
              <w:bottom w:w="150" w:type="dxa"/>
              <w:right w:w="0" w:type="dxa"/>
            </w:tcMar>
            <w:vAlign w:val="center"/>
            <w:hideMark/>
          </w:tcPr>
          <w:p w14:paraId="3B7CA27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(0.2–4.8)</w:t>
            </w:r>
          </w:p>
        </w:tc>
      </w:tr>
      <w:tr w:rsidR="00872431" w:rsidRPr="007F70EC" w14:paraId="523B150E" w14:textId="77777777" w:rsidTr="007F70EC">
        <w:tc>
          <w:tcPr>
            <w:tcW w:w="0" w:type="auto"/>
            <w:tcMar>
              <w:top w:w="150" w:type="dxa"/>
              <w:left w:w="0" w:type="dxa"/>
              <w:bottom w:w="150" w:type="dxa"/>
              <w:right w:w="240" w:type="dxa"/>
            </w:tcMar>
            <w:vAlign w:val="center"/>
            <w:hideMark/>
          </w:tcPr>
          <w:p w14:paraId="231E5C1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5EBE91B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Good</w:t>
            </w:r>
          </w:p>
        </w:tc>
        <w:tc>
          <w:tcPr>
            <w:tcW w:w="0" w:type="auto"/>
            <w:tcMar>
              <w:top w:w="150" w:type="dxa"/>
              <w:left w:w="240" w:type="dxa"/>
              <w:bottom w:w="150" w:type="dxa"/>
              <w:right w:w="240" w:type="dxa"/>
            </w:tcMar>
            <w:vAlign w:val="center"/>
            <w:hideMark/>
          </w:tcPr>
          <w:p w14:paraId="4FE9641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240" w:type="dxa"/>
            </w:tcMar>
            <w:vAlign w:val="center"/>
            <w:hideMark/>
          </w:tcPr>
          <w:p w14:paraId="47B17FD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60.0</w:t>
            </w:r>
          </w:p>
        </w:tc>
        <w:tc>
          <w:tcPr>
            <w:tcW w:w="0" w:type="auto"/>
            <w:tcMar>
              <w:top w:w="150" w:type="dxa"/>
              <w:left w:w="240" w:type="dxa"/>
              <w:bottom w:w="150" w:type="dxa"/>
              <w:right w:w="240" w:type="dxa"/>
            </w:tcMar>
            <w:vAlign w:val="center"/>
            <w:hideMark/>
          </w:tcPr>
          <w:p w14:paraId="7F81A7B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2C0B8D5E"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5FA7069E" w14:textId="77777777" w:rsidTr="007F70EC">
        <w:tc>
          <w:tcPr>
            <w:tcW w:w="0" w:type="auto"/>
            <w:tcMar>
              <w:top w:w="150" w:type="dxa"/>
              <w:left w:w="0" w:type="dxa"/>
              <w:bottom w:w="150" w:type="dxa"/>
              <w:right w:w="240" w:type="dxa"/>
            </w:tcMar>
            <w:vAlign w:val="center"/>
            <w:hideMark/>
          </w:tcPr>
          <w:p w14:paraId="3FA3A5FC"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04237D9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Fair</w:t>
            </w:r>
          </w:p>
        </w:tc>
        <w:tc>
          <w:tcPr>
            <w:tcW w:w="0" w:type="auto"/>
            <w:tcMar>
              <w:top w:w="150" w:type="dxa"/>
              <w:left w:w="240" w:type="dxa"/>
              <w:bottom w:w="150" w:type="dxa"/>
              <w:right w:w="240" w:type="dxa"/>
            </w:tcMar>
            <w:vAlign w:val="center"/>
            <w:hideMark/>
          </w:tcPr>
          <w:p w14:paraId="60965A9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031EC81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c>
          <w:tcPr>
            <w:tcW w:w="0" w:type="auto"/>
            <w:tcMar>
              <w:top w:w="150" w:type="dxa"/>
              <w:left w:w="240" w:type="dxa"/>
              <w:bottom w:w="150" w:type="dxa"/>
              <w:right w:w="240" w:type="dxa"/>
            </w:tcMar>
            <w:vAlign w:val="center"/>
            <w:hideMark/>
          </w:tcPr>
          <w:p w14:paraId="4EEF2E1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8C8EFDE"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29EC0BFA" w14:textId="77777777" w:rsidTr="007F70EC">
        <w:tc>
          <w:tcPr>
            <w:tcW w:w="0" w:type="auto"/>
            <w:tcMar>
              <w:top w:w="150" w:type="dxa"/>
              <w:left w:w="0" w:type="dxa"/>
              <w:bottom w:w="150" w:type="dxa"/>
              <w:right w:w="240" w:type="dxa"/>
            </w:tcMar>
            <w:vAlign w:val="center"/>
            <w:hideMark/>
          </w:tcPr>
          <w:p w14:paraId="25B5B59D"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4705162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Poor</w:t>
            </w:r>
          </w:p>
        </w:tc>
        <w:tc>
          <w:tcPr>
            <w:tcW w:w="0" w:type="auto"/>
            <w:tcMar>
              <w:top w:w="150" w:type="dxa"/>
              <w:left w:w="240" w:type="dxa"/>
              <w:bottom w:w="150" w:type="dxa"/>
              <w:right w:w="240" w:type="dxa"/>
            </w:tcMar>
            <w:vAlign w:val="center"/>
            <w:hideMark/>
          </w:tcPr>
          <w:p w14:paraId="2930F43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5615FEC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w:t>
            </w:r>
          </w:p>
        </w:tc>
        <w:tc>
          <w:tcPr>
            <w:tcW w:w="0" w:type="auto"/>
            <w:tcMar>
              <w:top w:w="150" w:type="dxa"/>
              <w:left w:w="240" w:type="dxa"/>
              <w:bottom w:w="150" w:type="dxa"/>
              <w:right w:w="240" w:type="dxa"/>
            </w:tcMar>
            <w:vAlign w:val="center"/>
            <w:hideMark/>
          </w:tcPr>
          <w:p w14:paraId="24DD055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E22D902"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54D67D76" w14:textId="77777777" w:rsidTr="007F70EC">
        <w:tc>
          <w:tcPr>
            <w:tcW w:w="0" w:type="auto"/>
            <w:tcMar>
              <w:top w:w="150" w:type="dxa"/>
              <w:left w:w="0" w:type="dxa"/>
              <w:bottom w:w="150" w:type="dxa"/>
              <w:right w:w="240" w:type="dxa"/>
            </w:tcMar>
            <w:vAlign w:val="center"/>
            <w:hideMark/>
          </w:tcPr>
          <w:p w14:paraId="5F943F0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HRM influences EPI performance</w:t>
            </w:r>
          </w:p>
        </w:tc>
        <w:tc>
          <w:tcPr>
            <w:tcW w:w="0" w:type="auto"/>
            <w:tcMar>
              <w:top w:w="150" w:type="dxa"/>
              <w:left w:w="240" w:type="dxa"/>
              <w:bottom w:w="150" w:type="dxa"/>
              <w:right w:w="240" w:type="dxa"/>
            </w:tcMar>
            <w:vAlign w:val="center"/>
            <w:hideMark/>
          </w:tcPr>
          <w:p w14:paraId="5542B4C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Yes</w:t>
            </w:r>
          </w:p>
        </w:tc>
        <w:tc>
          <w:tcPr>
            <w:tcW w:w="0" w:type="auto"/>
            <w:tcMar>
              <w:top w:w="150" w:type="dxa"/>
              <w:left w:w="240" w:type="dxa"/>
              <w:bottom w:w="150" w:type="dxa"/>
              <w:right w:w="240" w:type="dxa"/>
            </w:tcMar>
            <w:vAlign w:val="center"/>
            <w:hideMark/>
          </w:tcPr>
          <w:p w14:paraId="7B1E09D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14</w:t>
            </w:r>
          </w:p>
        </w:tc>
        <w:tc>
          <w:tcPr>
            <w:tcW w:w="0" w:type="auto"/>
            <w:tcMar>
              <w:top w:w="150" w:type="dxa"/>
              <w:left w:w="240" w:type="dxa"/>
              <w:bottom w:w="150" w:type="dxa"/>
              <w:right w:w="240" w:type="dxa"/>
            </w:tcMar>
            <w:vAlign w:val="center"/>
            <w:hideMark/>
          </w:tcPr>
          <w:p w14:paraId="4A6C44E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93.3</w:t>
            </w:r>
          </w:p>
        </w:tc>
        <w:tc>
          <w:tcPr>
            <w:tcW w:w="0" w:type="auto"/>
            <w:tcMar>
              <w:top w:w="150" w:type="dxa"/>
              <w:left w:w="240" w:type="dxa"/>
              <w:bottom w:w="150" w:type="dxa"/>
              <w:right w:w="240" w:type="dxa"/>
            </w:tcMar>
            <w:vAlign w:val="center"/>
            <w:hideMark/>
          </w:tcPr>
          <w:p w14:paraId="369B92C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0.01</w:t>
            </w:r>
          </w:p>
        </w:tc>
        <w:tc>
          <w:tcPr>
            <w:tcW w:w="0" w:type="auto"/>
            <w:tcMar>
              <w:top w:w="150" w:type="dxa"/>
              <w:left w:w="240" w:type="dxa"/>
              <w:bottom w:w="150" w:type="dxa"/>
              <w:right w:w="0" w:type="dxa"/>
            </w:tcMar>
            <w:vAlign w:val="center"/>
            <w:hideMark/>
          </w:tcPr>
          <w:p w14:paraId="0959CB3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 (0.8–55.0)</w:t>
            </w:r>
          </w:p>
        </w:tc>
      </w:tr>
      <w:tr w:rsidR="00872431" w:rsidRPr="007F70EC" w14:paraId="6FF3DF9D" w14:textId="77777777" w:rsidTr="007F70EC">
        <w:tc>
          <w:tcPr>
            <w:tcW w:w="0" w:type="auto"/>
            <w:tcMar>
              <w:top w:w="150" w:type="dxa"/>
              <w:left w:w="0" w:type="dxa"/>
              <w:bottom w:w="150" w:type="dxa"/>
              <w:right w:w="240" w:type="dxa"/>
            </w:tcMar>
            <w:vAlign w:val="center"/>
            <w:hideMark/>
          </w:tcPr>
          <w:p w14:paraId="4397E85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5B92E9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No</w:t>
            </w:r>
          </w:p>
        </w:tc>
        <w:tc>
          <w:tcPr>
            <w:tcW w:w="0" w:type="auto"/>
            <w:tcMar>
              <w:top w:w="150" w:type="dxa"/>
              <w:left w:w="240" w:type="dxa"/>
              <w:bottom w:w="150" w:type="dxa"/>
              <w:right w:w="240" w:type="dxa"/>
            </w:tcMar>
            <w:vAlign w:val="center"/>
            <w:hideMark/>
          </w:tcPr>
          <w:p w14:paraId="1C3D40A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74E632C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6.7</w:t>
            </w:r>
          </w:p>
        </w:tc>
        <w:tc>
          <w:tcPr>
            <w:tcW w:w="0" w:type="auto"/>
            <w:tcMar>
              <w:top w:w="150" w:type="dxa"/>
              <w:left w:w="240" w:type="dxa"/>
              <w:bottom w:w="150" w:type="dxa"/>
              <w:right w:w="240" w:type="dxa"/>
            </w:tcMar>
            <w:vAlign w:val="center"/>
            <w:hideMark/>
          </w:tcPr>
          <w:p w14:paraId="3E374D5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6A9EFA44"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270A0166" w14:textId="77777777" w:rsidTr="007F70EC">
        <w:tc>
          <w:tcPr>
            <w:tcW w:w="0" w:type="auto"/>
            <w:tcMar>
              <w:top w:w="150" w:type="dxa"/>
              <w:left w:w="0" w:type="dxa"/>
              <w:bottom w:w="150" w:type="dxa"/>
              <w:right w:w="240" w:type="dxa"/>
            </w:tcMar>
            <w:vAlign w:val="center"/>
            <w:hideMark/>
          </w:tcPr>
          <w:p w14:paraId="79D66CD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Indicators affected by HRM</w:t>
            </w:r>
          </w:p>
        </w:tc>
        <w:tc>
          <w:tcPr>
            <w:tcW w:w="0" w:type="auto"/>
            <w:tcMar>
              <w:top w:w="150" w:type="dxa"/>
              <w:left w:w="240" w:type="dxa"/>
              <w:bottom w:w="150" w:type="dxa"/>
              <w:right w:w="240" w:type="dxa"/>
            </w:tcMar>
            <w:vAlign w:val="center"/>
            <w:hideMark/>
          </w:tcPr>
          <w:p w14:paraId="321B4A9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Vaccination coverage</w:t>
            </w:r>
          </w:p>
        </w:tc>
        <w:tc>
          <w:tcPr>
            <w:tcW w:w="0" w:type="auto"/>
            <w:tcMar>
              <w:top w:w="150" w:type="dxa"/>
              <w:left w:w="240" w:type="dxa"/>
              <w:bottom w:w="150" w:type="dxa"/>
              <w:right w:w="240" w:type="dxa"/>
            </w:tcMar>
            <w:vAlign w:val="center"/>
            <w:hideMark/>
          </w:tcPr>
          <w:p w14:paraId="5C09DA9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w:t>
            </w:r>
          </w:p>
        </w:tc>
        <w:tc>
          <w:tcPr>
            <w:tcW w:w="0" w:type="auto"/>
            <w:tcMar>
              <w:top w:w="150" w:type="dxa"/>
              <w:left w:w="240" w:type="dxa"/>
              <w:bottom w:w="150" w:type="dxa"/>
              <w:right w:w="240" w:type="dxa"/>
            </w:tcMar>
            <w:vAlign w:val="center"/>
            <w:hideMark/>
          </w:tcPr>
          <w:p w14:paraId="0113111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40.0</w:t>
            </w:r>
          </w:p>
        </w:tc>
        <w:tc>
          <w:tcPr>
            <w:tcW w:w="0" w:type="auto"/>
            <w:tcMar>
              <w:top w:w="150" w:type="dxa"/>
              <w:left w:w="240" w:type="dxa"/>
              <w:bottom w:w="150" w:type="dxa"/>
              <w:right w:w="240" w:type="dxa"/>
            </w:tcMar>
            <w:vAlign w:val="center"/>
            <w:hideMark/>
          </w:tcPr>
          <w:p w14:paraId="5382A6F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0.025</w:t>
            </w:r>
          </w:p>
        </w:tc>
        <w:tc>
          <w:tcPr>
            <w:tcW w:w="0" w:type="auto"/>
            <w:tcMar>
              <w:top w:w="150" w:type="dxa"/>
              <w:left w:w="240" w:type="dxa"/>
              <w:bottom w:w="150" w:type="dxa"/>
              <w:right w:w="0" w:type="dxa"/>
            </w:tcMar>
            <w:vAlign w:val="center"/>
            <w:hideMark/>
          </w:tcPr>
          <w:p w14:paraId="564B6FB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1.0 (0.3–3.2)</w:t>
            </w:r>
          </w:p>
        </w:tc>
      </w:tr>
      <w:tr w:rsidR="00872431" w:rsidRPr="007F70EC" w14:paraId="13174D53" w14:textId="77777777" w:rsidTr="007F70EC">
        <w:tc>
          <w:tcPr>
            <w:tcW w:w="0" w:type="auto"/>
            <w:tcMar>
              <w:top w:w="150" w:type="dxa"/>
              <w:left w:w="0" w:type="dxa"/>
              <w:bottom w:w="150" w:type="dxa"/>
              <w:right w:w="240" w:type="dxa"/>
            </w:tcMar>
            <w:vAlign w:val="center"/>
            <w:hideMark/>
          </w:tcPr>
          <w:p w14:paraId="45E45CD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4CA026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Data quality</w:t>
            </w:r>
          </w:p>
        </w:tc>
        <w:tc>
          <w:tcPr>
            <w:tcW w:w="0" w:type="auto"/>
            <w:tcMar>
              <w:top w:w="150" w:type="dxa"/>
              <w:left w:w="240" w:type="dxa"/>
              <w:bottom w:w="150" w:type="dxa"/>
              <w:right w:w="240" w:type="dxa"/>
            </w:tcMar>
            <w:vAlign w:val="center"/>
            <w:hideMark/>
          </w:tcPr>
          <w:p w14:paraId="34CA73D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240" w:type="dxa"/>
            </w:tcMar>
            <w:vAlign w:val="center"/>
            <w:hideMark/>
          </w:tcPr>
          <w:p w14:paraId="55CB042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26.7</w:t>
            </w:r>
          </w:p>
        </w:tc>
        <w:tc>
          <w:tcPr>
            <w:tcW w:w="0" w:type="auto"/>
            <w:tcMar>
              <w:top w:w="150" w:type="dxa"/>
              <w:left w:w="240" w:type="dxa"/>
              <w:bottom w:w="150" w:type="dxa"/>
              <w:right w:w="240" w:type="dxa"/>
            </w:tcMar>
            <w:vAlign w:val="center"/>
            <w:hideMark/>
          </w:tcPr>
          <w:p w14:paraId="686C22F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178637CC"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r w:rsidR="00872431" w:rsidRPr="007F70EC" w14:paraId="47D07002" w14:textId="77777777" w:rsidTr="007F70EC">
        <w:tc>
          <w:tcPr>
            <w:tcW w:w="0" w:type="auto"/>
            <w:tcMar>
              <w:top w:w="150" w:type="dxa"/>
              <w:left w:w="0" w:type="dxa"/>
              <w:bottom w:w="150" w:type="dxa"/>
              <w:right w:w="240" w:type="dxa"/>
            </w:tcMar>
            <w:vAlign w:val="center"/>
            <w:hideMark/>
          </w:tcPr>
          <w:p w14:paraId="7FFE362D"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c>
          <w:tcPr>
            <w:tcW w:w="0" w:type="auto"/>
            <w:tcMar>
              <w:top w:w="150" w:type="dxa"/>
              <w:left w:w="240" w:type="dxa"/>
              <w:bottom w:w="150" w:type="dxa"/>
              <w:right w:w="240" w:type="dxa"/>
            </w:tcMar>
            <w:vAlign w:val="center"/>
            <w:hideMark/>
          </w:tcPr>
          <w:p w14:paraId="5671520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Dropout rates</w:t>
            </w:r>
          </w:p>
        </w:tc>
        <w:tc>
          <w:tcPr>
            <w:tcW w:w="0" w:type="auto"/>
            <w:tcMar>
              <w:top w:w="150" w:type="dxa"/>
              <w:left w:w="240" w:type="dxa"/>
              <w:bottom w:w="150" w:type="dxa"/>
              <w:right w:w="240" w:type="dxa"/>
            </w:tcMar>
            <w:vAlign w:val="center"/>
            <w:hideMark/>
          </w:tcPr>
          <w:p w14:paraId="5465F11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240" w:type="dxa"/>
            </w:tcMar>
            <w:vAlign w:val="center"/>
            <w:hideMark/>
          </w:tcPr>
          <w:p w14:paraId="65DE47C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c>
          <w:tcPr>
            <w:tcW w:w="0" w:type="auto"/>
            <w:tcMar>
              <w:top w:w="150" w:type="dxa"/>
              <w:left w:w="240" w:type="dxa"/>
              <w:bottom w:w="150" w:type="dxa"/>
              <w:right w:w="240" w:type="dxa"/>
            </w:tcMar>
            <w:vAlign w:val="center"/>
            <w:hideMark/>
          </w:tcPr>
          <w:p w14:paraId="1B73BFD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0" w:type="dxa"/>
            </w:tcMar>
            <w:vAlign w:val="center"/>
            <w:hideMark/>
          </w:tcPr>
          <w:p w14:paraId="4294215B" w14:textId="77777777" w:rsidR="00872431" w:rsidRPr="007F70EC" w:rsidRDefault="00872431" w:rsidP="007F70EC">
            <w:pPr>
              <w:spacing w:after="0" w:line="240" w:lineRule="auto"/>
              <w:rPr>
                <w:rFonts w:ascii="Times New Roman" w:eastAsia="Times New Roman" w:hAnsi="Times New Roman" w:cs="Times New Roman"/>
                <w:kern w:val="0"/>
                <w:sz w:val="20"/>
                <w:szCs w:val="20"/>
                <w14:ligatures w14:val="none"/>
              </w:rPr>
            </w:pPr>
          </w:p>
        </w:tc>
      </w:tr>
    </w:tbl>
    <w:p w14:paraId="2265CF4D"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Interpretation:</w:t>
      </w:r>
      <w:r w:rsidRPr="007F70EC">
        <w:rPr>
          <w:rFonts w:ascii="Times New Roman" w:eastAsia="Times New Roman" w:hAnsi="Times New Roman" w:cs="Times New Roman"/>
          <w:color w:val="0F1115"/>
          <w:kern w:val="0"/>
          <w14:ligatures w14:val="none"/>
        </w:rPr>
        <w:t> The majority (60%) rated EPI performance as good, and 93% affirmed that HRM influences performance. Vaccination coverage was the most affected indicator (40%).</w:t>
      </w:r>
    </w:p>
    <w:p w14:paraId="36CE76E5"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3.6. Vaccinator Perspectives</w:t>
      </w:r>
    </w:p>
    <w:p w14:paraId="29B3F254"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Among 45 vaccinators, 100% had received EPI training. However, 59% reported that training only moderately improved their skills. Regarding supervision, 71% received regular supervision, and 96% reported that supervision improved their work performance. Staffing adequacy was perceived differently: 84% of vaccinators considered their facility had sufficient staff, whereas 52% of health center chiefs reported shortages.</w:t>
      </w:r>
    </w:p>
    <w:p w14:paraId="776450C3"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lastRenderedPageBreak/>
        <w:t>3.7. Factors Influencing EPI Performance</w:t>
      </w:r>
    </w:p>
    <w:p w14:paraId="5E7B374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7</w:t>
      </w:r>
      <w:r w:rsidRPr="007F70EC">
        <w:rPr>
          <w:rFonts w:ascii="Times New Roman" w:eastAsia="Times New Roman" w:hAnsi="Times New Roman" w:cs="Times New Roman"/>
          <w:color w:val="0F1115"/>
          <w:kern w:val="0"/>
          <w14:ligatures w14:val="none"/>
        </w:rPr>
        <w:t> presents factors influencing EPI performance as perceived by supervisors.</w:t>
      </w:r>
    </w:p>
    <w:p w14:paraId="3804BB52"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7</w:t>
      </w:r>
      <w:r w:rsidRPr="007F70EC">
        <w:rPr>
          <w:rFonts w:ascii="Times New Roman" w:eastAsia="Times New Roman" w:hAnsi="Times New Roman" w:cs="Times New Roman"/>
          <w:color w:val="0F1115"/>
          <w:kern w:val="0"/>
          <w14:ligatures w14:val="none"/>
        </w:rPr>
        <w:br/>
        <w:t>*Factors Influencing EPI Performance (N=15 Supervisors)*</w:t>
      </w:r>
    </w:p>
    <w:tbl>
      <w:tblPr>
        <w:tblW w:w="3753"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80"/>
        <w:gridCol w:w="2273"/>
      </w:tblGrid>
      <w:tr w:rsidR="00872431" w:rsidRPr="007F70EC" w14:paraId="6956FB39" w14:textId="77777777" w:rsidTr="007F70EC">
        <w:trPr>
          <w:tblHeader/>
        </w:trPr>
        <w:tc>
          <w:tcPr>
            <w:tcW w:w="1480" w:type="dxa"/>
            <w:tcBorders>
              <w:top w:val="single" w:sz="4" w:space="0" w:color="auto"/>
              <w:bottom w:val="single" w:sz="4" w:space="0" w:color="auto"/>
            </w:tcBorders>
            <w:tcMar>
              <w:top w:w="150" w:type="dxa"/>
              <w:left w:w="0" w:type="dxa"/>
              <w:bottom w:w="150" w:type="dxa"/>
              <w:right w:w="240" w:type="dxa"/>
            </w:tcMar>
            <w:vAlign w:val="center"/>
            <w:hideMark/>
          </w:tcPr>
          <w:p w14:paraId="2892FD6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Factor</w:t>
            </w:r>
          </w:p>
        </w:tc>
        <w:tc>
          <w:tcPr>
            <w:tcW w:w="2273" w:type="dxa"/>
            <w:tcBorders>
              <w:top w:val="single" w:sz="4" w:space="0" w:color="auto"/>
              <w:bottom w:val="single" w:sz="4" w:space="0" w:color="auto"/>
            </w:tcBorders>
            <w:tcMar>
              <w:top w:w="150" w:type="dxa"/>
              <w:left w:w="240" w:type="dxa"/>
              <w:bottom w:w="150" w:type="dxa"/>
              <w:right w:w="240" w:type="dxa"/>
            </w:tcMar>
            <w:vAlign w:val="center"/>
            <w:hideMark/>
          </w:tcPr>
          <w:p w14:paraId="2A1100C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 of supervisors citing</w:t>
            </w:r>
          </w:p>
        </w:tc>
      </w:tr>
      <w:tr w:rsidR="00872431" w:rsidRPr="007F70EC" w14:paraId="70947988" w14:textId="77777777" w:rsidTr="007F70EC">
        <w:tc>
          <w:tcPr>
            <w:tcW w:w="1480" w:type="dxa"/>
            <w:tcBorders>
              <w:top w:val="single" w:sz="4" w:space="0" w:color="auto"/>
            </w:tcBorders>
            <w:tcMar>
              <w:top w:w="150" w:type="dxa"/>
              <w:left w:w="0" w:type="dxa"/>
              <w:bottom w:w="150" w:type="dxa"/>
              <w:right w:w="240" w:type="dxa"/>
            </w:tcMar>
            <w:vAlign w:val="center"/>
            <w:hideMark/>
          </w:tcPr>
          <w:p w14:paraId="48F0B75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Training</w:t>
            </w:r>
          </w:p>
        </w:tc>
        <w:tc>
          <w:tcPr>
            <w:tcW w:w="2273" w:type="dxa"/>
            <w:tcBorders>
              <w:top w:val="single" w:sz="4" w:space="0" w:color="auto"/>
            </w:tcBorders>
            <w:tcMar>
              <w:top w:w="150" w:type="dxa"/>
              <w:left w:w="240" w:type="dxa"/>
              <w:bottom w:w="150" w:type="dxa"/>
              <w:right w:w="0" w:type="dxa"/>
            </w:tcMar>
            <w:vAlign w:val="center"/>
            <w:hideMark/>
          </w:tcPr>
          <w:p w14:paraId="55B735B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31</w:t>
            </w:r>
          </w:p>
        </w:tc>
      </w:tr>
      <w:tr w:rsidR="00872431" w:rsidRPr="007F70EC" w14:paraId="14884AE5" w14:textId="77777777" w:rsidTr="007F70EC">
        <w:tc>
          <w:tcPr>
            <w:tcW w:w="1480" w:type="dxa"/>
            <w:tcMar>
              <w:top w:w="150" w:type="dxa"/>
              <w:left w:w="0" w:type="dxa"/>
              <w:bottom w:w="150" w:type="dxa"/>
              <w:right w:w="240" w:type="dxa"/>
            </w:tcMar>
            <w:vAlign w:val="center"/>
            <w:hideMark/>
          </w:tcPr>
          <w:p w14:paraId="0B073E4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Motivation</w:t>
            </w:r>
          </w:p>
        </w:tc>
        <w:tc>
          <w:tcPr>
            <w:tcW w:w="2273" w:type="dxa"/>
            <w:tcMar>
              <w:top w:w="150" w:type="dxa"/>
              <w:left w:w="240" w:type="dxa"/>
              <w:bottom w:w="150" w:type="dxa"/>
              <w:right w:w="0" w:type="dxa"/>
            </w:tcMar>
            <w:vAlign w:val="center"/>
            <w:hideMark/>
          </w:tcPr>
          <w:p w14:paraId="2FEC3A60"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25</w:t>
            </w:r>
          </w:p>
        </w:tc>
      </w:tr>
      <w:tr w:rsidR="00872431" w:rsidRPr="007F70EC" w14:paraId="06F6C2D6" w14:textId="77777777" w:rsidTr="007F70EC">
        <w:tc>
          <w:tcPr>
            <w:tcW w:w="1480" w:type="dxa"/>
            <w:tcMar>
              <w:top w:w="150" w:type="dxa"/>
              <w:left w:w="0" w:type="dxa"/>
              <w:bottom w:w="150" w:type="dxa"/>
              <w:right w:w="240" w:type="dxa"/>
            </w:tcMar>
            <w:vAlign w:val="center"/>
            <w:hideMark/>
          </w:tcPr>
          <w:p w14:paraId="4BADFAB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Staffing levels</w:t>
            </w:r>
          </w:p>
        </w:tc>
        <w:tc>
          <w:tcPr>
            <w:tcW w:w="2273" w:type="dxa"/>
            <w:tcMar>
              <w:top w:w="150" w:type="dxa"/>
              <w:left w:w="240" w:type="dxa"/>
              <w:bottom w:w="150" w:type="dxa"/>
              <w:right w:w="0" w:type="dxa"/>
            </w:tcMar>
            <w:vAlign w:val="center"/>
            <w:hideMark/>
          </w:tcPr>
          <w:p w14:paraId="6C795D2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24</w:t>
            </w:r>
          </w:p>
        </w:tc>
      </w:tr>
      <w:tr w:rsidR="00872431" w:rsidRPr="007F70EC" w14:paraId="0F4E8A22" w14:textId="77777777" w:rsidTr="007F70EC">
        <w:tc>
          <w:tcPr>
            <w:tcW w:w="1480" w:type="dxa"/>
            <w:tcMar>
              <w:top w:w="150" w:type="dxa"/>
              <w:left w:w="0" w:type="dxa"/>
              <w:bottom w:w="150" w:type="dxa"/>
              <w:right w:w="240" w:type="dxa"/>
            </w:tcMar>
            <w:vAlign w:val="center"/>
            <w:hideMark/>
          </w:tcPr>
          <w:p w14:paraId="439D4B5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Supervision</w:t>
            </w:r>
          </w:p>
        </w:tc>
        <w:tc>
          <w:tcPr>
            <w:tcW w:w="2273" w:type="dxa"/>
            <w:tcMar>
              <w:top w:w="150" w:type="dxa"/>
              <w:left w:w="240" w:type="dxa"/>
              <w:bottom w:w="150" w:type="dxa"/>
              <w:right w:w="0" w:type="dxa"/>
            </w:tcMar>
            <w:vAlign w:val="center"/>
            <w:hideMark/>
          </w:tcPr>
          <w:p w14:paraId="0460C41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14</w:t>
            </w:r>
          </w:p>
        </w:tc>
      </w:tr>
      <w:tr w:rsidR="00872431" w:rsidRPr="007F70EC" w14:paraId="7122F2B0" w14:textId="77777777" w:rsidTr="007F70EC">
        <w:tc>
          <w:tcPr>
            <w:tcW w:w="1480" w:type="dxa"/>
            <w:tcMar>
              <w:top w:w="150" w:type="dxa"/>
              <w:left w:w="0" w:type="dxa"/>
              <w:bottom w:w="150" w:type="dxa"/>
              <w:right w:w="240" w:type="dxa"/>
            </w:tcMar>
            <w:vAlign w:val="center"/>
            <w:hideMark/>
          </w:tcPr>
          <w:p w14:paraId="5315F88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Other</w:t>
            </w:r>
          </w:p>
        </w:tc>
        <w:tc>
          <w:tcPr>
            <w:tcW w:w="2273" w:type="dxa"/>
            <w:tcMar>
              <w:top w:w="150" w:type="dxa"/>
              <w:left w:w="240" w:type="dxa"/>
              <w:bottom w:w="150" w:type="dxa"/>
              <w:right w:w="0" w:type="dxa"/>
            </w:tcMar>
            <w:vAlign w:val="center"/>
            <w:hideMark/>
          </w:tcPr>
          <w:p w14:paraId="0CECBD3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6</w:t>
            </w:r>
          </w:p>
        </w:tc>
      </w:tr>
    </w:tbl>
    <w:p w14:paraId="64C54DBC"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3.8. Identified Challenges and Recommendations</w:t>
      </w:r>
    </w:p>
    <w:p w14:paraId="0044129F"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8</w:t>
      </w:r>
      <w:r w:rsidRPr="007F70EC">
        <w:rPr>
          <w:rFonts w:ascii="Times New Roman" w:eastAsia="Times New Roman" w:hAnsi="Times New Roman" w:cs="Times New Roman"/>
          <w:color w:val="0F1115"/>
          <w:kern w:val="0"/>
          <w14:ligatures w14:val="none"/>
        </w:rPr>
        <w:t> presents main HRM challenges and recommendations.</w:t>
      </w:r>
    </w:p>
    <w:p w14:paraId="4E8B11C3"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Table 8</w:t>
      </w:r>
      <w:r w:rsidRPr="007F70EC">
        <w:rPr>
          <w:rFonts w:ascii="Times New Roman" w:eastAsia="Times New Roman" w:hAnsi="Times New Roman" w:cs="Times New Roman"/>
          <w:color w:val="0F1115"/>
          <w:kern w:val="0"/>
          <w14:ligatures w14:val="none"/>
        </w:rPr>
        <w:br/>
        <w:t>*HRM Challenges and Recommendations (N=15 Supervisors)*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55"/>
        <w:gridCol w:w="2499"/>
        <w:gridCol w:w="595"/>
        <w:gridCol w:w="672"/>
      </w:tblGrid>
      <w:tr w:rsidR="00872431" w:rsidRPr="007F70EC" w14:paraId="5D41B1C1" w14:textId="77777777" w:rsidTr="007F70E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83541EE"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E2F126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EE1526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5223B1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w:t>
            </w:r>
          </w:p>
        </w:tc>
      </w:tr>
      <w:tr w:rsidR="00872431" w:rsidRPr="007F70EC" w14:paraId="44560C15" w14:textId="77777777" w:rsidTr="007F70EC">
        <w:tc>
          <w:tcPr>
            <w:tcW w:w="0" w:type="auto"/>
            <w:tcBorders>
              <w:top w:val="single" w:sz="4" w:space="0" w:color="auto"/>
            </w:tcBorders>
            <w:tcMar>
              <w:top w:w="150" w:type="dxa"/>
              <w:left w:w="0" w:type="dxa"/>
              <w:bottom w:w="150" w:type="dxa"/>
              <w:right w:w="240" w:type="dxa"/>
            </w:tcMar>
            <w:vAlign w:val="center"/>
            <w:hideMark/>
          </w:tcPr>
          <w:p w14:paraId="3C4D0F2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Main challenges</w:t>
            </w:r>
          </w:p>
        </w:tc>
        <w:tc>
          <w:tcPr>
            <w:tcW w:w="0" w:type="auto"/>
            <w:tcBorders>
              <w:top w:val="single" w:sz="4" w:space="0" w:color="auto"/>
            </w:tcBorders>
            <w:tcMar>
              <w:top w:w="150" w:type="dxa"/>
              <w:left w:w="240" w:type="dxa"/>
              <w:bottom w:w="150" w:type="dxa"/>
              <w:right w:w="240" w:type="dxa"/>
            </w:tcMar>
            <w:vAlign w:val="center"/>
            <w:hideMark/>
          </w:tcPr>
          <w:p w14:paraId="734A52E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Demotivation</w:t>
            </w:r>
          </w:p>
        </w:tc>
        <w:tc>
          <w:tcPr>
            <w:tcW w:w="0" w:type="auto"/>
            <w:tcBorders>
              <w:top w:val="single" w:sz="4" w:space="0" w:color="auto"/>
            </w:tcBorders>
            <w:tcMar>
              <w:top w:w="150" w:type="dxa"/>
              <w:left w:w="240" w:type="dxa"/>
              <w:bottom w:w="150" w:type="dxa"/>
              <w:right w:w="240" w:type="dxa"/>
            </w:tcMar>
            <w:vAlign w:val="center"/>
            <w:hideMark/>
          </w:tcPr>
          <w:p w14:paraId="055B7A0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Borders>
              <w:top w:val="single" w:sz="4" w:space="0" w:color="auto"/>
            </w:tcBorders>
            <w:tcMar>
              <w:top w:w="150" w:type="dxa"/>
              <w:left w:w="240" w:type="dxa"/>
              <w:bottom w:w="150" w:type="dxa"/>
              <w:right w:w="0" w:type="dxa"/>
            </w:tcMar>
            <w:vAlign w:val="center"/>
            <w:hideMark/>
          </w:tcPr>
          <w:p w14:paraId="2165400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r>
      <w:tr w:rsidR="00872431" w:rsidRPr="007F70EC" w14:paraId="19B69972" w14:textId="77777777" w:rsidTr="007F70EC">
        <w:tc>
          <w:tcPr>
            <w:tcW w:w="0" w:type="auto"/>
            <w:tcMar>
              <w:top w:w="150" w:type="dxa"/>
              <w:left w:w="0" w:type="dxa"/>
              <w:bottom w:w="150" w:type="dxa"/>
              <w:right w:w="240" w:type="dxa"/>
            </w:tcMar>
            <w:vAlign w:val="center"/>
            <w:hideMark/>
          </w:tcPr>
          <w:p w14:paraId="341A5CA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7261DA3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Staff shortage</w:t>
            </w:r>
          </w:p>
        </w:tc>
        <w:tc>
          <w:tcPr>
            <w:tcW w:w="0" w:type="auto"/>
            <w:tcMar>
              <w:top w:w="150" w:type="dxa"/>
              <w:left w:w="240" w:type="dxa"/>
              <w:bottom w:w="150" w:type="dxa"/>
              <w:right w:w="240" w:type="dxa"/>
            </w:tcMar>
            <w:vAlign w:val="center"/>
            <w:hideMark/>
          </w:tcPr>
          <w:p w14:paraId="2EFC945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0" w:type="dxa"/>
            </w:tcMar>
            <w:vAlign w:val="center"/>
            <w:hideMark/>
          </w:tcPr>
          <w:p w14:paraId="2AD3C84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r>
      <w:tr w:rsidR="00872431" w:rsidRPr="007F70EC" w14:paraId="3E45C608" w14:textId="77777777" w:rsidTr="007F70EC">
        <w:tc>
          <w:tcPr>
            <w:tcW w:w="0" w:type="auto"/>
            <w:tcMar>
              <w:top w:w="150" w:type="dxa"/>
              <w:left w:w="0" w:type="dxa"/>
              <w:bottom w:w="150" w:type="dxa"/>
              <w:right w:w="240" w:type="dxa"/>
            </w:tcMar>
            <w:vAlign w:val="center"/>
            <w:hideMark/>
          </w:tcPr>
          <w:p w14:paraId="0D295B7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06A7C9A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 xml:space="preserve">Equipment </w:t>
            </w:r>
            <w:proofErr w:type="gramStart"/>
            <w:r w:rsidRPr="007F70EC">
              <w:rPr>
                <w:rFonts w:ascii="Times New Roman" w:eastAsia="Times New Roman" w:hAnsi="Times New Roman" w:cs="Times New Roman"/>
                <w:kern w:val="0"/>
                <w:sz w:val="23"/>
                <w:szCs w:val="23"/>
                <w14:ligatures w14:val="none"/>
              </w:rPr>
              <w:t>lack</w:t>
            </w:r>
            <w:proofErr w:type="gramEnd"/>
          </w:p>
        </w:tc>
        <w:tc>
          <w:tcPr>
            <w:tcW w:w="0" w:type="auto"/>
            <w:tcMar>
              <w:top w:w="150" w:type="dxa"/>
              <w:left w:w="240" w:type="dxa"/>
              <w:bottom w:w="150" w:type="dxa"/>
              <w:right w:w="240" w:type="dxa"/>
            </w:tcMar>
            <w:vAlign w:val="center"/>
            <w:hideMark/>
          </w:tcPr>
          <w:p w14:paraId="6DEF5C6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12B82A9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r>
      <w:tr w:rsidR="00872431" w:rsidRPr="007F70EC" w14:paraId="6762FDCA" w14:textId="77777777" w:rsidTr="007F70EC">
        <w:tc>
          <w:tcPr>
            <w:tcW w:w="0" w:type="auto"/>
            <w:tcMar>
              <w:top w:w="150" w:type="dxa"/>
              <w:left w:w="0" w:type="dxa"/>
              <w:bottom w:w="150" w:type="dxa"/>
              <w:right w:w="240" w:type="dxa"/>
            </w:tcMar>
            <w:vAlign w:val="center"/>
            <w:hideMark/>
          </w:tcPr>
          <w:p w14:paraId="15CAF414"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Recommendations</w:t>
            </w:r>
          </w:p>
        </w:tc>
        <w:tc>
          <w:tcPr>
            <w:tcW w:w="0" w:type="auto"/>
            <w:tcMar>
              <w:top w:w="150" w:type="dxa"/>
              <w:left w:w="240" w:type="dxa"/>
              <w:bottom w:w="150" w:type="dxa"/>
              <w:right w:w="240" w:type="dxa"/>
            </w:tcMar>
            <w:vAlign w:val="center"/>
            <w:hideMark/>
          </w:tcPr>
          <w:p w14:paraId="26026E9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Motivate staff</w:t>
            </w:r>
          </w:p>
        </w:tc>
        <w:tc>
          <w:tcPr>
            <w:tcW w:w="0" w:type="auto"/>
            <w:tcMar>
              <w:top w:w="150" w:type="dxa"/>
              <w:left w:w="240" w:type="dxa"/>
              <w:bottom w:w="150" w:type="dxa"/>
              <w:right w:w="240" w:type="dxa"/>
            </w:tcMar>
            <w:vAlign w:val="center"/>
            <w:hideMark/>
          </w:tcPr>
          <w:p w14:paraId="46589F9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7</w:t>
            </w:r>
          </w:p>
        </w:tc>
        <w:tc>
          <w:tcPr>
            <w:tcW w:w="0" w:type="auto"/>
            <w:tcMar>
              <w:top w:w="150" w:type="dxa"/>
              <w:left w:w="240" w:type="dxa"/>
              <w:bottom w:w="150" w:type="dxa"/>
              <w:right w:w="0" w:type="dxa"/>
            </w:tcMar>
            <w:vAlign w:val="center"/>
            <w:hideMark/>
          </w:tcPr>
          <w:p w14:paraId="50EE774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46.7</w:t>
            </w:r>
          </w:p>
        </w:tc>
      </w:tr>
      <w:tr w:rsidR="00872431" w:rsidRPr="007F70EC" w14:paraId="3C2715A0" w14:textId="77777777" w:rsidTr="007F70EC">
        <w:tc>
          <w:tcPr>
            <w:tcW w:w="0" w:type="auto"/>
            <w:tcMar>
              <w:top w:w="150" w:type="dxa"/>
              <w:left w:w="0" w:type="dxa"/>
              <w:bottom w:w="150" w:type="dxa"/>
              <w:right w:w="240" w:type="dxa"/>
            </w:tcMar>
            <w:vAlign w:val="center"/>
            <w:hideMark/>
          </w:tcPr>
          <w:p w14:paraId="5BAF192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6764E72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Recruit qualified staff</w:t>
            </w:r>
          </w:p>
        </w:tc>
        <w:tc>
          <w:tcPr>
            <w:tcW w:w="0" w:type="auto"/>
            <w:tcMar>
              <w:top w:w="150" w:type="dxa"/>
              <w:left w:w="240" w:type="dxa"/>
              <w:bottom w:w="150" w:type="dxa"/>
              <w:right w:w="240" w:type="dxa"/>
            </w:tcMar>
            <w:vAlign w:val="center"/>
            <w:hideMark/>
          </w:tcPr>
          <w:p w14:paraId="250491EB"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5</w:t>
            </w:r>
          </w:p>
        </w:tc>
        <w:tc>
          <w:tcPr>
            <w:tcW w:w="0" w:type="auto"/>
            <w:tcMar>
              <w:top w:w="150" w:type="dxa"/>
              <w:left w:w="240" w:type="dxa"/>
              <w:bottom w:w="150" w:type="dxa"/>
              <w:right w:w="0" w:type="dxa"/>
            </w:tcMar>
            <w:vAlign w:val="center"/>
            <w:hideMark/>
          </w:tcPr>
          <w:p w14:paraId="3B5EBA8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33.3</w:t>
            </w:r>
          </w:p>
        </w:tc>
      </w:tr>
      <w:tr w:rsidR="00872431" w:rsidRPr="007F70EC" w14:paraId="3DB4B3F3" w14:textId="77777777" w:rsidTr="007F70EC">
        <w:tc>
          <w:tcPr>
            <w:tcW w:w="0" w:type="auto"/>
            <w:tcMar>
              <w:top w:w="150" w:type="dxa"/>
              <w:left w:w="0" w:type="dxa"/>
              <w:bottom w:w="150" w:type="dxa"/>
              <w:right w:w="240" w:type="dxa"/>
            </w:tcMar>
            <w:vAlign w:val="center"/>
            <w:hideMark/>
          </w:tcPr>
          <w:p w14:paraId="42757EA1"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p>
        </w:tc>
        <w:tc>
          <w:tcPr>
            <w:tcW w:w="0" w:type="auto"/>
            <w:tcMar>
              <w:top w:w="150" w:type="dxa"/>
              <w:left w:w="240" w:type="dxa"/>
              <w:bottom w:w="150" w:type="dxa"/>
              <w:right w:w="240" w:type="dxa"/>
            </w:tcMar>
            <w:vAlign w:val="center"/>
            <w:hideMark/>
          </w:tcPr>
          <w:p w14:paraId="3087C8B8"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Provide equipment</w:t>
            </w:r>
          </w:p>
        </w:tc>
        <w:tc>
          <w:tcPr>
            <w:tcW w:w="0" w:type="auto"/>
            <w:tcMar>
              <w:top w:w="150" w:type="dxa"/>
              <w:left w:w="240" w:type="dxa"/>
              <w:bottom w:w="150" w:type="dxa"/>
              <w:right w:w="240" w:type="dxa"/>
            </w:tcMar>
            <w:vAlign w:val="center"/>
            <w:hideMark/>
          </w:tcPr>
          <w:p w14:paraId="642C19B3"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3</w:t>
            </w:r>
          </w:p>
        </w:tc>
        <w:tc>
          <w:tcPr>
            <w:tcW w:w="0" w:type="auto"/>
            <w:tcMar>
              <w:top w:w="150" w:type="dxa"/>
              <w:left w:w="240" w:type="dxa"/>
              <w:bottom w:w="150" w:type="dxa"/>
              <w:right w:w="0" w:type="dxa"/>
            </w:tcMar>
            <w:vAlign w:val="center"/>
            <w:hideMark/>
          </w:tcPr>
          <w:p w14:paraId="0AE2E69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20.0</w:t>
            </w:r>
          </w:p>
        </w:tc>
      </w:tr>
    </w:tbl>
    <w:p w14:paraId="361BF84B"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4. Discussion</w:t>
      </w:r>
    </w:p>
    <w:p w14:paraId="6A1121BF"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4.1. Summary of Key Findings</w:t>
      </w:r>
    </w:p>
    <w:p w14:paraId="2E4887AF"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This study demonstrates that HRM is a critical determinant of EPI performance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Key findings include: (1) 100% training coverage among vaccinators, though 59% felt training only moderately effective; (2) regular supervision for 71% of vaccinators, with 96% affirming positive impact; (3) a motivation gap—only 40% of supervisors considered staff motivated, and 80% observed demotivation/absenteeism; (4) HRM factors influencing EPI performance: training (31%), motivation (25%), staffing levels (24%), and supervision (14%); and (5) a strong consensus (93–96%) that HRM significantly influences EPI performance.</w:t>
      </w:r>
    </w:p>
    <w:p w14:paraId="2F8A229C"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4.2. Comparison with Existing Literature</w:t>
      </w:r>
    </w:p>
    <w:p w14:paraId="615E92F0"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The finding that 100% of vaccinators received training is a positive achievement, comparable to other DRC EPI evaluations (Ministère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xml:space="preserve">, 2018). However, the 59% who felt training only moderately improved their skills aligns with studies from other African settings where training quality and relevance are sometimes suboptimal (WHO, 2008). The priority need for cold chain training (33%) is consistent with known logistical challenges in DRC (Ministère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2016).</w:t>
      </w:r>
    </w:p>
    <w:p w14:paraId="0437D9FB"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The 86.7% of supervisors affirming that supervision improves performance is consistent with global literature. A meta-analysis by Bosch-</w:t>
      </w:r>
      <w:proofErr w:type="spellStart"/>
      <w:r w:rsidRPr="007F70EC">
        <w:rPr>
          <w:rFonts w:ascii="Times New Roman" w:eastAsia="Times New Roman" w:hAnsi="Times New Roman" w:cs="Times New Roman"/>
          <w:color w:val="0F1115"/>
          <w:kern w:val="0"/>
          <w14:ligatures w14:val="none"/>
        </w:rPr>
        <w:t>Capblanch</w:t>
      </w:r>
      <w:proofErr w:type="spellEnd"/>
      <w:r w:rsidRPr="007F70EC">
        <w:rPr>
          <w:rFonts w:ascii="Times New Roman" w:eastAsia="Times New Roman" w:hAnsi="Times New Roman" w:cs="Times New Roman"/>
          <w:color w:val="0F1115"/>
          <w:kern w:val="0"/>
          <w14:ligatures w14:val="none"/>
        </w:rPr>
        <w:t xml:space="preserve"> and Garner (2008) found that regular supervision significantly improves health worker performance in low-income settings. However, the finding that 20% of staff rarely apply supervision recommendations suggests a gap between supervision and implementation—a common challenge documented by the World Bank (2018).</w:t>
      </w:r>
    </w:p>
    <w:p w14:paraId="6DB22F06"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lastRenderedPageBreak/>
        <w:t xml:space="preserve">The motivation gap (only 40% motivated, 80% observed demotivation) is a major concern. This aligns with Dessler's (2013) motivation theories and the WHO's (2008) finding that inadequate remuneration and poor working conditions are primary drivers of demotivation in African health systems. The 46.7% of supervisors citing demotivation as the main HRM challenge mirrors studies from neighboring countries (Banque </w:t>
      </w:r>
      <w:proofErr w:type="spellStart"/>
      <w:r w:rsidRPr="007F70EC">
        <w:rPr>
          <w:rFonts w:ascii="Times New Roman" w:eastAsia="Times New Roman" w:hAnsi="Times New Roman" w:cs="Times New Roman"/>
          <w:color w:val="0F1115"/>
          <w:kern w:val="0"/>
          <w14:ligatures w14:val="none"/>
        </w:rPr>
        <w:t>mondiale</w:t>
      </w:r>
      <w:proofErr w:type="spellEnd"/>
      <w:r w:rsidRPr="007F70EC">
        <w:rPr>
          <w:rFonts w:ascii="Times New Roman" w:eastAsia="Times New Roman" w:hAnsi="Times New Roman" w:cs="Times New Roman"/>
          <w:color w:val="0F1115"/>
          <w:kern w:val="0"/>
          <w14:ligatures w14:val="none"/>
        </w:rPr>
        <w:t>, 2018).</w:t>
      </w:r>
    </w:p>
    <w:p w14:paraId="67C2E5E6"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The perceived influence of HRM factors (training 31%, motivation 25%, staffing 24%, supervision 14%) on EPI performance is consistent with the conceptual framework of this study and with broader health systems research (WHO, 2008; 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2010). The 93–96% consensus that HRM influences performance underscores that human resources are not merely administrative but strategic for program success.</w:t>
      </w:r>
    </w:p>
    <w:p w14:paraId="3AFA97F9"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4.3. Interpretation of Perceived vs. Actual Staffing</w:t>
      </w:r>
    </w:p>
    <w:p w14:paraId="3AA5091E"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A notable finding is the discrepancy between vaccinators (84% reporting sufficient staff) and health center chiefs (52% reporting shortages). This likely reflects different perspectives: vaccinators focus on daily operations, while chiefs have a holistic view of overall needs. Similar discrepancies have been reported in other DRC health system evaluations (UNICEF, 2014).</w:t>
      </w:r>
    </w:p>
    <w:p w14:paraId="685B9FAF"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4.4. Confirmation of Hypotheses</w:t>
      </w:r>
    </w:p>
    <w:p w14:paraId="1E09E9F9"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The study confirms that:</w:t>
      </w:r>
    </w:p>
    <w:p w14:paraId="7D61B06C" w14:textId="77777777" w:rsidR="00872431" w:rsidRPr="007F70EC" w:rsidRDefault="00872431" w:rsidP="00872431">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Effective HRM (training, motivation, staffing, supervision) significantly improves EPI performance.</w:t>
      </w:r>
    </w:p>
    <w:p w14:paraId="27BA1D91" w14:textId="77777777" w:rsidR="00872431" w:rsidRPr="007F70EC" w:rsidRDefault="00872431" w:rsidP="00872431">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Regular training and capacity building, while present, need quality improvements.</w:t>
      </w:r>
    </w:p>
    <w:p w14:paraId="2A0D0098" w14:textId="77777777" w:rsidR="00872431" w:rsidRPr="007F70EC" w:rsidRDefault="00872431" w:rsidP="00872431">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Motivation mechanisms exist but are insufficient, with 80% observing demotivation.</w:t>
      </w:r>
    </w:p>
    <w:p w14:paraId="4FDC948B" w14:textId="77777777" w:rsidR="00872431" w:rsidRPr="007F70EC" w:rsidRDefault="00872431" w:rsidP="00872431">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Supervision is regular and perceived as effective by most respondents.</w:t>
      </w:r>
    </w:p>
    <w:p w14:paraId="5C3B83B8"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4.5. Strengths and Limitations</w:t>
      </w:r>
    </w:p>
    <w:p w14:paraId="723900E8"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lastRenderedPageBreak/>
        <w:t>Strengths:</w:t>
      </w:r>
      <w:r w:rsidRPr="007F70EC">
        <w:rPr>
          <w:rFonts w:ascii="Times New Roman" w:eastAsia="Times New Roman" w:hAnsi="Times New Roman" w:cs="Times New Roman"/>
          <w:color w:val="0F1115"/>
          <w:kern w:val="0"/>
          <w14:ligatures w14:val="none"/>
        </w:rPr>
        <w:t> </w:t>
      </w:r>
      <w:proofErr w:type="gramStart"/>
      <w:r w:rsidRPr="007F70EC">
        <w:rPr>
          <w:rFonts w:ascii="Times New Roman" w:eastAsia="Times New Roman" w:hAnsi="Times New Roman" w:cs="Times New Roman"/>
          <w:color w:val="0F1115"/>
          <w:kern w:val="0"/>
          <w14:ligatures w14:val="none"/>
        </w:rPr>
        <w:t>Mixed-methods</w:t>
      </w:r>
      <w:proofErr w:type="gramEnd"/>
      <w:r w:rsidRPr="007F70EC">
        <w:rPr>
          <w:rFonts w:ascii="Times New Roman" w:eastAsia="Times New Roman" w:hAnsi="Times New Roman" w:cs="Times New Roman"/>
          <w:color w:val="0F1115"/>
          <w:kern w:val="0"/>
          <w14:ligatures w14:val="none"/>
        </w:rPr>
        <w:t xml:space="preserve"> design with multiple stakeholder perspectives; sample of 95 participants across four categories; high response rate; use of structured, pretested questionnaires; triangulation of data sources.</w:t>
      </w:r>
    </w:p>
    <w:p w14:paraId="0FE4C709"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Limitations:</w:t>
      </w:r>
      <w:r w:rsidRPr="007F70EC">
        <w:rPr>
          <w:rFonts w:ascii="Times New Roman" w:eastAsia="Times New Roman" w:hAnsi="Times New Roman" w:cs="Times New Roman"/>
          <w:color w:val="0F1115"/>
          <w:kern w:val="0"/>
          <w14:ligatures w14:val="none"/>
        </w:rPr>
        <w:t> Cross-sectional design precludes causal inference; self-reported data may be subject to social desirability bias; single-city study limits generalizability; no direct observation of all vaccination sessions; sample size relatively small for statistical inference.</w:t>
      </w:r>
    </w:p>
    <w:p w14:paraId="56B45665" w14:textId="77777777" w:rsidR="00872431" w:rsidRPr="007F70EC" w:rsidRDefault="00872431" w:rsidP="00872431">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7F70EC">
        <w:rPr>
          <w:rFonts w:ascii="Times New Roman" w:eastAsia="Times New Roman" w:hAnsi="Times New Roman" w:cs="Times New Roman"/>
          <w:b/>
          <w:bCs/>
          <w:color w:val="0F1115"/>
          <w:kern w:val="0"/>
          <w:sz w:val="30"/>
          <w:szCs w:val="30"/>
          <w14:ligatures w14:val="none"/>
        </w:rPr>
        <w:t>4.6. Implications for Policy and Practice</w:t>
      </w:r>
    </w:p>
    <w:p w14:paraId="5F634E63" w14:textId="77777777" w:rsidR="00872431" w:rsidRPr="007F70EC" w:rsidRDefault="00872431" w:rsidP="00872431">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Training:</w:t>
      </w:r>
      <w:r w:rsidRPr="007F70EC">
        <w:rPr>
          <w:rFonts w:ascii="Times New Roman" w:eastAsia="Times New Roman" w:hAnsi="Times New Roman" w:cs="Times New Roman"/>
          <w:color w:val="0F1115"/>
          <w:kern w:val="0"/>
          <w14:ligatures w14:val="none"/>
        </w:rPr>
        <w:t> Maintain universal coverage but improve quality and relevance; prioritize cold chain management and data quality.</w:t>
      </w:r>
    </w:p>
    <w:p w14:paraId="7FC302CE" w14:textId="77777777" w:rsidR="00872431" w:rsidRPr="007F70EC" w:rsidRDefault="00872431" w:rsidP="00872431">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Motivation:</w:t>
      </w:r>
      <w:r w:rsidRPr="007F70EC">
        <w:rPr>
          <w:rFonts w:ascii="Times New Roman" w:eastAsia="Times New Roman" w:hAnsi="Times New Roman" w:cs="Times New Roman"/>
          <w:color w:val="0F1115"/>
          <w:kern w:val="0"/>
          <w14:ligatures w14:val="none"/>
        </w:rPr>
        <w:t> Strengthen incentive mechanisms (financial: regular per diem; non-financial: recognition, career advancement).</w:t>
      </w:r>
    </w:p>
    <w:p w14:paraId="774F86AE" w14:textId="77777777" w:rsidR="00872431" w:rsidRPr="007F70EC" w:rsidRDefault="00872431" w:rsidP="00872431">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Supervision:</w:t>
      </w:r>
      <w:r w:rsidRPr="007F70EC">
        <w:rPr>
          <w:rFonts w:ascii="Times New Roman" w:eastAsia="Times New Roman" w:hAnsi="Times New Roman" w:cs="Times New Roman"/>
          <w:color w:val="0F1115"/>
          <w:kern w:val="0"/>
          <w14:ligatures w14:val="none"/>
        </w:rPr>
        <w:t> Maintain monthly frequency; ensure systematic feedback and follow-up on recommendations.</w:t>
      </w:r>
    </w:p>
    <w:p w14:paraId="40EEA5FD" w14:textId="77777777" w:rsidR="00872431" w:rsidRPr="007F70EC" w:rsidRDefault="00872431" w:rsidP="00872431">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Staffing:</w:t>
      </w:r>
      <w:r w:rsidRPr="007F70EC">
        <w:rPr>
          <w:rFonts w:ascii="Times New Roman" w:eastAsia="Times New Roman" w:hAnsi="Times New Roman" w:cs="Times New Roman"/>
          <w:color w:val="0F1115"/>
          <w:kern w:val="0"/>
          <w14:ligatures w14:val="none"/>
        </w:rPr>
        <w:t> Optimize staff distribution rather than simply increasing numbers; address workload burdens (91% of vaccinators reported heavy workload).</w:t>
      </w:r>
    </w:p>
    <w:p w14:paraId="4D8326FD"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5. Conclusion</w:t>
      </w:r>
    </w:p>
    <w:p w14:paraId="3B7B9259"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This study provides robust empirical evidence that human resource management plays a determinant role in EPI performance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DRC. Vaccination coverage, service quality, and service continuity are all influenced by how personnel are trained, motivated, supervised, and allocated.</w:t>
      </w:r>
    </w:p>
    <w:p w14:paraId="0EAA4364"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The main findings confirm that:</w:t>
      </w:r>
    </w:p>
    <w:p w14:paraId="34E80BC0" w14:textId="77777777" w:rsidR="00872431" w:rsidRPr="007F70EC" w:rsidRDefault="00872431" w:rsidP="00872431">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EPI performance was rated as good by 60% of supervisors.</w:t>
      </w:r>
    </w:p>
    <w:p w14:paraId="451795F9" w14:textId="77777777" w:rsidR="00872431" w:rsidRPr="007F70EC" w:rsidRDefault="00872431" w:rsidP="00872431">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The key HRM drivers </w:t>
      </w:r>
      <w:proofErr w:type="gramStart"/>
      <w:r w:rsidRPr="007F70EC">
        <w:rPr>
          <w:rFonts w:ascii="Times New Roman" w:eastAsia="Times New Roman" w:hAnsi="Times New Roman" w:cs="Times New Roman"/>
          <w:color w:val="0F1115"/>
          <w:kern w:val="0"/>
          <w14:ligatures w14:val="none"/>
        </w:rPr>
        <w:t>are:</w:t>
      </w:r>
      <w:proofErr w:type="gramEnd"/>
      <w:r w:rsidRPr="007F70EC">
        <w:rPr>
          <w:rFonts w:ascii="Times New Roman" w:eastAsia="Times New Roman" w:hAnsi="Times New Roman" w:cs="Times New Roman"/>
          <w:color w:val="0F1115"/>
          <w:kern w:val="0"/>
          <w14:ligatures w14:val="none"/>
        </w:rPr>
        <w:t xml:space="preserve"> training (31%), motivation (25%), staffing levels (24%), and supervision (14%).</w:t>
      </w:r>
    </w:p>
    <w:p w14:paraId="34E14767" w14:textId="77777777" w:rsidR="00872431" w:rsidRPr="007F70EC" w:rsidRDefault="00872431" w:rsidP="00872431">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Despite universal training coverage, quality improvements are needed.</w:t>
      </w:r>
    </w:p>
    <w:p w14:paraId="417CFB02" w14:textId="77777777" w:rsidR="00872431" w:rsidRPr="007F70EC" w:rsidRDefault="00872431" w:rsidP="00872431">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lastRenderedPageBreak/>
        <w:t>Motivation is a critical gap: 60% of staff are not sufficiently motivated, and 80% of supervisors report demotivation/absenteeism.</w:t>
      </w:r>
    </w:p>
    <w:p w14:paraId="72B6453A" w14:textId="77777777" w:rsidR="00872431" w:rsidRPr="007F70EC" w:rsidRDefault="00872431" w:rsidP="00872431">
      <w:pPr>
        <w:numPr>
          <w:ilvl w:val="0"/>
          <w:numId w:val="8"/>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Supervision is regular and perceived as effective by 96% of vaccinators.</w:t>
      </w:r>
    </w:p>
    <w:p w14:paraId="558AC98A"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To sustain and improve EPI performance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the following recommendations are prioritized:</w:t>
      </w:r>
    </w:p>
    <w:p w14:paraId="48629C8F" w14:textId="77777777" w:rsidR="00872431" w:rsidRPr="007F70EC" w:rsidRDefault="00872431" w:rsidP="00872431">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For the Ministry of Health:</w:t>
      </w:r>
      <w:r w:rsidRPr="007F70EC">
        <w:rPr>
          <w:rFonts w:ascii="Times New Roman" w:eastAsia="Times New Roman" w:hAnsi="Times New Roman" w:cs="Times New Roman"/>
          <w:color w:val="0F1115"/>
          <w:kern w:val="0"/>
          <w14:ligatures w14:val="none"/>
        </w:rPr>
        <w:t> Strengthen HRM policies for EPI; ensure regular motivation mechanisms (financial incentives); increase qualified staff recruitment.</w:t>
      </w:r>
    </w:p>
    <w:p w14:paraId="0A1CE33C" w14:textId="77777777" w:rsidR="00872431" w:rsidRPr="007F70EC" w:rsidRDefault="00872431" w:rsidP="00872431">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For Provincial Health Division:</w:t>
      </w:r>
      <w:r w:rsidRPr="007F70EC">
        <w:rPr>
          <w:rFonts w:ascii="Times New Roman" w:eastAsia="Times New Roman" w:hAnsi="Times New Roman" w:cs="Times New Roman"/>
          <w:color w:val="0F1115"/>
          <w:kern w:val="0"/>
          <w14:ligatures w14:val="none"/>
        </w:rPr>
        <w:t> Organize quarterly refresher training focused on cold chain and data management; conduct monthly formative supervision with systematic feedback.</w:t>
      </w:r>
    </w:p>
    <w:p w14:paraId="11461AA4" w14:textId="77777777" w:rsidR="00872431" w:rsidRPr="007F70EC" w:rsidRDefault="00872431" w:rsidP="00872431">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For EPI Coordination:</w:t>
      </w:r>
      <w:r w:rsidRPr="007F70EC">
        <w:rPr>
          <w:rFonts w:ascii="Times New Roman" w:eastAsia="Times New Roman" w:hAnsi="Times New Roman" w:cs="Times New Roman"/>
          <w:color w:val="0F1115"/>
          <w:kern w:val="0"/>
          <w14:ligatures w14:val="none"/>
        </w:rPr>
        <w:t> Improve staff distribution across health zones; provide adequate equipment for vaccination (cold chain, transport); recognize high-performing staff.</w:t>
      </w:r>
    </w:p>
    <w:p w14:paraId="4978AEA3" w14:textId="77777777" w:rsidR="00872431" w:rsidRPr="007F70EC" w:rsidRDefault="00872431" w:rsidP="00872431">
      <w:pPr>
        <w:numPr>
          <w:ilvl w:val="0"/>
          <w:numId w:val="9"/>
        </w:numPr>
        <w:shd w:val="clear" w:color="auto" w:fill="FFFFFF"/>
        <w:spacing w:after="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For future research:</w:t>
      </w:r>
      <w:r w:rsidRPr="007F70EC">
        <w:rPr>
          <w:rFonts w:ascii="Times New Roman" w:eastAsia="Times New Roman" w:hAnsi="Times New Roman" w:cs="Times New Roman"/>
          <w:color w:val="0F1115"/>
          <w:kern w:val="0"/>
          <w14:ligatures w14:val="none"/>
        </w:rPr>
        <w:t> Conduct longitudinal studies to track HRM interventions over time; perform comparative studies across provinces; evaluate cost-effectiveness of different motivation mechanisms.</w:t>
      </w:r>
    </w:p>
    <w:p w14:paraId="35D091BC"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Investing in human resources is investing in vaccine-preventable disease control. Without motivated, well-trained, and well-supervised personnel, even the best vaccines will not reach the children who need them.</w:t>
      </w:r>
    </w:p>
    <w:p w14:paraId="7A363CB0"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6. Recommendations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7400"/>
      </w:tblGrid>
      <w:tr w:rsidR="00872431" w:rsidRPr="007F70EC" w14:paraId="66FA2524" w14:textId="77777777" w:rsidTr="007F70EC">
        <w:trPr>
          <w:tblHeader/>
        </w:trPr>
        <w:tc>
          <w:tcPr>
            <w:tcW w:w="1975" w:type="dxa"/>
            <w:tcBorders>
              <w:top w:val="single" w:sz="4" w:space="0" w:color="auto"/>
              <w:bottom w:val="single" w:sz="4" w:space="0" w:color="auto"/>
            </w:tcBorders>
            <w:tcMar>
              <w:top w:w="150" w:type="dxa"/>
              <w:left w:w="0" w:type="dxa"/>
              <w:bottom w:w="150" w:type="dxa"/>
              <w:right w:w="240" w:type="dxa"/>
            </w:tcMar>
            <w:vAlign w:val="center"/>
            <w:hideMark/>
          </w:tcPr>
          <w:p w14:paraId="0DC314D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Level</w:t>
            </w:r>
          </w:p>
        </w:tc>
        <w:tc>
          <w:tcPr>
            <w:tcW w:w="7400" w:type="dxa"/>
            <w:tcBorders>
              <w:top w:val="single" w:sz="4" w:space="0" w:color="auto"/>
              <w:bottom w:val="single" w:sz="4" w:space="0" w:color="auto"/>
            </w:tcBorders>
            <w:tcMar>
              <w:top w:w="150" w:type="dxa"/>
              <w:left w:w="240" w:type="dxa"/>
              <w:bottom w:w="150" w:type="dxa"/>
              <w:right w:w="240" w:type="dxa"/>
            </w:tcMar>
            <w:vAlign w:val="center"/>
            <w:hideMark/>
          </w:tcPr>
          <w:p w14:paraId="10033AF9"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Recommendations</w:t>
            </w:r>
          </w:p>
        </w:tc>
      </w:tr>
      <w:tr w:rsidR="00872431" w:rsidRPr="007F70EC" w14:paraId="1FB2FA6F" w14:textId="77777777" w:rsidTr="007F70EC">
        <w:tc>
          <w:tcPr>
            <w:tcW w:w="1975" w:type="dxa"/>
            <w:tcBorders>
              <w:top w:val="single" w:sz="4" w:space="0" w:color="auto"/>
            </w:tcBorders>
            <w:tcMar>
              <w:top w:w="150" w:type="dxa"/>
              <w:left w:w="0" w:type="dxa"/>
              <w:bottom w:w="150" w:type="dxa"/>
              <w:right w:w="240" w:type="dxa"/>
            </w:tcMar>
            <w:vAlign w:val="center"/>
            <w:hideMark/>
          </w:tcPr>
          <w:p w14:paraId="256FC93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National Ministry of Health</w:t>
            </w:r>
          </w:p>
        </w:tc>
        <w:tc>
          <w:tcPr>
            <w:tcW w:w="7400" w:type="dxa"/>
            <w:tcBorders>
              <w:top w:val="single" w:sz="4" w:space="0" w:color="auto"/>
            </w:tcBorders>
            <w:tcMar>
              <w:top w:w="150" w:type="dxa"/>
              <w:left w:w="240" w:type="dxa"/>
              <w:bottom w:w="150" w:type="dxa"/>
              <w:right w:w="0" w:type="dxa"/>
            </w:tcMar>
            <w:vAlign w:val="center"/>
            <w:hideMark/>
          </w:tcPr>
          <w:p w14:paraId="4C883055"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Strengthen HRM policies for EPI; ensure regular motivation mechanisms (per diem, performance-based incentives); increase recruitment of qualified EPI staff; allocate budget for cold chain maintenance.</w:t>
            </w:r>
          </w:p>
        </w:tc>
      </w:tr>
      <w:tr w:rsidR="00872431" w:rsidRPr="007F70EC" w14:paraId="5EB0BBF0" w14:textId="77777777" w:rsidTr="007F70EC">
        <w:tc>
          <w:tcPr>
            <w:tcW w:w="1975" w:type="dxa"/>
            <w:tcMar>
              <w:top w:w="150" w:type="dxa"/>
              <w:left w:w="0" w:type="dxa"/>
              <w:bottom w:w="150" w:type="dxa"/>
              <w:right w:w="240" w:type="dxa"/>
            </w:tcMar>
            <w:vAlign w:val="center"/>
            <w:hideMark/>
          </w:tcPr>
          <w:p w14:paraId="303E27BA"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Provincial Health Division (Équateur)</w:t>
            </w:r>
          </w:p>
        </w:tc>
        <w:tc>
          <w:tcPr>
            <w:tcW w:w="7400" w:type="dxa"/>
            <w:tcMar>
              <w:top w:w="150" w:type="dxa"/>
              <w:left w:w="240" w:type="dxa"/>
              <w:bottom w:w="150" w:type="dxa"/>
              <w:right w:w="0" w:type="dxa"/>
            </w:tcMar>
            <w:vAlign w:val="center"/>
            <w:hideMark/>
          </w:tcPr>
          <w:p w14:paraId="5B86D546"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Organize quarterly refresher training focused on cold chain, data management, and community communication; conduct monthly formative supervision with systematic feedback and follow-up; ensure equitable staff distribution across all health zones.</w:t>
            </w:r>
          </w:p>
        </w:tc>
      </w:tr>
      <w:tr w:rsidR="00872431" w:rsidRPr="007F70EC" w14:paraId="7E1116E1" w14:textId="77777777" w:rsidTr="007F70EC">
        <w:tc>
          <w:tcPr>
            <w:tcW w:w="1975" w:type="dxa"/>
            <w:tcMar>
              <w:top w:w="150" w:type="dxa"/>
              <w:left w:w="0" w:type="dxa"/>
              <w:bottom w:w="150" w:type="dxa"/>
              <w:right w:w="240" w:type="dxa"/>
            </w:tcMar>
            <w:vAlign w:val="center"/>
            <w:hideMark/>
          </w:tcPr>
          <w:p w14:paraId="3D26DA67"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lastRenderedPageBreak/>
              <w:t>EPI Coordination (Équateur)</w:t>
            </w:r>
          </w:p>
        </w:tc>
        <w:tc>
          <w:tcPr>
            <w:tcW w:w="7400" w:type="dxa"/>
            <w:tcMar>
              <w:top w:w="150" w:type="dxa"/>
              <w:left w:w="240" w:type="dxa"/>
              <w:bottom w:w="150" w:type="dxa"/>
              <w:right w:w="0" w:type="dxa"/>
            </w:tcMar>
            <w:vAlign w:val="center"/>
            <w:hideMark/>
          </w:tcPr>
          <w:p w14:paraId="169570B2"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Improve staff allocation based on workload rather than historical patterns; provide adequate cold chain equipment and transport means; establish staff recognition programs (e.g., "Vaccinator of the Month").</w:t>
            </w:r>
          </w:p>
        </w:tc>
      </w:tr>
      <w:tr w:rsidR="00872431" w:rsidRPr="007F70EC" w14:paraId="479EDEA1" w14:textId="77777777" w:rsidTr="007F70EC">
        <w:tc>
          <w:tcPr>
            <w:tcW w:w="1975" w:type="dxa"/>
            <w:tcMar>
              <w:top w:w="150" w:type="dxa"/>
              <w:left w:w="0" w:type="dxa"/>
              <w:bottom w:w="150" w:type="dxa"/>
              <w:right w:w="240" w:type="dxa"/>
            </w:tcMar>
            <w:vAlign w:val="center"/>
            <w:hideMark/>
          </w:tcPr>
          <w:p w14:paraId="70A7BB1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Health Center Chiefs</w:t>
            </w:r>
          </w:p>
        </w:tc>
        <w:tc>
          <w:tcPr>
            <w:tcW w:w="7400" w:type="dxa"/>
            <w:tcMar>
              <w:top w:w="150" w:type="dxa"/>
              <w:left w:w="240" w:type="dxa"/>
              <w:bottom w:w="150" w:type="dxa"/>
              <w:right w:w="0" w:type="dxa"/>
            </w:tcMar>
            <w:vAlign w:val="center"/>
            <w:hideMark/>
          </w:tcPr>
          <w:p w14:paraId="6DC2074C"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Implement daily staff planning for vaccination sessions; provide on-the-job coaching for vaccinators; maintain motivation through regular team meetings.</w:t>
            </w:r>
          </w:p>
        </w:tc>
      </w:tr>
      <w:tr w:rsidR="00872431" w:rsidRPr="007F70EC" w14:paraId="222D23C2" w14:textId="77777777" w:rsidTr="007F70EC">
        <w:tc>
          <w:tcPr>
            <w:tcW w:w="1975" w:type="dxa"/>
            <w:tcMar>
              <w:top w:w="150" w:type="dxa"/>
              <w:left w:w="0" w:type="dxa"/>
              <w:bottom w:w="150" w:type="dxa"/>
              <w:right w:w="240" w:type="dxa"/>
            </w:tcMar>
            <w:vAlign w:val="center"/>
            <w:hideMark/>
          </w:tcPr>
          <w:p w14:paraId="34CF8F3F"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b/>
                <w:bCs/>
                <w:kern w:val="0"/>
                <w:sz w:val="23"/>
                <w:szCs w:val="23"/>
                <w14:ligatures w14:val="none"/>
              </w:rPr>
              <w:t>Future Researchers</w:t>
            </w:r>
          </w:p>
        </w:tc>
        <w:tc>
          <w:tcPr>
            <w:tcW w:w="7400" w:type="dxa"/>
            <w:tcMar>
              <w:top w:w="150" w:type="dxa"/>
              <w:left w:w="240" w:type="dxa"/>
              <w:bottom w:w="150" w:type="dxa"/>
              <w:right w:w="0" w:type="dxa"/>
            </w:tcMar>
            <w:vAlign w:val="center"/>
            <w:hideMark/>
          </w:tcPr>
          <w:p w14:paraId="19B725AD" w14:textId="77777777" w:rsidR="00872431" w:rsidRPr="007F70EC" w:rsidRDefault="00872431" w:rsidP="007F70EC">
            <w:pPr>
              <w:spacing w:after="0" w:line="240" w:lineRule="auto"/>
              <w:rPr>
                <w:rFonts w:ascii="Times New Roman" w:eastAsia="Times New Roman" w:hAnsi="Times New Roman" w:cs="Times New Roman"/>
                <w:kern w:val="0"/>
                <w:sz w:val="23"/>
                <w:szCs w:val="23"/>
                <w14:ligatures w14:val="none"/>
              </w:rPr>
            </w:pPr>
            <w:r w:rsidRPr="007F70EC">
              <w:rPr>
                <w:rFonts w:ascii="Times New Roman" w:eastAsia="Times New Roman" w:hAnsi="Times New Roman" w:cs="Times New Roman"/>
                <w:kern w:val="0"/>
                <w:sz w:val="23"/>
                <w:szCs w:val="23"/>
                <w14:ligatures w14:val="none"/>
              </w:rPr>
              <w:t>Conduct longitudinal studies to evaluate HRM interventions over time; perform comparative studies across provinces; analyze cost-effectiveness of motivation mechanisms; study digital HRM solutions for EPI.</w:t>
            </w:r>
          </w:p>
        </w:tc>
      </w:tr>
    </w:tbl>
    <w:p w14:paraId="74982F24" w14:textId="77777777" w:rsidR="00872431" w:rsidRPr="007F70EC" w:rsidRDefault="00872431" w:rsidP="00872431">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7F70EC">
        <w:rPr>
          <w:rFonts w:ascii="Times New Roman" w:eastAsia="Times New Roman" w:hAnsi="Times New Roman" w:cs="Times New Roman"/>
          <w:b/>
          <w:bCs/>
          <w:color w:val="0F1115"/>
          <w:kern w:val="0"/>
          <w:sz w:val="33"/>
          <w:szCs w:val="33"/>
          <w14:ligatures w14:val="none"/>
        </w:rPr>
        <w:t>7. References</w:t>
      </w:r>
    </w:p>
    <w:p w14:paraId="0D557C1B"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Banque </w:t>
      </w:r>
      <w:proofErr w:type="spellStart"/>
      <w:r w:rsidRPr="007F70EC">
        <w:rPr>
          <w:rFonts w:ascii="Times New Roman" w:eastAsia="Times New Roman" w:hAnsi="Times New Roman" w:cs="Times New Roman"/>
          <w:color w:val="0F1115"/>
          <w:kern w:val="0"/>
          <w14:ligatures w14:val="none"/>
        </w:rPr>
        <w:t>mondiale</w:t>
      </w:r>
      <w:proofErr w:type="spellEnd"/>
      <w:r w:rsidRPr="007F70EC">
        <w:rPr>
          <w:rFonts w:ascii="Times New Roman" w:eastAsia="Times New Roman" w:hAnsi="Times New Roman" w:cs="Times New Roman"/>
          <w:color w:val="0F1115"/>
          <w:kern w:val="0"/>
          <w14:ligatures w14:val="none"/>
        </w:rPr>
        <w:t>. (2018). </w:t>
      </w:r>
      <w:r w:rsidRPr="007F70EC">
        <w:rPr>
          <w:rFonts w:ascii="Times New Roman" w:eastAsia="Times New Roman" w:hAnsi="Times New Roman" w:cs="Times New Roman"/>
          <w:i/>
          <w:iCs/>
          <w:color w:val="0F1115"/>
          <w:kern w:val="0"/>
          <w14:ligatures w14:val="none"/>
        </w:rPr>
        <w:t xml:space="preserve">Le </w:t>
      </w:r>
      <w:proofErr w:type="spellStart"/>
      <w:r w:rsidRPr="007F70EC">
        <w:rPr>
          <w:rFonts w:ascii="Times New Roman" w:eastAsia="Times New Roman" w:hAnsi="Times New Roman" w:cs="Times New Roman"/>
          <w:i/>
          <w:iCs/>
          <w:color w:val="0F1115"/>
          <w:kern w:val="0"/>
          <w14:ligatures w14:val="none"/>
        </w:rPr>
        <w:t>rôle</w:t>
      </w:r>
      <w:proofErr w:type="spellEnd"/>
      <w:r w:rsidRPr="007F70EC">
        <w:rPr>
          <w:rFonts w:ascii="Times New Roman" w:eastAsia="Times New Roman" w:hAnsi="Times New Roman" w:cs="Times New Roman"/>
          <w:i/>
          <w:iCs/>
          <w:color w:val="0F1115"/>
          <w:kern w:val="0"/>
          <w14:ligatures w14:val="none"/>
        </w:rPr>
        <w:t xml:space="preserve"> du </w:t>
      </w:r>
      <w:proofErr w:type="spellStart"/>
      <w:r w:rsidRPr="007F70EC">
        <w:rPr>
          <w:rFonts w:ascii="Times New Roman" w:eastAsia="Times New Roman" w:hAnsi="Times New Roman" w:cs="Times New Roman"/>
          <w:i/>
          <w:iCs/>
          <w:color w:val="0F1115"/>
          <w:kern w:val="0"/>
          <w14:ligatures w14:val="none"/>
        </w:rPr>
        <w:t>secteur</w:t>
      </w:r>
      <w:proofErr w:type="spellEnd"/>
      <w:r w:rsidRPr="007F70EC">
        <w:rPr>
          <w:rFonts w:ascii="Times New Roman" w:eastAsia="Times New Roman" w:hAnsi="Times New Roman" w:cs="Times New Roman"/>
          <w:i/>
          <w:iCs/>
          <w:color w:val="0F1115"/>
          <w:kern w:val="0"/>
          <w14:ligatures w14:val="none"/>
        </w:rPr>
        <w:t xml:space="preserve"> </w:t>
      </w:r>
      <w:proofErr w:type="spellStart"/>
      <w:r w:rsidRPr="007F70EC">
        <w:rPr>
          <w:rFonts w:ascii="Times New Roman" w:eastAsia="Times New Roman" w:hAnsi="Times New Roman" w:cs="Times New Roman"/>
          <w:i/>
          <w:iCs/>
          <w:color w:val="0F1115"/>
          <w:kern w:val="0"/>
          <w14:ligatures w14:val="none"/>
        </w:rPr>
        <w:t>privé</w:t>
      </w:r>
      <w:proofErr w:type="spellEnd"/>
      <w:r w:rsidRPr="007F70EC">
        <w:rPr>
          <w:rFonts w:ascii="Times New Roman" w:eastAsia="Times New Roman" w:hAnsi="Times New Roman" w:cs="Times New Roman"/>
          <w:i/>
          <w:iCs/>
          <w:color w:val="0F1115"/>
          <w:kern w:val="0"/>
          <w14:ligatures w14:val="none"/>
        </w:rPr>
        <w:t xml:space="preserve"> dans </w:t>
      </w:r>
      <w:proofErr w:type="spellStart"/>
      <w:r w:rsidRPr="007F70EC">
        <w:rPr>
          <w:rFonts w:ascii="Times New Roman" w:eastAsia="Times New Roman" w:hAnsi="Times New Roman" w:cs="Times New Roman"/>
          <w:i/>
          <w:iCs/>
          <w:color w:val="0F1115"/>
          <w:kern w:val="0"/>
          <w14:ligatures w14:val="none"/>
        </w:rPr>
        <w:t>l'amélioration</w:t>
      </w:r>
      <w:proofErr w:type="spellEnd"/>
      <w:r w:rsidRPr="007F70EC">
        <w:rPr>
          <w:rFonts w:ascii="Times New Roman" w:eastAsia="Times New Roman" w:hAnsi="Times New Roman" w:cs="Times New Roman"/>
          <w:i/>
          <w:iCs/>
          <w:color w:val="0F1115"/>
          <w:kern w:val="0"/>
          <w14:ligatures w14:val="none"/>
        </w:rPr>
        <w:t xml:space="preserve"> du </w:t>
      </w:r>
      <w:proofErr w:type="spellStart"/>
      <w:r w:rsidRPr="007F70EC">
        <w:rPr>
          <w:rFonts w:ascii="Times New Roman" w:eastAsia="Times New Roman" w:hAnsi="Times New Roman" w:cs="Times New Roman"/>
          <w:i/>
          <w:iCs/>
          <w:color w:val="0F1115"/>
          <w:kern w:val="0"/>
          <w14:ligatures w14:val="none"/>
        </w:rPr>
        <w:t>système</w:t>
      </w:r>
      <w:proofErr w:type="spellEnd"/>
      <w:r w:rsidRPr="007F70EC">
        <w:rPr>
          <w:rFonts w:ascii="Times New Roman" w:eastAsia="Times New Roman" w:hAnsi="Times New Roman" w:cs="Times New Roman"/>
          <w:i/>
          <w:iCs/>
          <w:color w:val="0F1115"/>
          <w:kern w:val="0"/>
          <w14:ligatures w14:val="none"/>
        </w:rPr>
        <w:t xml:space="preserve"> de santé </w:t>
      </w:r>
      <w:proofErr w:type="spellStart"/>
      <w:r w:rsidRPr="007F70EC">
        <w:rPr>
          <w:rFonts w:ascii="Times New Roman" w:eastAsia="Times New Roman" w:hAnsi="Times New Roman" w:cs="Times New Roman"/>
          <w:i/>
          <w:iCs/>
          <w:color w:val="0F1115"/>
          <w:kern w:val="0"/>
          <w14:ligatures w14:val="none"/>
        </w:rPr>
        <w:t>en</w:t>
      </w:r>
      <w:proofErr w:type="spellEnd"/>
      <w:r w:rsidRPr="007F70EC">
        <w:rPr>
          <w:rFonts w:ascii="Times New Roman" w:eastAsia="Times New Roman" w:hAnsi="Times New Roman" w:cs="Times New Roman"/>
          <w:i/>
          <w:iCs/>
          <w:color w:val="0F1115"/>
          <w:kern w:val="0"/>
          <w14:ligatures w14:val="none"/>
        </w:rPr>
        <w:t xml:space="preserve"> RDC</w:t>
      </w:r>
      <w:r w:rsidRPr="007F70EC">
        <w:rPr>
          <w:rFonts w:ascii="Times New Roman" w:eastAsia="Times New Roman" w:hAnsi="Times New Roman" w:cs="Times New Roman"/>
          <w:color w:val="0F1115"/>
          <w:kern w:val="0"/>
          <w14:ligatures w14:val="none"/>
        </w:rPr>
        <w:t xml:space="preserve">. Washington, DC: Banque </w:t>
      </w:r>
      <w:proofErr w:type="spellStart"/>
      <w:r w:rsidRPr="007F70EC">
        <w:rPr>
          <w:rFonts w:ascii="Times New Roman" w:eastAsia="Times New Roman" w:hAnsi="Times New Roman" w:cs="Times New Roman"/>
          <w:color w:val="0F1115"/>
          <w:kern w:val="0"/>
          <w14:ligatures w14:val="none"/>
        </w:rPr>
        <w:t>mondiale</w:t>
      </w:r>
      <w:proofErr w:type="spellEnd"/>
      <w:r w:rsidRPr="007F70EC">
        <w:rPr>
          <w:rFonts w:ascii="Times New Roman" w:eastAsia="Times New Roman" w:hAnsi="Times New Roman" w:cs="Times New Roman"/>
          <w:color w:val="0F1115"/>
          <w:kern w:val="0"/>
          <w14:ligatures w14:val="none"/>
        </w:rPr>
        <w:t>.</w:t>
      </w:r>
    </w:p>
    <w:p w14:paraId="2386CD3C"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Bosch-</w:t>
      </w:r>
      <w:proofErr w:type="spellStart"/>
      <w:r w:rsidRPr="007F70EC">
        <w:rPr>
          <w:rFonts w:ascii="Times New Roman" w:eastAsia="Times New Roman" w:hAnsi="Times New Roman" w:cs="Times New Roman"/>
          <w:color w:val="0F1115"/>
          <w:kern w:val="0"/>
          <w14:ligatures w14:val="none"/>
        </w:rPr>
        <w:t>Capblanch</w:t>
      </w:r>
      <w:proofErr w:type="spellEnd"/>
      <w:r w:rsidRPr="007F70EC">
        <w:rPr>
          <w:rFonts w:ascii="Times New Roman" w:eastAsia="Times New Roman" w:hAnsi="Times New Roman" w:cs="Times New Roman"/>
          <w:color w:val="0F1115"/>
          <w:kern w:val="0"/>
          <w14:ligatures w14:val="none"/>
        </w:rPr>
        <w:t>, X., &amp; Garner, P. (2008). Primary health care supervision in developing countries. </w:t>
      </w:r>
      <w:r w:rsidRPr="007F70EC">
        <w:rPr>
          <w:rFonts w:ascii="Times New Roman" w:eastAsia="Times New Roman" w:hAnsi="Times New Roman" w:cs="Times New Roman"/>
          <w:i/>
          <w:iCs/>
          <w:color w:val="0F1115"/>
          <w:kern w:val="0"/>
          <w14:ligatures w14:val="none"/>
        </w:rPr>
        <w:t>Tropical Medicine &amp; International Health</w:t>
      </w:r>
      <w:r w:rsidRPr="007F70EC">
        <w:rPr>
          <w:rFonts w:ascii="Times New Roman" w:eastAsia="Times New Roman" w:hAnsi="Times New Roman" w:cs="Times New Roman"/>
          <w:color w:val="0F1115"/>
          <w:kern w:val="0"/>
          <w14:ligatures w14:val="none"/>
        </w:rPr>
        <w:t>, 13(3), 369–383.</w:t>
      </w:r>
    </w:p>
    <w:p w14:paraId="057C3DD5"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Dessler, G. (2013). </w:t>
      </w:r>
      <w:r w:rsidRPr="007F70EC">
        <w:rPr>
          <w:rFonts w:ascii="Times New Roman" w:eastAsia="Times New Roman" w:hAnsi="Times New Roman" w:cs="Times New Roman"/>
          <w:i/>
          <w:iCs/>
          <w:color w:val="0F1115"/>
          <w:kern w:val="0"/>
          <w14:ligatures w14:val="none"/>
        </w:rPr>
        <w:t>Human resource management</w:t>
      </w:r>
      <w:r w:rsidRPr="007F70EC">
        <w:rPr>
          <w:rFonts w:ascii="Times New Roman" w:eastAsia="Times New Roman" w:hAnsi="Times New Roman" w:cs="Times New Roman"/>
          <w:color w:val="0F1115"/>
          <w:kern w:val="0"/>
          <w14:ligatures w14:val="none"/>
        </w:rPr>
        <w:t> (13th ed.). Pearson.</w:t>
      </w:r>
    </w:p>
    <w:p w14:paraId="0A5CCF5A"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RDC. (2010). </w:t>
      </w:r>
      <w:r w:rsidRPr="007F70EC">
        <w:rPr>
          <w:rFonts w:ascii="Times New Roman" w:eastAsia="Times New Roman" w:hAnsi="Times New Roman" w:cs="Times New Roman"/>
          <w:i/>
          <w:iCs/>
          <w:color w:val="0F1115"/>
          <w:kern w:val="0"/>
          <w14:ligatures w14:val="none"/>
        </w:rPr>
        <w:t xml:space="preserve">Politique </w:t>
      </w:r>
      <w:proofErr w:type="spellStart"/>
      <w:r w:rsidRPr="007F70EC">
        <w:rPr>
          <w:rFonts w:ascii="Times New Roman" w:eastAsia="Times New Roman" w:hAnsi="Times New Roman" w:cs="Times New Roman"/>
          <w:i/>
          <w:iCs/>
          <w:color w:val="0F1115"/>
          <w:kern w:val="0"/>
          <w14:ligatures w14:val="none"/>
        </w:rPr>
        <w:t>nationale</w:t>
      </w:r>
      <w:proofErr w:type="spellEnd"/>
      <w:r w:rsidRPr="007F70EC">
        <w:rPr>
          <w:rFonts w:ascii="Times New Roman" w:eastAsia="Times New Roman" w:hAnsi="Times New Roman" w:cs="Times New Roman"/>
          <w:i/>
          <w:iCs/>
          <w:color w:val="0F1115"/>
          <w:kern w:val="0"/>
          <w14:ligatures w14:val="none"/>
        </w:rPr>
        <w:t xml:space="preserve"> de santé</w:t>
      </w:r>
      <w:r w:rsidRPr="007F70EC">
        <w:rPr>
          <w:rFonts w:ascii="Times New Roman" w:eastAsia="Times New Roman" w:hAnsi="Times New Roman" w:cs="Times New Roman"/>
          <w:color w:val="0F1115"/>
          <w:kern w:val="0"/>
          <w14:ligatures w14:val="none"/>
        </w:rPr>
        <w:t>. Kinshasa: MSP.</w:t>
      </w:r>
    </w:p>
    <w:p w14:paraId="258B614D"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RDC. (2016). </w:t>
      </w:r>
      <w:r w:rsidRPr="007F70EC">
        <w:rPr>
          <w:rFonts w:ascii="Times New Roman" w:eastAsia="Times New Roman" w:hAnsi="Times New Roman" w:cs="Times New Roman"/>
          <w:i/>
          <w:iCs/>
          <w:color w:val="0F1115"/>
          <w:kern w:val="0"/>
          <w14:ligatures w14:val="none"/>
        </w:rPr>
        <w:t xml:space="preserve">Rapport </w:t>
      </w:r>
      <w:proofErr w:type="spellStart"/>
      <w:r w:rsidRPr="007F70EC">
        <w:rPr>
          <w:rFonts w:ascii="Times New Roman" w:eastAsia="Times New Roman" w:hAnsi="Times New Roman" w:cs="Times New Roman"/>
          <w:i/>
          <w:iCs/>
          <w:color w:val="0F1115"/>
          <w:kern w:val="0"/>
          <w14:ligatures w14:val="none"/>
        </w:rPr>
        <w:t>annuel</w:t>
      </w:r>
      <w:proofErr w:type="spellEnd"/>
      <w:r w:rsidRPr="007F70EC">
        <w:rPr>
          <w:rFonts w:ascii="Times New Roman" w:eastAsia="Times New Roman" w:hAnsi="Times New Roman" w:cs="Times New Roman"/>
          <w:i/>
          <w:iCs/>
          <w:color w:val="0F1115"/>
          <w:kern w:val="0"/>
          <w14:ligatures w14:val="none"/>
        </w:rPr>
        <w:t xml:space="preserve"> des </w:t>
      </w:r>
      <w:proofErr w:type="spellStart"/>
      <w:r w:rsidRPr="007F70EC">
        <w:rPr>
          <w:rFonts w:ascii="Times New Roman" w:eastAsia="Times New Roman" w:hAnsi="Times New Roman" w:cs="Times New Roman"/>
          <w:i/>
          <w:iCs/>
          <w:color w:val="0F1115"/>
          <w:kern w:val="0"/>
          <w14:ligatures w14:val="none"/>
        </w:rPr>
        <w:t>activités</w:t>
      </w:r>
      <w:proofErr w:type="spellEnd"/>
      <w:r w:rsidRPr="007F70EC">
        <w:rPr>
          <w:rFonts w:ascii="Times New Roman" w:eastAsia="Times New Roman" w:hAnsi="Times New Roman" w:cs="Times New Roman"/>
          <w:i/>
          <w:iCs/>
          <w:color w:val="0F1115"/>
          <w:kern w:val="0"/>
          <w14:ligatures w14:val="none"/>
        </w:rPr>
        <w:t xml:space="preserve"> du </w:t>
      </w:r>
      <w:proofErr w:type="spellStart"/>
      <w:r w:rsidRPr="007F70EC">
        <w:rPr>
          <w:rFonts w:ascii="Times New Roman" w:eastAsia="Times New Roman" w:hAnsi="Times New Roman" w:cs="Times New Roman"/>
          <w:i/>
          <w:iCs/>
          <w:color w:val="0F1115"/>
          <w:kern w:val="0"/>
          <w14:ligatures w14:val="none"/>
        </w:rPr>
        <w:t>secteur</w:t>
      </w:r>
      <w:proofErr w:type="spellEnd"/>
      <w:r w:rsidRPr="007F70EC">
        <w:rPr>
          <w:rFonts w:ascii="Times New Roman" w:eastAsia="Times New Roman" w:hAnsi="Times New Roman" w:cs="Times New Roman"/>
          <w:i/>
          <w:iCs/>
          <w:color w:val="0F1115"/>
          <w:kern w:val="0"/>
          <w14:ligatures w14:val="none"/>
        </w:rPr>
        <w:t xml:space="preserve"> de la santé</w:t>
      </w:r>
      <w:r w:rsidRPr="007F70EC">
        <w:rPr>
          <w:rFonts w:ascii="Times New Roman" w:eastAsia="Times New Roman" w:hAnsi="Times New Roman" w:cs="Times New Roman"/>
          <w:color w:val="0F1115"/>
          <w:kern w:val="0"/>
          <w14:ligatures w14:val="none"/>
        </w:rPr>
        <w:t>. Kinshasa: MSP.</w:t>
      </w:r>
    </w:p>
    <w:p w14:paraId="6F2083E3"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RDC. (2018). *</w:t>
      </w:r>
      <w:proofErr w:type="spellStart"/>
      <w:r w:rsidRPr="007F70EC">
        <w:rPr>
          <w:rFonts w:ascii="Times New Roman" w:eastAsia="Times New Roman" w:hAnsi="Times New Roman" w:cs="Times New Roman"/>
          <w:color w:val="0F1115"/>
          <w:kern w:val="0"/>
          <w14:ligatures w14:val="none"/>
        </w:rPr>
        <w:t>Évaluation</w:t>
      </w:r>
      <w:proofErr w:type="spellEnd"/>
      <w:r w:rsidRPr="007F70EC">
        <w:rPr>
          <w:rFonts w:ascii="Times New Roman" w:eastAsia="Times New Roman" w:hAnsi="Times New Roman" w:cs="Times New Roman"/>
          <w:color w:val="0F1115"/>
          <w:kern w:val="0"/>
          <w14:ligatures w14:val="none"/>
        </w:rPr>
        <w:t xml:space="preserve"> à mi-</w:t>
      </w:r>
      <w:proofErr w:type="spellStart"/>
      <w:r w:rsidRPr="007F70EC">
        <w:rPr>
          <w:rFonts w:ascii="Times New Roman" w:eastAsia="Times New Roman" w:hAnsi="Times New Roman" w:cs="Times New Roman"/>
          <w:color w:val="0F1115"/>
          <w:kern w:val="0"/>
          <w14:ligatures w14:val="none"/>
        </w:rPr>
        <w:t>parcours</w:t>
      </w:r>
      <w:proofErr w:type="spellEnd"/>
      <w:r w:rsidRPr="007F70EC">
        <w:rPr>
          <w:rFonts w:ascii="Times New Roman" w:eastAsia="Times New Roman" w:hAnsi="Times New Roman" w:cs="Times New Roman"/>
          <w:color w:val="0F1115"/>
          <w:kern w:val="0"/>
          <w14:ligatures w14:val="none"/>
        </w:rPr>
        <w:t xml:space="preserve"> du Plan National de Développement Sanitaire (PNDS 2016-2020)*. Kinshasa: MSP.</w:t>
      </w:r>
    </w:p>
    <w:p w14:paraId="4D708F2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 xml:space="preserve">Ministère de la Santé </w:t>
      </w:r>
      <w:proofErr w:type="spellStart"/>
      <w:r w:rsidRPr="007F70EC">
        <w:rPr>
          <w:rFonts w:ascii="Times New Roman" w:eastAsia="Times New Roman" w:hAnsi="Times New Roman" w:cs="Times New Roman"/>
          <w:color w:val="0F1115"/>
          <w:kern w:val="0"/>
          <w14:ligatures w14:val="none"/>
        </w:rPr>
        <w:t>Publique</w:t>
      </w:r>
      <w:proofErr w:type="spellEnd"/>
      <w:r w:rsidRPr="007F70EC">
        <w:rPr>
          <w:rFonts w:ascii="Times New Roman" w:eastAsia="Times New Roman" w:hAnsi="Times New Roman" w:cs="Times New Roman"/>
          <w:color w:val="0F1115"/>
          <w:kern w:val="0"/>
          <w14:ligatures w14:val="none"/>
        </w:rPr>
        <w:t>, RDC. (2019). </w:t>
      </w:r>
      <w:proofErr w:type="spellStart"/>
      <w:r w:rsidRPr="007F70EC">
        <w:rPr>
          <w:rFonts w:ascii="Times New Roman" w:eastAsia="Times New Roman" w:hAnsi="Times New Roman" w:cs="Times New Roman"/>
          <w:i/>
          <w:iCs/>
          <w:color w:val="0F1115"/>
          <w:kern w:val="0"/>
          <w14:ligatures w14:val="none"/>
        </w:rPr>
        <w:t>Normes</w:t>
      </w:r>
      <w:proofErr w:type="spellEnd"/>
      <w:r w:rsidRPr="007F70EC">
        <w:rPr>
          <w:rFonts w:ascii="Times New Roman" w:eastAsia="Times New Roman" w:hAnsi="Times New Roman" w:cs="Times New Roman"/>
          <w:i/>
          <w:iCs/>
          <w:color w:val="0F1115"/>
          <w:kern w:val="0"/>
          <w14:ligatures w14:val="none"/>
        </w:rPr>
        <w:t xml:space="preserve"> de </w:t>
      </w:r>
      <w:proofErr w:type="spellStart"/>
      <w:r w:rsidRPr="007F70EC">
        <w:rPr>
          <w:rFonts w:ascii="Times New Roman" w:eastAsia="Times New Roman" w:hAnsi="Times New Roman" w:cs="Times New Roman"/>
          <w:i/>
          <w:iCs/>
          <w:color w:val="0F1115"/>
          <w:kern w:val="0"/>
          <w14:ligatures w14:val="none"/>
        </w:rPr>
        <w:t>création</w:t>
      </w:r>
      <w:proofErr w:type="spellEnd"/>
      <w:r w:rsidRPr="007F70EC">
        <w:rPr>
          <w:rFonts w:ascii="Times New Roman" w:eastAsia="Times New Roman" w:hAnsi="Times New Roman" w:cs="Times New Roman"/>
          <w:i/>
          <w:iCs/>
          <w:color w:val="0F1115"/>
          <w:kern w:val="0"/>
          <w14:ligatures w14:val="none"/>
        </w:rPr>
        <w:t xml:space="preserve">, </w:t>
      </w:r>
      <w:proofErr w:type="spellStart"/>
      <w:r w:rsidRPr="007F70EC">
        <w:rPr>
          <w:rFonts w:ascii="Times New Roman" w:eastAsia="Times New Roman" w:hAnsi="Times New Roman" w:cs="Times New Roman"/>
          <w:i/>
          <w:iCs/>
          <w:color w:val="0F1115"/>
          <w:kern w:val="0"/>
          <w14:ligatures w14:val="none"/>
        </w:rPr>
        <w:t>d'organisation</w:t>
      </w:r>
      <w:proofErr w:type="spellEnd"/>
      <w:r w:rsidRPr="007F70EC">
        <w:rPr>
          <w:rFonts w:ascii="Times New Roman" w:eastAsia="Times New Roman" w:hAnsi="Times New Roman" w:cs="Times New Roman"/>
          <w:i/>
          <w:iCs/>
          <w:color w:val="0F1115"/>
          <w:kern w:val="0"/>
          <w14:ligatures w14:val="none"/>
        </w:rPr>
        <w:t xml:space="preserve"> et de </w:t>
      </w:r>
      <w:proofErr w:type="spellStart"/>
      <w:r w:rsidRPr="007F70EC">
        <w:rPr>
          <w:rFonts w:ascii="Times New Roman" w:eastAsia="Times New Roman" w:hAnsi="Times New Roman" w:cs="Times New Roman"/>
          <w:i/>
          <w:iCs/>
          <w:color w:val="0F1115"/>
          <w:kern w:val="0"/>
          <w14:ligatures w14:val="none"/>
        </w:rPr>
        <w:t>fonctionnement</w:t>
      </w:r>
      <w:proofErr w:type="spellEnd"/>
      <w:r w:rsidRPr="007F70EC">
        <w:rPr>
          <w:rFonts w:ascii="Times New Roman" w:eastAsia="Times New Roman" w:hAnsi="Times New Roman" w:cs="Times New Roman"/>
          <w:i/>
          <w:iCs/>
          <w:color w:val="0F1115"/>
          <w:kern w:val="0"/>
          <w14:ligatures w14:val="none"/>
        </w:rPr>
        <w:t xml:space="preserve"> des structures de la zone de santé </w:t>
      </w:r>
      <w:proofErr w:type="spellStart"/>
      <w:r w:rsidRPr="007F70EC">
        <w:rPr>
          <w:rFonts w:ascii="Times New Roman" w:eastAsia="Times New Roman" w:hAnsi="Times New Roman" w:cs="Times New Roman"/>
          <w:i/>
          <w:iCs/>
          <w:color w:val="0F1115"/>
          <w:kern w:val="0"/>
          <w14:ligatures w14:val="none"/>
        </w:rPr>
        <w:t>en</w:t>
      </w:r>
      <w:proofErr w:type="spellEnd"/>
      <w:r w:rsidRPr="007F70EC">
        <w:rPr>
          <w:rFonts w:ascii="Times New Roman" w:eastAsia="Times New Roman" w:hAnsi="Times New Roman" w:cs="Times New Roman"/>
          <w:i/>
          <w:iCs/>
          <w:color w:val="0F1115"/>
          <w:kern w:val="0"/>
          <w14:ligatures w14:val="none"/>
        </w:rPr>
        <w:t xml:space="preserve"> RDC</w:t>
      </w:r>
      <w:r w:rsidRPr="007F70EC">
        <w:rPr>
          <w:rFonts w:ascii="Times New Roman" w:eastAsia="Times New Roman" w:hAnsi="Times New Roman" w:cs="Times New Roman"/>
          <w:color w:val="0F1115"/>
          <w:kern w:val="0"/>
          <w14:ligatures w14:val="none"/>
        </w:rPr>
        <w:t>. Kinshasa: MSP.</w:t>
      </w:r>
    </w:p>
    <w:p w14:paraId="7230B663"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UNICEF. (2014). *</w:t>
      </w:r>
      <w:proofErr w:type="spellStart"/>
      <w:r w:rsidRPr="007F70EC">
        <w:rPr>
          <w:rFonts w:ascii="Times New Roman" w:eastAsia="Times New Roman" w:hAnsi="Times New Roman" w:cs="Times New Roman"/>
          <w:color w:val="0F1115"/>
          <w:kern w:val="0"/>
          <w14:ligatures w14:val="none"/>
        </w:rPr>
        <w:t>Enquête</w:t>
      </w:r>
      <w:proofErr w:type="spellEnd"/>
      <w:r w:rsidRPr="007F70EC">
        <w:rPr>
          <w:rFonts w:ascii="Times New Roman" w:eastAsia="Times New Roman" w:hAnsi="Times New Roman" w:cs="Times New Roman"/>
          <w:color w:val="0F1115"/>
          <w:kern w:val="0"/>
          <w14:ligatures w14:val="none"/>
        </w:rPr>
        <w:t xml:space="preserve"> </w:t>
      </w:r>
      <w:proofErr w:type="spellStart"/>
      <w:r w:rsidRPr="007F70EC">
        <w:rPr>
          <w:rFonts w:ascii="Times New Roman" w:eastAsia="Times New Roman" w:hAnsi="Times New Roman" w:cs="Times New Roman"/>
          <w:color w:val="0F1115"/>
          <w:kern w:val="0"/>
          <w14:ligatures w14:val="none"/>
        </w:rPr>
        <w:t>Démographique</w:t>
      </w:r>
      <w:proofErr w:type="spellEnd"/>
      <w:r w:rsidRPr="007F70EC">
        <w:rPr>
          <w:rFonts w:ascii="Times New Roman" w:eastAsia="Times New Roman" w:hAnsi="Times New Roman" w:cs="Times New Roman"/>
          <w:color w:val="0F1115"/>
          <w:kern w:val="0"/>
          <w14:ligatures w14:val="none"/>
        </w:rPr>
        <w:t xml:space="preserve"> et de Santé </w:t>
      </w:r>
      <w:proofErr w:type="spellStart"/>
      <w:r w:rsidRPr="007F70EC">
        <w:rPr>
          <w:rFonts w:ascii="Times New Roman" w:eastAsia="Times New Roman" w:hAnsi="Times New Roman" w:cs="Times New Roman"/>
          <w:color w:val="0F1115"/>
          <w:kern w:val="0"/>
          <w14:ligatures w14:val="none"/>
        </w:rPr>
        <w:t>en</w:t>
      </w:r>
      <w:proofErr w:type="spellEnd"/>
      <w:r w:rsidRPr="007F70EC">
        <w:rPr>
          <w:rFonts w:ascii="Times New Roman" w:eastAsia="Times New Roman" w:hAnsi="Times New Roman" w:cs="Times New Roman"/>
          <w:color w:val="0F1115"/>
          <w:kern w:val="0"/>
          <w14:ligatures w14:val="none"/>
        </w:rPr>
        <w:t xml:space="preserve"> RDC (EDS-RDC II 2013-2014)*. Kinshasa: UNICEF.</w:t>
      </w:r>
    </w:p>
    <w:p w14:paraId="51D1F165"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lastRenderedPageBreak/>
        <w:t>World Health Organization. (2008). </w:t>
      </w:r>
      <w:r w:rsidRPr="007F70EC">
        <w:rPr>
          <w:rFonts w:ascii="Times New Roman" w:eastAsia="Times New Roman" w:hAnsi="Times New Roman" w:cs="Times New Roman"/>
          <w:i/>
          <w:iCs/>
          <w:color w:val="0F1115"/>
          <w:kern w:val="0"/>
          <w14:ligatures w14:val="none"/>
        </w:rPr>
        <w:t>Rapport sur la santé dans le monde</w:t>
      </w:r>
      <w:r w:rsidRPr="007F70EC">
        <w:rPr>
          <w:rFonts w:ascii="Times New Roman" w:eastAsia="Times New Roman" w:hAnsi="Times New Roman" w:cs="Times New Roman"/>
          <w:color w:val="0F1115"/>
          <w:kern w:val="0"/>
          <w14:ligatures w14:val="none"/>
        </w:rPr>
        <w:t>. Geneva: WHO.</w:t>
      </w:r>
    </w:p>
    <w:p w14:paraId="7E268C13"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color w:val="0F1115"/>
          <w:kern w:val="0"/>
          <w14:ligatures w14:val="none"/>
        </w:rPr>
        <w:t>World Health Organization. (2024). </w:t>
      </w:r>
      <w:proofErr w:type="spellStart"/>
      <w:r w:rsidRPr="007F70EC">
        <w:rPr>
          <w:rFonts w:ascii="Times New Roman" w:eastAsia="Times New Roman" w:hAnsi="Times New Roman" w:cs="Times New Roman"/>
          <w:i/>
          <w:iCs/>
          <w:color w:val="0F1115"/>
          <w:kern w:val="0"/>
          <w14:ligatures w14:val="none"/>
        </w:rPr>
        <w:t>Stratégie</w:t>
      </w:r>
      <w:proofErr w:type="spellEnd"/>
      <w:r w:rsidRPr="007F70EC">
        <w:rPr>
          <w:rFonts w:ascii="Times New Roman" w:eastAsia="Times New Roman" w:hAnsi="Times New Roman" w:cs="Times New Roman"/>
          <w:i/>
          <w:iCs/>
          <w:color w:val="0F1115"/>
          <w:kern w:val="0"/>
          <w14:ligatures w14:val="none"/>
        </w:rPr>
        <w:t xml:space="preserve"> de </w:t>
      </w:r>
      <w:proofErr w:type="spellStart"/>
      <w:r w:rsidRPr="007F70EC">
        <w:rPr>
          <w:rFonts w:ascii="Times New Roman" w:eastAsia="Times New Roman" w:hAnsi="Times New Roman" w:cs="Times New Roman"/>
          <w:i/>
          <w:iCs/>
          <w:color w:val="0F1115"/>
          <w:kern w:val="0"/>
          <w14:ligatures w14:val="none"/>
        </w:rPr>
        <w:t>coopération</w:t>
      </w:r>
      <w:proofErr w:type="spellEnd"/>
      <w:r w:rsidRPr="007F70EC">
        <w:rPr>
          <w:rFonts w:ascii="Times New Roman" w:eastAsia="Times New Roman" w:hAnsi="Times New Roman" w:cs="Times New Roman"/>
          <w:i/>
          <w:iCs/>
          <w:color w:val="0F1115"/>
          <w:kern w:val="0"/>
          <w14:ligatures w14:val="none"/>
        </w:rPr>
        <w:t xml:space="preserve"> avec la RDC 2024–2029</w:t>
      </w:r>
      <w:r w:rsidRPr="007F70EC">
        <w:rPr>
          <w:rFonts w:ascii="Times New Roman" w:eastAsia="Times New Roman" w:hAnsi="Times New Roman" w:cs="Times New Roman"/>
          <w:color w:val="0F1115"/>
          <w:kern w:val="0"/>
          <w14:ligatures w14:val="none"/>
        </w:rPr>
        <w:t>. Geneva: WHO.</w:t>
      </w:r>
    </w:p>
    <w:p w14:paraId="3F7200F0" w14:textId="69A63F4C"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Corresponding Author:</w:t>
      </w:r>
      <w:r w:rsidRPr="007F70EC">
        <w:rPr>
          <w:rFonts w:ascii="Times New Roman" w:eastAsia="Times New Roman" w:hAnsi="Times New Roman" w:cs="Times New Roman"/>
          <w:color w:val="0F1115"/>
          <w:kern w:val="0"/>
          <w14:ligatures w14:val="none"/>
        </w:rPr>
        <w:br/>
        <w:t>Mangi Mputu Célestin</w:t>
      </w:r>
      <w:r w:rsidRPr="007F70EC">
        <w:rPr>
          <w:rFonts w:ascii="Times New Roman" w:eastAsia="Times New Roman" w:hAnsi="Times New Roman" w:cs="Times New Roman"/>
          <w:color w:val="0F1115"/>
          <w:kern w:val="0"/>
          <w14:ligatures w14:val="none"/>
        </w:rPr>
        <w:br/>
      </w:r>
      <w:proofErr w:type="spellStart"/>
      <w:r w:rsidRPr="007F70EC">
        <w:rPr>
          <w:rFonts w:ascii="Times New Roman" w:eastAsia="Times New Roman" w:hAnsi="Times New Roman" w:cs="Times New Roman"/>
          <w:color w:val="0F1115"/>
          <w:kern w:val="0"/>
          <w14:ligatures w14:val="none"/>
        </w:rPr>
        <w:t>Institut</w:t>
      </w:r>
      <w:proofErr w:type="spellEnd"/>
      <w:r w:rsidRPr="007F70EC">
        <w:rPr>
          <w:rFonts w:ascii="Times New Roman" w:eastAsia="Times New Roman" w:hAnsi="Times New Roman" w:cs="Times New Roman"/>
          <w:color w:val="0F1115"/>
          <w:kern w:val="0"/>
          <w14:ligatures w14:val="none"/>
        </w:rPr>
        <w:t xml:space="preserve"> Supérieur des Techniques </w:t>
      </w:r>
      <w:proofErr w:type="spellStart"/>
      <w:r w:rsidRPr="007F70EC">
        <w:rPr>
          <w:rFonts w:ascii="Times New Roman" w:eastAsia="Times New Roman" w:hAnsi="Times New Roman" w:cs="Times New Roman"/>
          <w:color w:val="0F1115"/>
          <w:kern w:val="0"/>
          <w14:ligatures w14:val="none"/>
        </w:rPr>
        <w:t>Médicales</w:t>
      </w:r>
      <w:proofErr w:type="spellEnd"/>
      <w:r w:rsidRPr="007F70EC">
        <w:rPr>
          <w:rFonts w:ascii="Times New Roman" w:eastAsia="Times New Roman" w:hAnsi="Times New Roman" w:cs="Times New Roman"/>
          <w:color w:val="0F1115"/>
          <w:kern w:val="0"/>
          <w14:ligatures w14:val="none"/>
        </w:rPr>
        <w:t xml:space="preserve"> (ISTM)</w:t>
      </w:r>
      <w:r w:rsidRPr="007F70EC">
        <w:rPr>
          <w:rFonts w:ascii="Times New Roman" w:eastAsia="Times New Roman" w:hAnsi="Times New Roman" w:cs="Times New Roman"/>
          <w:color w:val="0F1115"/>
          <w:kern w:val="0"/>
          <w14:ligatures w14:val="none"/>
        </w:rPr>
        <w:br/>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Democratic Republic of Congo</w:t>
      </w:r>
      <w:r w:rsidRPr="007F70EC">
        <w:rPr>
          <w:rFonts w:ascii="Times New Roman" w:eastAsia="Times New Roman" w:hAnsi="Times New Roman" w:cs="Times New Roman"/>
          <w:color w:val="0F1115"/>
          <w:kern w:val="0"/>
          <w14:ligatures w14:val="none"/>
        </w:rPr>
        <w:br/>
        <w:t>Email: istm_mbka@gmail.com</w:t>
      </w:r>
    </w:p>
    <w:p w14:paraId="357CE947"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Conflict of Interest Statement:</w:t>
      </w:r>
      <w:r w:rsidRPr="007F70EC">
        <w:rPr>
          <w:rFonts w:ascii="Times New Roman" w:eastAsia="Times New Roman" w:hAnsi="Times New Roman" w:cs="Times New Roman"/>
          <w:color w:val="0F1115"/>
          <w:kern w:val="0"/>
          <w14:ligatures w14:val="none"/>
        </w:rPr>
        <w:t> The author declares no conflict of interest.</w:t>
      </w:r>
    </w:p>
    <w:p w14:paraId="140E0ABC" w14:textId="77777777" w:rsidR="00872431" w:rsidRPr="007F70EC" w:rsidRDefault="00872431" w:rsidP="00872431">
      <w:pPr>
        <w:shd w:val="clear" w:color="auto" w:fill="FFFFFF"/>
        <w:spacing w:before="240" w:after="240" w:line="420" w:lineRule="atLeast"/>
        <w:rPr>
          <w:rFonts w:ascii="Times New Roman" w:eastAsia="Times New Roman" w:hAnsi="Times New Roman" w:cs="Times New Roman"/>
          <w:color w:val="0F1115"/>
          <w:kern w:val="0"/>
          <w14:ligatures w14:val="none"/>
        </w:rPr>
      </w:pPr>
      <w:r w:rsidRPr="007F70EC">
        <w:rPr>
          <w:rFonts w:ascii="Times New Roman" w:eastAsia="Times New Roman" w:hAnsi="Times New Roman" w:cs="Times New Roman"/>
          <w:b/>
          <w:bCs/>
          <w:color w:val="0F1115"/>
          <w:kern w:val="0"/>
          <w14:ligatures w14:val="none"/>
        </w:rPr>
        <w:t>Acknowledgments:</w:t>
      </w:r>
      <w:r w:rsidRPr="007F70EC">
        <w:rPr>
          <w:rFonts w:ascii="Times New Roman" w:eastAsia="Times New Roman" w:hAnsi="Times New Roman" w:cs="Times New Roman"/>
          <w:color w:val="0F1115"/>
          <w:kern w:val="0"/>
          <w14:ligatures w14:val="none"/>
        </w:rPr>
        <w:t xml:space="preserve"> The author thanks Professor Jean Batiste Nsambi for supervision, Chef de Travaux Pierre Lofandjo Kawe for technical guidance, and all EPI stakeholders in </w:t>
      </w:r>
      <w:proofErr w:type="spellStart"/>
      <w:r w:rsidRPr="007F70EC">
        <w:rPr>
          <w:rFonts w:ascii="Times New Roman" w:eastAsia="Times New Roman" w:hAnsi="Times New Roman" w:cs="Times New Roman"/>
          <w:color w:val="0F1115"/>
          <w:kern w:val="0"/>
          <w14:ligatures w14:val="none"/>
        </w:rPr>
        <w:t>Mbandaka</w:t>
      </w:r>
      <w:proofErr w:type="spellEnd"/>
      <w:r w:rsidRPr="007F70EC">
        <w:rPr>
          <w:rFonts w:ascii="Times New Roman" w:eastAsia="Times New Roman" w:hAnsi="Times New Roman" w:cs="Times New Roman"/>
          <w:color w:val="0F1115"/>
          <w:kern w:val="0"/>
          <w14:ligatures w14:val="none"/>
        </w:rPr>
        <w:t xml:space="preserve"> who participated in this study.</w:t>
      </w:r>
    </w:p>
    <w:p w14:paraId="1B9F64F3" w14:textId="77777777" w:rsidR="00872431" w:rsidRPr="007F70EC" w:rsidRDefault="00872431" w:rsidP="00872431">
      <w:pPr>
        <w:spacing w:after="0" w:line="240" w:lineRule="auto"/>
        <w:rPr>
          <w:rFonts w:ascii="Times New Roman" w:eastAsia="Times New Roman" w:hAnsi="Times New Roman" w:cs="Times New Roman"/>
          <w:kern w:val="0"/>
          <w14:ligatures w14:val="none"/>
        </w:rPr>
      </w:pPr>
    </w:p>
    <w:p w14:paraId="1F30189D" w14:textId="77777777" w:rsidR="00B41904" w:rsidRPr="007F70EC" w:rsidRDefault="00B41904">
      <w:pPr>
        <w:rPr>
          <w:rFonts w:ascii="Times New Roman" w:hAnsi="Times New Roman" w:cs="Times New Roman"/>
        </w:rPr>
      </w:pPr>
    </w:p>
    <w:sectPr w:rsidR="00B41904" w:rsidRPr="007F7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1237"/>
    <w:multiLevelType w:val="multilevel"/>
    <w:tmpl w:val="EE3AD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F0900"/>
    <w:multiLevelType w:val="multilevel"/>
    <w:tmpl w:val="0B12E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AF0E56"/>
    <w:multiLevelType w:val="multilevel"/>
    <w:tmpl w:val="41B6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02D0E"/>
    <w:multiLevelType w:val="multilevel"/>
    <w:tmpl w:val="36B29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8464C2"/>
    <w:multiLevelType w:val="multilevel"/>
    <w:tmpl w:val="8998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0B5810"/>
    <w:multiLevelType w:val="multilevel"/>
    <w:tmpl w:val="523A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596ECF"/>
    <w:multiLevelType w:val="multilevel"/>
    <w:tmpl w:val="90D4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97302"/>
    <w:multiLevelType w:val="multilevel"/>
    <w:tmpl w:val="B8C6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5C5D6E"/>
    <w:multiLevelType w:val="multilevel"/>
    <w:tmpl w:val="4470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020990">
    <w:abstractNumId w:val="3"/>
  </w:num>
  <w:num w:numId="2" w16cid:durableId="1145047537">
    <w:abstractNumId w:val="6"/>
  </w:num>
  <w:num w:numId="3" w16cid:durableId="1131241020">
    <w:abstractNumId w:val="0"/>
  </w:num>
  <w:num w:numId="4" w16cid:durableId="2008433569">
    <w:abstractNumId w:val="8"/>
  </w:num>
  <w:num w:numId="5" w16cid:durableId="1135483336">
    <w:abstractNumId w:val="5"/>
  </w:num>
  <w:num w:numId="6" w16cid:durableId="1993899610">
    <w:abstractNumId w:val="7"/>
  </w:num>
  <w:num w:numId="7" w16cid:durableId="734815980">
    <w:abstractNumId w:val="1"/>
  </w:num>
  <w:num w:numId="8" w16cid:durableId="670790500">
    <w:abstractNumId w:val="4"/>
  </w:num>
  <w:num w:numId="9" w16cid:durableId="2046522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31"/>
    <w:rsid w:val="002C4B73"/>
    <w:rsid w:val="003F70DD"/>
    <w:rsid w:val="007F70EC"/>
    <w:rsid w:val="00872431"/>
    <w:rsid w:val="008F6EA0"/>
    <w:rsid w:val="009B4868"/>
    <w:rsid w:val="00AC0C13"/>
    <w:rsid w:val="00B4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46FD8"/>
  <w15:chartTrackingRefBased/>
  <w15:docId w15:val="{96FC7E14-038D-1A45-968F-0B41A30D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2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2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4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4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4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4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2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2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431"/>
    <w:rPr>
      <w:rFonts w:eastAsiaTheme="majorEastAsia" w:cstheme="majorBidi"/>
      <w:color w:val="272727" w:themeColor="text1" w:themeTint="D8"/>
    </w:rPr>
  </w:style>
  <w:style w:type="paragraph" w:styleId="Title">
    <w:name w:val="Title"/>
    <w:basedOn w:val="Normal"/>
    <w:next w:val="Normal"/>
    <w:link w:val="TitleChar"/>
    <w:uiPriority w:val="10"/>
    <w:qFormat/>
    <w:rsid w:val="00872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4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431"/>
    <w:pPr>
      <w:spacing w:before="160"/>
      <w:jc w:val="center"/>
    </w:pPr>
    <w:rPr>
      <w:i/>
      <w:iCs/>
      <w:color w:val="404040" w:themeColor="text1" w:themeTint="BF"/>
    </w:rPr>
  </w:style>
  <w:style w:type="character" w:customStyle="1" w:styleId="QuoteChar">
    <w:name w:val="Quote Char"/>
    <w:basedOn w:val="DefaultParagraphFont"/>
    <w:link w:val="Quote"/>
    <w:uiPriority w:val="29"/>
    <w:rsid w:val="00872431"/>
    <w:rPr>
      <w:i/>
      <w:iCs/>
      <w:color w:val="404040" w:themeColor="text1" w:themeTint="BF"/>
    </w:rPr>
  </w:style>
  <w:style w:type="paragraph" w:styleId="ListParagraph">
    <w:name w:val="List Paragraph"/>
    <w:basedOn w:val="Normal"/>
    <w:uiPriority w:val="34"/>
    <w:qFormat/>
    <w:rsid w:val="00872431"/>
    <w:pPr>
      <w:ind w:left="720"/>
      <w:contextualSpacing/>
    </w:pPr>
  </w:style>
  <w:style w:type="character" w:styleId="IntenseEmphasis">
    <w:name w:val="Intense Emphasis"/>
    <w:basedOn w:val="DefaultParagraphFont"/>
    <w:uiPriority w:val="21"/>
    <w:qFormat/>
    <w:rsid w:val="00872431"/>
    <w:rPr>
      <w:i/>
      <w:iCs/>
      <w:color w:val="0F4761" w:themeColor="accent1" w:themeShade="BF"/>
    </w:rPr>
  </w:style>
  <w:style w:type="paragraph" w:styleId="IntenseQuote">
    <w:name w:val="Intense Quote"/>
    <w:basedOn w:val="Normal"/>
    <w:next w:val="Normal"/>
    <w:link w:val="IntenseQuoteChar"/>
    <w:uiPriority w:val="30"/>
    <w:qFormat/>
    <w:rsid w:val="00872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431"/>
    <w:rPr>
      <w:i/>
      <w:iCs/>
      <w:color w:val="0F4761" w:themeColor="accent1" w:themeShade="BF"/>
    </w:rPr>
  </w:style>
  <w:style w:type="character" w:styleId="IntenseReference">
    <w:name w:val="Intense Reference"/>
    <w:basedOn w:val="DefaultParagraphFont"/>
    <w:uiPriority w:val="32"/>
    <w:qFormat/>
    <w:rsid w:val="00872431"/>
    <w:rPr>
      <w:b/>
      <w:bCs/>
      <w:smallCaps/>
      <w:color w:val="0F4761" w:themeColor="accent1" w:themeShade="BF"/>
      <w:spacing w:val="5"/>
    </w:rPr>
  </w:style>
  <w:style w:type="paragraph" w:customStyle="1" w:styleId="ds-markdown-paragraph">
    <w:name w:val="ds-markdown-paragraph"/>
    <w:basedOn w:val="Normal"/>
    <w:rsid w:val="0087243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72431"/>
    <w:rPr>
      <w:b/>
      <w:bCs/>
    </w:rPr>
  </w:style>
  <w:style w:type="character" w:styleId="Emphasis">
    <w:name w:val="Emphasis"/>
    <w:basedOn w:val="DefaultParagraphFont"/>
    <w:uiPriority w:val="20"/>
    <w:qFormat/>
    <w:rsid w:val="008724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Pages>
  <Words>3306</Words>
  <Characters>18850</Characters>
  <Application>Microsoft Office Word</Application>
  <DocSecurity>0</DocSecurity>
  <Lines>157</Lines>
  <Paragraphs>44</Paragraphs>
  <ScaleCrop>false</ScaleCrop>
  <Company/>
  <LinksUpToDate>false</LinksUpToDate>
  <CharactersWithSpaces>22112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2026-05-20T15:22:00Z</dcterms:created>
  <dcterms:modified xsi:type="dcterms:W3CDTF">2026-05-20T15:28:00Z</dcterms:modified>
</cp:coreProperties>
</file>