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FFEAB" w14:textId="77777777" w:rsidR="00B76A28" w:rsidRPr="00B178A2" w:rsidRDefault="00B76A28" w:rsidP="00B76A28">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B178A2">
        <w:rPr>
          <w:rFonts w:ascii="Times New Roman" w:eastAsia="Times New Roman" w:hAnsi="Times New Roman" w:cs="Times New Roman"/>
          <w:b/>
          <w:bCs/>
          <w:color w:val="0F1115"/>
          <w:kern w:val="36"/>
          <w:sz w:val="36"/>
          <w:szCs w:val="36"/>
          <w14:ligatures w14:val="none"/>
        </w:rPr>
        <w:t xml:space="preserve">Influence of Water Insalubrity on Intestinal Parasitic Colonization Among the Riverside Population of </w:t>
      </w:r>
      <w:proofErr w:type="spellStart"/>
      <w:r w:rsidRPr="00B178A2">
        <w:rPr>
          <w:rFonts w:ascii="Times New Roman" w:eastAsia="Times New Roman" w:hAnsi="Times New Roman" w:cs="Times New Roman"/>
          <w:b/>
          <w:bCs/>
          <w:color w:val="0F1115"/>
          <w:kern w:val="36"/>
          <w:sz w:val="36"/>
          <w:szCs w:val="36"/>
          <w14:ligatures w14:val="none"/>
        </w:rPr>
        <w:t>Bolenge</w:t>
      </w:r>
      <w:proofErr w:type="spellEnd"/>
      <w:r w:rsidRPr="00B178A2">
        <w:rPr>
          <w:rFonts w:ascii="Times New Roman" w:eastAsia="Times New Roman" w:hAnsi="Times New Roman" w:cs="Times New Roman"/>
          <w:b/>
          <w:bCs/>
          <w:color w:val="0F1115"/>
          <w:kern w:val="36"/>
          <w:sz w:val="36"/>
          <w:szCs w:val="36"/>
          <w14:ligatures w14:val="none"/>
        </w:rPr>
        <w:t xml:space="preserve"> Health Zone, Democratic Republic of </w:t>
      </w:r>
      <w:proofErr w:type="gramStart"/>
      <w:r w:rsidRPr="00B178A2">
        <w:rPr>
          <w:rFonts w:ascii="Times New Roman" w:eastAsia="Times New Roman" w:hAnsi="Times New Roman" w:cs="Times New Roman"/>
          <w:b/>
          <w:bCs/>
          <w:color w:val="0F1115"/>
          <w:kern w:val="36"/>
          <w:sz w:val="36"/>
          <w:szCs w:val="36"/>
          <w14:ligatures w14:val="none"/>
        </w:rPr>
        <w:t>the Congo</w:t>
      </w:r>
      <w:proofErr w:type="gramEnd"/>
      <w:r w:rsidRPr="00B178A2">
        <w:rPr>
          <w:rFonts w:ascii="Times New Roman" w:eastAsia="Times New Roman" w:hAnsi="Times New Roman" w:cs="Times New Roman"/>
          <w:b/>
          <w:bCs/>
          <w:color w:val="0F1115"/>
          <w:kern w:val="36"/>
          <w:sz w:val="36"/>
          <w:szCs w:val="36"/>
          <w14:ligatures w14:val="none"/>
        </w:rPr>
        <w:t>: A Cross-Sectional Study (2024)</w:t>
      </w:r>
    </w:p>
    <w:p w14:paraId="61E9BDC9"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Author:</w:t>
      </w:r>
      <w:r w:rsidRPr="00B178A2">
        <w:rPr>
          <w:rFonts w:ascii="Times New Roman" w:eastAsia="Times New Roman" w:hAnsi="Times New Roman" w:cs="Times New Roman"/>
          <w:color w:val="0F1115"/>
          <w:kern w:val="0"/>
          <w14:ligatures w14:val="none"/>
        </w:rPr>
        <w:t xml:space="preserve"> Ndombe </w:t>
      </w:r>
      <w:proofErr w:type="spellStart"/>
      <w:r w:rsidRPr="00B178A2">
        <w:rPr>
          <w:rFonts w:ascii="Times New Roman" w:eastAsia="Times New Roman" w:hAnsi="Times New Roman" w:cs="Times New Roman"/>
          <w:color w:val="0F1115"/>
          <w:kern w:val="0"/>
          <w14:ligatures w14:val="none"/>
        </w:rPr>
        <w:t>Mukaba</w:t>
      </w:r>
      <w:proofErr w:type="spellEnd"/>
      <w:r w:rsidRPr="00B178A2">
        <w:rPr>
          <w:rFonts w:ascii="Times New Roman" w:eastAsia="Times New Roman" w:hAnsi="Times New Roman" w:cs="Times New Roman"/>
          <w:color w:val="0F1115"/>
          <w:kern w:val="0"/>
          <w14:ligatures w14:val="none"/>
        </w:rPr>
        <w:t xml:space="preserve"> Antoinette</w:t>
      </w:r>
      <w:r w:rsidRPr="00B178A2">
        <w:rPr>
          <w:rFonts w:ascii="Times New Roman" w:eastAsia="Times New Roman" w:hAnsi="Times New Roman" w:cs="Times New Roman"/>
          <w:color w:val="0F1115"/>
          <w:kern w:val="0"/>
          <w14:ligatures w14:val="none"/>
        </w:rPr>
        <w:br/>
      </w:r>
      <w:r w:rsidRPr="00B178A2">
        <w:rPr>
          <w:rFonts w:ascii="Times New Roman" w:eastAsia="Times New Roman" w:hAnsi="Times New Roman" w:cs="Times New Roman"/>
          <w:b/>
          <w:bCs/>
          <w:color w:val="0F1115"/>
          <w:kern w:val="0"/>
          <w14:ligatures w14:val="none"/>
        </w:rPr>
        <w:t>Affiliation:</w:t>
      </w:r>
      <w:r w:rsidRPr="00B178A2">
        <w:rPr>
          <w:rFonts w:ascii="Times New Roman" w:eastAsia="Times New Roman" w:hAnsi="Times New Roman" w:cs="Times New Roman"/>
          <w:color w:val="0F1115"/>
          <w:kern w:val="0"/>
          <w14:ligatures w14:val="none"/>
        </w:rPr>
        <w:t> </w:t>
      </w:r>
      <w:proofErr w:type="spellStart"/>
      <w:r w:rsidRPr="00B178A2">
        <w:rPr>
          <w:rFonts w:ascii="Times New Roman" w:eastAsia="Times New Roman" w:hAnsi="Times New Roman" w:cs="Times New Roman"/>
          <w:color w:val="0F1115"/>
          <w:kern w:val="0"/>
          <w14:ligatures w14:val="none"/>
        </w:rPr>
        <w:t>Institut</w:t>
      </w:r>
      <w:proofErr w:type="spellEnd"/>
      <w:r w:rsidRPr="00B178A2">
        <w:rPr>
          <w:rFonts w:ascii="Times New Roman" w:eastAsia="Times New Roman" w:hAnsi="Times New Roman" w:cs="Times New Roman"/>
          <w:color w:val="0F1115"/>
          <w:kern w:val="0"/>
          <w14:ligatures w14:val="none"/>
        </w:rPr>
        <w:t xml:space="preserve"> Supérieur des Techniques </w:t>
      </w:r>
      <w:proofErr w:type="spellStart"/>
      <w:r w:rsidRPr="00B178A2">
        <w:rPr>
          <w:rFonts w:ascii="Times New Roman" w:eastAsia="Times New Roman" w:hAnsi="Times New Roman" w:cs="Times New Roman"/>
          <w:color w:val="0F1115"/>
          <w:kern w:val="0"/>
          <w14:ligatures w14:val="none"/>
        </w:rPr>
        <w:t>Médicales</w:t>
      </w:r>
      <w:proofErr w:type="spellEnd"/>
      <w:r w:rsidRPr="00B178A2">
        <w:rPr>
          <w:rFonts w:ascii="Times New Roman" w:eastAsia="Times New Roman" w:hAnsi="Times New Roman" w:cs="Times New Roman"/>
          <w:color w:val="0F1115"/>
          <w:kern w:val="0"/>
          <w14:ligatures w14:val="none"/>
        </w:rPr>
        <w:t xml:space="preserve"> (ISTM), </w:t>
      </w:r>
      <w:proofErr w:type="spellStart"/>
      <w:r w:rsidRPr="00B178A2">
        <w:rPr>
          <w:rFonts w:ascii="Times New Roman" w:eastAsia="Times New Roman" w:hAnsi="Times New Roman" w:cs="Times New Roman"/>
          <w:color w:val="0F1115"/>
          <w:kern w:val="0"/>
          <w14:ligatures w14:val="none"/>
        </w:rPr>
        <w:t>Mbandaka</w:t>
      </w:r>
      <w:proofErr w:type="spellEnd"/>
      <w:r w:rsidRPr="00B178A2">
        <w:rPr>
          <w:rFonts w:ascii="Times New Roman" w:eastAsia="Times New Roman" w:hAnsi="Times New Roman" w:cs="Times New Roman"/>
          <w:color w:val="0F1115"/>
          <w:kern w:val="0"/>
          <w14:ligatures w14:val="none"/>
        </w:rPr>
        <w:t>, Democratic Republic of the Congo</w:t>
      </w:r>
      <w:r w:rsidRPr="00B178A2">
        <w:rPr>
          <w:rFonts w:ascii="Times New Roman" w:eastAsia="Times New Roman" w:hAnsi="Times New Roman" w:cs="Times New Roman"/>
          <w:color w:val="0F1115"/>
          <w:kern w:val="0"/>
          <w14:ligatures w14:val="none"/>
        </w:rPr>
        <w:br/>
      </w:r>
      <w:r w:rsidRPr="00B178A2">
        <w:rPr>
          <w:rFonts w:ascii="Times New Roman" w:eastAsia="Times New Roman" w:hAnsi="Times New Roman" w:cs="Times New Roman"/>
          <w:b/>
          <w:bCs/>
          <w:color w:val="0F1115"/>
          <w:kern w:val="0"/>
          <w14:ligatures w14:val="none"/>
        </w:rPr>
        <w:t>Program:</w:t>
      </w:r>
      <w:r w:rsidRPr="00B178A2">
        <w:rPr>
          <w:rFonts w:ascii="Times New Roman" w:eastAsia="Times New Roman" w:hAnsi="Times New Roman" w:cs="Times New Roman"/>
          <w:color w:val="0F1115"/>
          <w:kern w:val="0"/>
          <w14:ligatures w14:val="none"/>
        </w:rPr>
        <w:t> Bachelor in Community Health – Epidemiology Option</w:t>
      </w:r>
      <w:r w:rsidRPr="00B178A2">
        <w:rPr>
          <w:rFonts w:ascii="Times New Roman" w:eastAsia="Times New Roman" w:hAnsi="Times New Roman" w:cs="Times New Roman"/>
          <w:color w:val="0F1115"/>
          <w:kern w:val="0"/>
          <w14:ligatures w14:val="none"/>
        </w:rPr>
        <w:br/>
      </w:r>
      <w:r w:rsidRPr="00B178A2">
        <w:rPr>
          <w:rFonts w:ascii="Times New Roman" w:eastAsia="Times New Roman" w:hAnsi="Times New Roman" w:cs="Times New Roman"/>
          <w:b/>
          <w:bCs/>
          <w:color w:val="0F1115"/>
          <w:kern w:val="0"/>
          <w14:ligatures w14:val="none"/>
        </w:rPr>
        <w:t>Director:</w:t>
      </w:r>
      <w:r w:rsidRPr="00B178A2">
        <w:rPr>
          <w:rFonts w:ascii="Times New Roman" w:eastAsia="Times New Roman" w:hAnsi="Times New Roman" w:cs="Times New Roman"/>
          <w:color w:val="0F1115"/>
          <w:kern w:val="0"/>
          <w14:ligatures w14:val="none"/>
        </w:rPr>
        <w:t> Professor Ebengho Bokelo Max, MD, MPH, PhD</w:t>
      </w:r>
      <w:r w:rsidRPr="00B178A2">
        <w:rPr>
          <w:rFonts w:ascii="Times New Roman" w:eastAsia="Times New Roman" w:hAnsi="Times New Roman" w:cs="Times New Roman"/>
          <w:color w:val="0F1115"/>
          <w:kern w:val="0"/>
          <w14:ligatures w14:val="none"/>
        </w:rPr>
        <w:br/>
      </w:r>
      <w:r w:rsidRPr="00B178A2">
        <w:rPr>
          <w:rFonts w:ascii="Times New Roman" w:eastAsia="Times New Roman" w:hAnsi="Times New Roman" w:cs="Times New Roman"/>
          <w:b/>
          <w:bCs/>
          <w:color w:val="0F1115"/>
          <w:kern w:val="0"/>
          <w14:ligatures w14:val="none"/>
        </w:rPr>
        <w:t>Supervisor:</w:t>
      </w:r>
      <w:r w:rsidRPr="00B178A2">
        <w:rPr>
          <w:rFonts w:ascii="Times New Roman" w:eastAsia="Times New Roman" w:hAnsi="Times New Roman" w:cs="Times New Roman"/>
          <w:color w:val="0F1115"/>
          <w:kern w:val="0"/>
          <w14:ligatures w14:val="none"/>
        </w:rPr>
        <w:t xml:space="preserve"> Chef de Travaux </w:t>
      </w:r>
      <w:proofErr w:type="spellStart"/>
      <w:r w:rsidRPr="00B178A2">
        <w:rPr>
          <w:rFonts w:ascii="Times New Roman" w:eastAsia="Times New Roman" w:hAnsi="Times New Roman" w:cs="Times New Roman"/>
          <w:color w:val="0F1115"/>
          <w:kern w:val="0"/>
          <w14:ligatures w14:val="none"/>
        </w:rPr>
        <w:t>Lofandjo</w:t>
      </w:r>
      <w:proofErr w:type="spellEnd"/>
      <w:r w:rsidRPr="00B178A2">
        <w:rPr>
          <w:rFonts w:ascii="Times New Roman" w:eastAsia="Times New Roman" w:hAnsi="Times New Roman" w:cs="Times New Roman"/>
          <w:color w:val="0F1115"/>
          <w:kern w:val="0"/>
          <w14:ligatures w14:val="none"/>
        </w:rPr>
        <w:t xml:space="preserve"> Kawe Pierre</w:t>
      </w:r>
      <w:r w:rsidRPr="00B178A2">
        <w:rPr>
          <w:rFonts w:ascii="Times New Roman" w:eastAsia="Times New Roman" w:hAnsi="Times New Roman" w:cs="Times New Roman"/>
          <w:color w:val="0F1115"/>
          <w:kern w:val="0"/>
          <w14:ligatures w14:val="none"/>
        </w:rPr>
        <w:br/>
      </w:r>
      <w:r w:rsidRPr="00B178A2">
        <w:rPr>
          <w:rFonts w:ascii="Times New Roman" w:eastAsia="Times New Roman" w:hAnsi="Times New Roman" w:cs="Times New Roman"/>
          <w:b/>
          <w:bCs/>
          <w:color w:val="0F1115"/>
          <w:kern w:val="0"/>
          <w14:ligatures w14:val="none"/>
        </w:rPr>
        <w:t>Academic Year:</w:t>
      </w:r>
      <w:r w:rsidRPr="00B178A2">
        <w:rPr>
          <w:rFonts w:ascii="Times New Roman" w:eastAsia="Times New Roman" w:hAnsi="Times New Roman" w:cs="Times New Roman"/>
          <w:color w:val="0F1115"/>
          <w:kern w:val="0"/>
          <w14:ligatures w14:val="none"/>
        </w:rPr>
        <w:t> 2024–2025</w:t>
      </w:r>
    </w:p>
    <w:p w14:paraId="51A4E431" w14:textId="77777777" w:rsidR="00B76A28" w:rsidRPr="00B178A2" w:rsidRDefault="00B76A28" w:rsidP="00B76A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178A2">
        <w:rPr>
          <w:rFonts w:ascii="Times New Roman" w:eastAsia="Times New Roman" w:hAnsi="Times New Roman" w:cs="Times New Roman"/>
          <w:b/>
          <w:bCs/>
          <w:color w:val="0F1115"/>
          <w:kern w:val="0"/>
          <w:sz w:val="33"/>
          <w:szCs w:val="33"/>
          <w14:ligatures w14:val="none"/>
        </w:rPr>
        <w:t>Abstract</w:t>
      </w:r>
    </w:p>
    <w:p w14:paraId="3DD31586"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Introduction:</w:t>
      </w:r>
      <w:r w:rsidRPr="00B178A2">
        <w:rPr>
          <w:rFonts w:ascii="Times New Roman" w:eastAsia="Times New Roman" w:hAnsi="Times New Roman" w:cs="Times New Roman"/>
          <w:color w:val="0F1115"/>
          <w:kern w:val="0"/>
          <w14:ligatures w14:val="none"/>
        </w:rPr>
        <w:t xml:space="preserve"> Access to safe drinking water and adequate sanitation remains a major public health challenge in developing countries. In the Democratic Republic of the Congo (DRC), many riverside communities rely on untreated surface water, exposing them to waterborne diseases, including intestinal parasites. This study aimed to investigate the influence of water insalubrity on intestinal parasitic colonization among the riverside population of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w:t>
      </w:r>
    </w:p>
    <w:p w14:paraId="65ED9AD5"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Methods:</w:t>
      </w:r>
      <w:r w:rsidRPr="00B178A2">
        <w:rPr>
          <w:rFonts w:ascii="Times New Roman" w:eastAsia="Times New Roman" w:hAnsi="Times New Roman" w:cs="Times New Roman"/>
          <w:color w:val="0F1115"/>
          <w:kern w:val="0"/>
          <w14:ligatures w14:val="none"/>
        </w:rPr>
        <w:t xml:space="preserve"> A cross-sectional analytical study was conducted from October to December 2024 among 384 residents of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Équateur Province, DRC. Participants were selected using stratified cluster random sampling. Data were collected using structured questionnaires, stool samples analyzed using direct smear and Kato-Katz concentration techniques, and water samples analyzed for fecal coliforms using membrane filtration. Chi-square tests were used to examine associations between water sources and parasitic infection (p &lt; 0.05).</w:t>
      </w:r>
    </w:p>
    <w:p w14:paraId="6759BF75"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lastRenderedPageBreak/>
        <w:t>Results:</w:t>
      </w:r>
      <w:r w:rsidRPr="00B178A2">
        <w:rPr>
          <w:rFonts w:ascii="Times New Roman" w:eastAsia="Times New Roman" w:hAnsi="Times New Roman" w:cs="Times New Roman"/>
          <w:color w:val="0F1115"/>
          <w:kern w:val="0"/>
          <w14:ligatures w14:val="none"/>
        </w:rPr>
        <w:t> The sample was predominantly female (56.0%), aged 25–34 years (28.1%</w:t>
      </w:r>
      <w:proofErr w:type="gramStart"/>
      <w:r w:rsidRPr="00B178A2">
        <w:rPr>
          <w:rFonts w:ascii="Times New Roman" w:eastAsia="Times New Roman" w:hAnsi="Times New Roman" w:cs="Times New Roman"/>
          <w:color w:val="0F1115"/>
          <w:kern w:val="0"/>
          <w14:ligatures w14:val="none"/>
        </w:rPr>
        <w:t>), and</w:t>
      </w:r>
      <w:proofErr w:type="gramEnd"/>
      <w:r w:rsidRPr="00B178A2">
        <w:rPr>
          <w:rFonts w:ascii="Times New Roman" w:eastAsia="Times New Roman" w:hAnsi="Times New Roman" w:cs="Times New Roman"/>
          <w:color w:val="0F1115"/>
          <w:kern w:val="0"/>
          <w14:ligatures w14:val="none"/>
        </w:rPr>
        <w:t xml:space="preserve"> had primary education (34.1%). The majority used unprotected water sources (river/unprotected wells: 62.0%), and 70.8% did not treat water before consumption. Latrines were absent in 35.9% of households, and open defecation was practiced by 35.9%. The overall prevalence of intestinal parasites was 60.1%. The most common parasites were </w:t>
      </w:r>
      <w:r w:rsidRPr="00B178A2">
        <w:rPr>
          <w:rFonts w:ascii="Times New Roman" w:eastAsia="Times New Roman" w:hAnsi="Times New Roman" w:cs="Times New Roman"/>
          <w:i/>
          <w:iCs/>
          <w:color w:val="0F1115"/>
          <w:kern w:val="0"/>
          <w14:ligatures w14:val="none"/>
        </w:rPr>
        <w:t>Ascaris lumbricoides</w:t>
      </w:r>
      <w:r w:rsidRPr="00B178A2">
        <w:rPr>
          <w:rFonts w:ascii="Times New Roman" w:eastAsia="Times New Roman" w:hAnsi="Times New Roman" w:cs="Times New Roman"/>
          <w:color w:val="0F1115"/>
          <w:kern w:val="0"/>
          <w14:ligatures w14:val="none"/>
        </w:rPr>
        <w:t> (28.1%), </w:t>
      </w:r>
      <w:r w:rsidRPr="00B178A2">
        <w:rPr>
          <w:rFonts w:ascii="Times New Roman" w:eastAsia="Times New Roman" w:hAnsi="Times New Roman" w:cs="Times New Roman"/>
          <w:i/>
          <w:iCs/>
          <w:color w:val="0F1115"/>
          <w:kern w:val="0"/>
          <w14:ligatures w14:val="none"/>
        </w:rPr>
        <w:t>Giardia intestinalis</w:t>
      </w:r>
      <w:r w:rsidRPr="00B178A2">
        <w:rPr>
          <w:rFonts w:ascii="Times New Roman" w:eastAsia="Times New Roman" w:hAnsi="Times New Roman" w:cs="Times New Roman"/>
          <w:color w:val="0F1115"/>
          <w:kern w:val="0"/>
          <w14:ligatures w14:val="none"/>
        </w:rPr>
        <w:t> (21.9%), and </w:t>
      </w:r>
      <w:r w:rsidRPr="00B178A2">
        <w:rPr>
          <w:rFonts w:ascii="Times New Roman" w:eastAsia="Times New Roman" w:hAnsi="Times New Roman" w:cs="Times New Roman"/>
          <w:i/>
          <w:iCs/>
          <w:color w:val="0F1115"/>
          <w:kern w:val="0"/>
          <w14:ligatures w14:val="none"/>
        </w:rPr>
        <w:t xml:space="preserve">Trichuris </w:t>
      </w:r>
      <w:proofErr w:type="spellStart"/>
      <w:r w:rsidRPr="00B178A2">
        <w:rPr>
          <w:rFonts w:ascii="Times New Roman" w:eastAsia="Times New Roman" w:hAnsi="Times New Roman" w:cs="Times New Roman"/>
          <w:i/>
          <w:iCs/>
          <w:color w:val="0F1115"/>
          <w:kern w:val="0"/>
          <w14:ligatures w14:val="none"/>
        </w:rPr>
        <w:t>trichiura</w:t>
      </w:r>
      <w:proofErr w:type="spellEnd"/>
      <w:r w:rsidRPr="00B178A2">
        <w:rPr>
          <w:rFonts w:ascii="Times New Roman" w:eastAsia="Times New Roman" w:hAnsi="Times New Roman" w:cs="Times New Roman"/>
          <w:color w:val="0F1115"/>
          <w:kern w:val="0"/>
          <w14:ligatures w14:val="none"/>
        </w:rPr>
        <w:t> (16.9%). Water from the river/unprotected wells showed the highest contamination with fecal coliforms. A strong, significant association was found between water source and parasitic infection (p &lt; 0.001). The prevalence was highest among river/unprotected well users (73.1%), compared to protected wells (55.6%) and forages/tap water (38.5%). Only 41.1% of respondents knew the link between unsafe water and disease.</w:t>
      </w:r>
    </w:p>
    <w:p w14:paraId="7912E2C9"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Conclusion:</w:t>
      </w:r>
      <w:r w:rsidRPr="00B178A2">
        <w:rPr>
          <w:rFonts w:ascii="Times New Roman" w:eastAsia="Times New Roman" w:hAnsi="Times New Roman" w:cs="Times New Roman"/>
          <w:color w:val="0F1115"/>
          <w:kern w:val="0"/>
          <w14:ligatures w14:val="none"/>
        </w:rPr>
        <w:t xml:space="preserve"> Intestinal parasitic colonization is highly prevalent among the riverside population of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and is strongly associated with consumption of untreated water from unprotected sources. The lack of water treatment, poor sanitation practices, and low awareness of water-related health risks are major contributing factors. Urgent interventions are needed: provision of safe water infrastructure, community hygiene education, promotion of household water treatment, and mass deworming campaigns.</w:t>
      </w:r>
    </w:p>
    <w:p w14:paraId="64933FD0"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Keywords:</w:t>
      </w:r>
      <w:r w:rsidRPr="00B178A2">
        <w:rPr>
          <w:rFonts w:ascii="Times New Roman" w:eastAsia="Times New Roman" w:hAnsi="Times New Roman" w:cs="Times New Roman"/>
          <w:color w:val="0F1115"/>
          <w:kern w:val="0"/>
          <w14:ligatures w14:val="none"/>
        </w:rPr>
        <w:t xml:space="preserve"> Intestinal parasites, water quality, water insalubrity, riverside population,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Democratic Republic of the Congo</w:t>
      </w:r>
    </w:p>
    <w:p w14:paraId="3569D5E1" w14:textId="77777777" w:rsidR="00B76A28" w:rsidRPr="00B178A2" w:rsidRDefault="00B76A28" w:rsidP="00B76A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178A2">
        <w:rPr>
          <w:rFonts w:ascii="Times New Roman" w:eastAsia="Times New Roman" w:hAnsi="Times New Roman" w:cs="Times New Roman"/>
          <w:b/>
          <w:bCs/>
          <w:color w:val="0F1115"/>
          <w:kern w:val="0"/>
          <w:sz w:val="33"/>
          <w:szCs w:val="33"/>
          <w14:ligatures w14:val="none"/>
        </w:rPr>
        <w:t>1. Introduction</w:t>
      </w:r>
    </w:p>
    <w:p w14:paraId="383EDD73"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1.1. Background</w:t>
      </w:r>
    </w:p>
    <w:p w14:paraId="5EC25BC4"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Access to safe drinking water and adequate sanitation is a fundamental human right and a cornerstone of public health. According to the World Health Organization (WHO, 2023), approximately 2 billion people globally consume water contaminated with fecal matter, leading to an estimated 485,000 diarrheal deaths annually. Waterborne diseases, including intestinal </w:t>
      </w:r>
      <w:r w:rsidRPr="00B178A2">
        <w:rPr>
          <w:rFonts w:ascii="Times New Roman" w:eastAsia="Times New Roman" w:hAnsi="Times New Roman" w:cs="Times New Roman"/>
          <w:color w:val="0F1115"/>
          <w:kern w:val="0"/>
          <w14:ligatures w14:val="none"/>
        </w:rPr>
        <w:lastRenderedPageBreak/>
        <w:t>parasitic infections, cholera, typhoid fever, and dysentery, disproportionately affect low- and middle-income countries, particularly in sub-Saharan Africa.</w:t>
      </w:r>
    </w:p>
    <w:p w14:paraId="614769FC"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Intestinal parasitic infections, caused by protozoa (e.g., </w:t>
      </w:r>
      <w:r w:rsidRPr="00B178A2">
        <w:rPr>
          <w:rFonts w:ascii="Times New Roman" w:eastAsia="Times New Roman" w:hAnsi="Times New Roman" w:cs="Times New Roman"/>
          <w:i/>
          <w:iCs/>
          <w:color w:val="0F1115"/>
          <w:kern w:val="0"/>
          <w14:ligatures w14:val="none"/>
        </w:rPr>
        <w:t>Entamoeba histolytica</w:t>
      </w:r>
      <w:r w:rsidRPr="00B178A2">
        <w:rPr>
          <w:rFonts w:ascii="Times New Roman" w:eastAsia="Times New Roman" w:hAnsi="Times New Roman" w:cs="Times New Roman"/>
          <w:color w:val="0F1115"/>
          <w:kern w:val="0"/>
          <w14:ligatures w14:val="none"/>
        </w:rPr>
        <w:t>, </w:t>
      </w:r>
      <w:r w:rsidRPr="00B178A2">
        <w:rPr>
          <w:rFonts w:ascii="Times New Roman" w:eastAsia="Times New Roman" w:hAnsi="Times New Roman" w:cs="Times New Roman"/>
          <w:i/>
          <w:iCs/>
          <w:color w:val="0F1115"/>
          <w:kern w:val="0"/>
          <w14:ligatures w14:val="none"/>
        </w:rPr>
        <w:t>Giardia lamblia</w:t>
      </w:r>
      <w:r w:rsidRPr="00B178A2">
        <w:rPr>
          <w:rFonts w:ascii="Times New Roman" w:eastAsia="Times New Roman" w:hAnsi="Times New Roman" w:cs="Times New Roman"/>
          <w:color w:val="0F1115"/>
          <w:kern w:val="0"/>
          <w14:ligatures w14:val="none"/>
        </w:rPr>
        <w:t>) and helminths (e.g., </w:t>
      </w:r>
      <w:r w:rsidRPr="00B178A2">
        <w:rPr>
          <w:rFonts w:ascii="Times New Roman" w:eastAsia="Times New Roman" w:hAnsi="Times New Roman" w:cs="Times New Roman"/>
          <w:i/>
          <w:iCs/>
          <w:color w:val="0F1115"/>
          <w:kern w:val="0"/>
          <w14:ligatures w14:val="none"/>
        </w:rPr>
        <w:t>Ascaris lumbricoides</w:t>
      </w:r>
      <w:r w:rsidRPr="00B178A2">
        <w:rPr>
          <w:rFonts w:ascii="Times New Roman" w:eastAsia="Times New Roman" w:hAnsi="Times New Roman" w:cs="Times New Roman"/>
          <w:color w:val="0F1115"/>
          <w:kern w:val="0"/>
          <w14:ligatures w14:val="none"/>
        </w:rPr>
        <w:t>, </w:t>
      </w:r>
      <w:r w:rsidRPr="00B178A2">
        <w:rPr>
          <w:rFonts w:ascii="Times New Roman" w:eastAsia="Times New Roman" w:hAnsi="Times New Roman" w:cs="Times New Roman"/>
          <w:i/>
          <w:iCs/>
          <w:color w:val="0F1115"/>
          <w:kern w:val="0"/>
          <w14:ligatures w14:val="none"/>
        </w:rPr>
        <w:t xml:space="preserve">Trichuris </w:t>
      </w:r>
      <w:proofErr w:type="spellStart"/>
      <w:r w:rsidRPr="00B178A2">
        <w:rPr>
          <w:rFonts w:ascii="Times New Roman" w:eastAsia="Times New Roman" w:hAnsi="Times New Roman" w:cs="Times New Roman"/>
          <w:i/>
          <w:iCs/>
          <w:color w:val="0F1115"/>
          <w:kern w:val="0"/>
          <w14:ligatures w14:val="none"/>
        </w:rPr>
        <w:t>trichiura</w:t>
      </w:r>
      <w:proofErr w:type="spellEnd"/>
      <w:r w:rsidRPr="00B178A2">
        <w:rPr>
          <w:rFonts w:ascii="Times New Roman" w:eastAsia="Times New Roman" w:hAnsi="Times New Roman" w:cs="Times New Roman"/>
          <w:color w:val="0F1115"/>
          <w:kern w:val="0"/>
          <w14:ligatures w14:val="none"/>
        </w:rPr>
        <w:t>, hookworms), are major public health problems in developing countries. These infections affect all age groups but are particularly devastating in children, causing malnutrition, anemia, growth retardation, cognitive impairment, and reduced productivity in adults (Tadesse et al., 2018).</w:t>
      </w:r>
    </w:p>
    <w:p w14:paraId="0BB9C516"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In the Democratic Republic of the Congo (DRC), the situation is alarming. A large proportion of the population consumes water from unsecured sources such as traditional wells, rivers, and lakes. According to the National Sanitation Program (2022), more than 60% of rural households lack access to safe drinking water, and nearly 40% do not have hygienic latrines. The consequences are reflected in the high prevalence of diarrheal diseases and intestinal parasitic infections reported in health facilities.</w:t>
      </w:r>
    </w:p>
    <w:p w14:paraId="70CA9CFA"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1.2. Problem Statement</w:t>
      </w:r>
    </w:p>
    <w:p w14:paraId="27F527AC"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located on the outskirts of </w:t>
      </w:r>
      <w:proofErr w:type="spellStart"/>
      <w:r w:rsidRPr="00B178A2">
        <w:rPr>
          <w:rFonts w:ascii="Times New Roman" w:eastAsia="Times New Roman" w:hAnsi="Times New Roman" w:cs="Times New Roman"/>
          <w:color w:val="0F1115"/>
          <w:kern w:val="0"/>
          <w14:ligatures w14:val="none"/>
        </w:rPr>
        <w:t>Mbandaka</w:t>
      </w:r>
      <w:proofErr w:type="spellEnd"/>
      <w:r w:rsidRPr="00B178A2">
        <w:rPr>
          <w:rFonts w:ascii="Times New Roman" w:eastAsia="Times New Roman" w:hAnsi="Times New Roman" w:cs="Times New Roman"/>
          <w:color w:val="0F1115"/>
          <w:kern w:val="0"/>
          <w14:ligatures w14:val="none"/>
        </w:rPr>
        <w:t xml:space="preserve"> in Équateur Province, is a riverside community where </w:t>
      </w:r>
      <w:proofErr w:type="gramStart"/>
      <w:r w:rsidRPr="00B178A2">
        <w:rPr>
          <w:rFonts w:ascii="Times New Roman" w:eastAsia="Times New Roman" w:hAnsi="Times New Roman" w:cs="Times New Roman"/>
          <w:color w:val="0F1115"/>
          <w:kern w:val="0"/>
          <w14:ligatures w14:val="none"/>
        </w:rPr>
        <w:t>the majority of</w:t>
      </w:r>
      <w:proofErr w:type="gramEnd"/>
      <w:r w:rsidRPr="00B178A2">
        <w:rPr>
          <w:rFonts w:ascii="Times New Roman" w:eastAsia="Times New Roman" w:hAnsi="Times New Roman" w:cs="Times New Roman"/>
          <w:color w:val="0F1115"/>
          <w:kern w:val="0"/>
          <w14:ligatures w14:val="none"/>
        </w:rPr>
        <w:t xml:space="preserve"> households depend directly on the Congo River and its tributaries for their daily needs: drinking, cooking, laundry, and personal hygiene. These water sources are visibly polluted and are used without any form of treatment. Health center reports indicate a high frequency of diarrhea and intestinal parasitic infections, yet no formal study has established the link between water quality and parasitic colonization in this specific population.</w:t>
      </w:r>
    </w:p>
    <w:p w14:paraId="02FFA6EA"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Without scientific evidence, interventions remain untargeted, and resources may be misallocated. This study therefore sought to answer the research question: </w:t>
      </w:r>
      <w:r w:rsidRPr="00B178A2">
        <w:rPr>
          <w:rFonts w:ascii="Times New Roman" w:eastAsia="Times New Roman" w:hAnsi="Times New Roman" w:cs="Times New Roman"/>
          <w:b/>
          <w:bCs/>
          <w:color w:val="0F1115"/>
          <w:kern w:val="0"/>
          <w14:ligatures w14:val="none"/>
        </w:rPr>
        <w:t xml:space="preserve">What is the influence of consuming water from unimproved sources (river, streams) on the prevalence and diversity of intestinal parasitic colonization among the riverside population of the </w:t>
      </w:r>
      <w:proofErr w:type="spellStart"/>
      <w:r w:rsidRPr="00B178A2">
        <w:rPr>
          <w:rFonts w:ascii="Times New Roman" w:eastAsia="Times New Roman" w:hAnsi="Times New Roman" w:cs="Times New Roman"/>
          <w:b/>
          <w:bCs/>
          <w:color w:val="0F1115"/>
          <w:kern w:val="0"/>
          <w14:ligatures w14:val="none"/>
        </w:rPr>
        <w:t>Bolenge</w:t>
      </w:r>
      <w:proofErr w:type="spellEnd"/>
      <w:r w:rsidRPr="00B178A2">
        <w:rPr>
          <w:rFonts w:ascii="Times New Roman" w:eastAsia="Times New Roman" w:hAnsi="Times New Roman" w:cs="Times New Roman"/>
          <w:b/>
          <w:bCs/>
          <w:color w:val="0F1115"/>
          <w:kern w:val="0"/>
          <w14:ligatures w14:val="none"/>
        </w:rPr>
        <w:t xml:space="preserve"> Health Zone?</w:t>
      </w:r>
    </w:p>
    <w:p w14:paraId="24B2FFAE"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lastRenderedPageBreak/>
        <w:t>1.3. Objectives</w:t>
      </w:r>
    </w:p>
    <w:p w14:paraId="02077130"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General objective:</w:t>
      </w:r>
      <w:r w:rsidRPr="00B178A2">
        <w:rPr>
          <w:rFonts w:ascii="Times New Roman" w:eastAsia="Times New Roman" w:hAnsi="Times New Roman" w:cs="Times New Roman"/>
          <w:color w:val="0F1115"/>
          <w:kern w:val="0"/>
          <w14:ligatures w14:val="none"/>
        </w:rPr>
        <w:t xml:space="preserve"> To contribute to improving the health of riverside populations in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by evaluating the impact of water quality on the prevalence of intestinal parasitic infections.</w:t>
      </w:r>
    </w:p>
    <w:p w14:paraId="728DE0AD"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Specific objectives:</w:t>
      </w:r>
    </w:p>
    <w:p w14:paraId="47F14D6D" w14:textId="77777777" w:rsidR="00B76A28" w:rsidRPr="00B178A2" w:rsidRDefault="00B76A28" w:rsidP="00B76A2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To determine the prevalence and identify the different species of intestinal parasites in the study population.</w:t>
      </w:r>
    </w:p>
    <w:p w14:paraId="0F3433AE" w14:textId="77777777" w:rsidR="00B76A28" w:rsidRPr="00B178A2" w:rsidRDefault="00B76A28" w:rsidP="00B76A2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To assess the bacteriological quality of the main water sources consumed by this population.</w:t>
      </w:r>
    </w:p>
    <w:p w14:paraId="60AF4EF5" w14:textId="77777777" w:rsidR="00B76A28" w:rsidRPr="00B178A2" w:rsidRDefault="00B76A28" w:rsidP="00B76A2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To describe the population's knowledge and practices regarding water hygiene and sanitation.</w:t>
      </w:r>
    </w:p>
    <w:p w14:paraId="40750869" w14:textId="77777777" w:rsidR="00B76A28" w:rsidRPr="00B178A2" w:rsidRDefault="00B76A28" w:rsidP="00B76A28">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To analyze the statistical correlation between the type of water source used and the presence of intestinal parasitic infection.</w:t>
      </w:r>
    </w:p>
    <w:p w14:paraId="64D08433"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1.4. Hypothesis</w:t>
      </w:r>
    </w:p>
    <w:p w14:paraId="2E6C937C"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Null hypothesis (H₀):</w:t>
      </w:r>
      <w:r w:rsidRPr="00B178A2">
        <w:rPr>
          <w:rFonts w:ascii="Times New Roman" w:eastAsia="Times New Roman" w:hAnsi="Times New Roman" w:cs="Times New Roman"/>
          <w:color w:val="0F1115"/>
          <w:kern w:val="0"/>
          <w14:ligatures w14:val="none"/>
        </w:rPr>
        <w:t xml:space="preserve"> The prevalence of intestinal parasitic infections is not significantly higher among residents of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who use untreated river water as their primary drinking source compared to those who have access to alternative water sources (protected wells, boreholes).</w:t>
      </w:r>
    </w:p>
    <w:p w14:paraId="1662D8A9"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Alternative hypothesis (H₁):</w:t>
      </w:r>
      <w:r w:rsidRPr="00B178A2">
        <w:rPr>
          <w:rFonts w:ascii="Times New Roman" w:eastAsia="Times New Roman" w:hAnsi="Times New Roman" w:cs="Times New Roman"/>
          <w:color w:val="0F1115"/>
          <w:kern w:val="0"/>
          <w14:ligatures w14:val="none"/>
        </w:rPr>
        <w:t xml:space="preserve"> The prevalence of intestinal parasitic infections is significantly higher among residents of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who use untreated river water as their primary drinking source compared to those who have access to alternative water sources (protected wells, boreholes).</w:t>
      </w:r>
    </w:p>
    <w:p w14:paraId="54E1610F" w14:textId="77777777" w:rsidR="00B76A28" w:rsidRPr="00B178A2" w:rsidRDefault="00B76A28" w:rsidP="00B76A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178A2">
        <w:rPr>
          <w:rFonts w:ascii="Times New Roman" w:eastAsia="Times New Roman" w:hAnsi="Times New Roman" w:cs="Times New Roman"/>
          <w:b/>
          <w:bCs/>
          <w:color w:val="0F1115"/>
          <w:kern w:val="0"/>
          <w:sz w:val="33"/>
          <w:szCs w:val="33"/>
          <w14:ligatures w14:val="none"/>
        </w:rPr>
        <w:t>2. Methods</w:t>
      </w:r>
    </w:p>
    <w:p w14:paraId="65555889"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2.1. Study Design and Setting</w:t>
      </w:r>
    </w:p>
    <w:p w14:paraId="163262AE"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lastRenderedPageBreak/>
        <w:t>A </w:t>
      </w:r>
      <w:r w:rsidRPr="00B178A2">
        <w:rPr>
          <w:rFonts w:ascii="Times New Roman" w:eastAsia="Times New Roman" w:hAnsi="Times New Roman" w:cs="Times New Roman"/>
          <w:b/>
          <w:bCs/>
          <w:color w:val="0F1115"/>
          <w:kern w:val="0"/>
          <w14:ligatures w14:val="none"/>
        </w:rPr>
        <w:t>cross-sectional analytical study</w:t>
      </w:r>
      <w:r w:rsidRPr="00B178A2">
        <w:rPr>
          <w:rFonts w:ascii="Times New Roman" w:eastAsia="Times New Roman" w:hAnsi="Times New Roman" w:cs="Times New Roman"/>
          <w:color w:val="0F1115"/>
          <w:kern w:val="0"/>
          <w14:ligatures w14:val="none"/>
        </w:rPr>
        <w:t xml:space="preserve"> was conducted from October to December 2024 in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Équateur Province, Democratic Republic of </w:t>
      </w:r>
      <w:proofErr w:type="gramStart"/>
      <w:r w:rsidRPr="00B178A2">
        <w:rPr>
          <w:rFonts w:ascii="Times New Roman" w:eastAsia="Times New Roman" w:hAnsi="Times New Roman" w:cs="Times New Roman"/>
          <w:color w:val="0F1115"/>
          <w:kern w:val="0"/>
          <w14:ligatures w14:val="none"/>
        </w:rPr>
        <w:t>the Congo</w:t>
      </w:r>
      <w:proofErr w:type="gramEnd"/>
      <w:r w:rsidRPr="00B178A2">
        <w:rPr>
          <w:rFonts w:ascii="Times New Roman" w:eastAsia="Times New Roman" w:hAnsi="Times New Roman" w:cs="Times New Roman"/>
          <w:color w:val="0F1115"/>
          <w:kern w:val="0"/>
          <w14:ligatures w14:val="none"/>
        </w:rPr>
        <w:t xml:space="preserve">.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is one of three health zones in </w:t>
      </w:r>
      <w:proofErr w:type="spellStart"/>
      <w:r w:rsidRPr="00B178A2">
        <w:rPr>
          <w:rFonts w:ascii="Times New Roman" w:eastAsia="Times New Roman" w:hAnsi="Times New Roman" w:cs="Times New Roman"/>
          <w:color w:val="0F1115"/>
          <w:kern w:val="0"/>
          <w14:ligatures w14:val="none"/>
        </w:rPr>
        <w:t>Mbandaka</w:t>
      </w:r>
      <w:proofErr w:type="spellEnd"/>
      <w:r w:rsidRPr="00B178A2">
        <w:rPr>
          <w:rFonts w:ascii="Times New Roman" w:eastAsia="Times New Roman" w:hAnsi="Times New Roman" w:cs="Times New Roman"/>
          <w:color w:val="0F1115"/>
          <w:kern w:val="0"/>
          <w14:ligatures w14:val="none"/>
        </w:rPr>
        <w:t xml:space="preserve"> city, with a total population of approximately 126,056 inhabitants distributed across 13 health areas. The zone is bounded to the north by </w:t>
      </w:r>
      <w:proofErr w:type="spellStart"/>
      <w:r w:rsidRPr="00B178A2">
        <w:rPr>
          <w:rFonts w:ascii="Times New Roman" w:eastAsia="Times New Roman" w:hAnsi="Times New Roman" w:cs="Times New Roman"/>
          <w:color w:val="0F1115"/>
          <w:kern w:val="0"/>
          <w14:ligatures w14:val="none"/>
        </w:rPr>
        <w:t>Wangata</w:t>
      </w:r>
      <w:proofErr w:type="spellEnd"/>
      <w:r w:rsidRPr="00B178A2">
        <w:rPr>
          <w:rFonts w:ascii="Times New Roman" w:eastAsia="Times New Roman" w:hAnsi="Times New Roman" w:cs="Times New Roman"/>
          <w:color w:val="0F1115"/>
          <w:kern w:val="0"/>
          <w14:ligatures w14:val="none"/>
        </w:rPr>
        <w:t xml:space="preserve"> Health Zone, to the east by </w:t>
      </w:r>
      <w:proofErr w:type="spellStart"/>
      <w:r w:rsidRPr="00B178A2">
        <w:rPr>
          <w:rFonts w:ascii="Times New Roman" w:eastAsia="Times New Roman" w:hAnsi="Times New Roman" w:cs="Times New Roman"/>
          <w:color w:val="0F1115"/>
          <w:kern w:val="0"/>
          <w14:ligatures w14:val="none"/>
        </w:rPr>
        <w:t>Ingende</w:t>
      </w:r>
      <w:proofErr w:type="spellEnd"/>
      <w:r w:rsidRPr="00B178A2">
        <w:rPr>
          <w:rFonts w:ascii="Times New Roman" w:eastAsia="Times New Roman" w:hAnsi="Times New Roman" w:cs="Times New Roman"/>
          <w:color w:val="0F1115"/>
          <w:kern w:val="0"/>
          <w14:ligatures w14:val="none"/>
        </w:rPr>
        <w:t xml:space="preserve"> Health Zone, to the south by </w:t>
      </w:r>
      <w:proofErr w:type="spellStart"/>
      <w:r w:rsidRPr="00B178A2">
        <w:rPr>
          <w:rFonts w:ascii="Times New Roman" w:eastAsia="Times New Roman" w:hAnsi="Times New Roman" w:cs="Times New Roman"/>
          <w:color w:val="0F1115"/>
          <w:kern w:val="0"/>
          <w14:ligatures w14:val="none"/>
        </w:rPr>
        <w:t>Bikoro</w:t>
      </w:r>
      <w:proofErr w:type="spellEnd"/>
      <w:r w:rsidRPr="00B178A2">
        <w:rPr>
          <w:rFonts w:ascii="Times New Roman" w:eastAsia="Times New Roman" w:hAnsi="Times New Roman" w:cs="Times New Roman"/>
          <w:color w:val="0F1115"/>
          <w:kern w:val="0"/>
          <w14:ligatures w14:val="none"/>
        </w:rPr>
        <w:t xml:space="preserve"> Health Zone, and to the west by the Congo River.</w:t>
      </w:r>
    </w:p>
    <w:p w14:paraId="260057B2"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2.2. Target Population and Sampling</w:t>
      </w:r>
    </w:p>
    <w:p w14:paraId="76312120"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The target population comprised all residents of riverside localities in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w:t>
      </w:r>
    </w:p>
    <w:p w14:paraId="55D0C42E"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Inclusion criteria:</w:t>
      </w:r>
    </w:p>
    <w:p w14:paraId="450306C8" w14:textId="77777777" w:rsidR="00B76A28" w:rsidRPr="00B178A2" w:rsidRDefault="00B76A28" w:rsidP="00B76A28">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Residency in the zone for ≥6 months</w:t>
      </w:r>
    </w:p>
    <w:p w14:paraId="2027F9FB" w14:textId="77777777" w:rsidR="00B76A28" w:rsidRPr="00B178A2" w:rsidRDefault="00B76A28" w:rsidP="00B76A28">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Consent to participate</w:t>
      </w:r>
    </w:p>
    <w:p w14:paraId="38ADC510" w14:textId="77777777" w:rsidR="00B76A28" w:rsidRPr="00B178A2" w:rsidRDefault="00B76A28" w:rsidP="00B76A28">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Ability to provide a stool sample</w:t>
      </w:r>
    </w:p>
    <w:p w14:paraId="7D6DB719"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Exclusion criteria:</w:t>
      </w:r>
    </w:p>
    <w:p w14:paraId="75163470" w14:textId="77777777" w:rsidR="00B76A28" w:rsidRPr="00B178A2" w:rsidRDefault="00B76A28" w:rsidP="00B76A28">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Anthelmintic treatment within 4 weeks prior to the survey</w:t>
      </w:r>
    </w:p>
    <w:p w14:paraId="6FE69E5A" w14:textId="77777777" w:rsidR="00B76A28" w:rsidRPr="00B178A2" w:rsidRDefault="00B76A28" w:rsidP="00B76A28">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Temporary visitors</w:t>
      </w:r>
    </w:p>
    <w:p w14:paraId="7D55D1A9"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Sample size calculation:</w:t>
      </w:r>
      <w:r w:rsidRPr="00B178A2">
        <w:rPr>
          <w:rFonts w:ascii="Times New Roman" w:eastAsia="Times New Roman" w:hAnsi="Times New Roman" w:cs="Times New Roman"/>
          <w:color w:val="0F1115"/>
          <w:kern w:val="0"/>
          <w14:ligatures w14:val="none"/>
        </w:rPr>
        <w:t> Using the Lorentz formula for cross-sectional studies:</w:t>
      </w:r>
    </w:p>
    <w:p w14:paraId="6059410B" w14:textId="77777777" w:rsidR="00B76A28" w:rsidRPr="00B178A2" w:rsidRDefault="00B76A28" w:rsidP="00B76A28">
      <w:pPr>
        <w:shd w:val="clear" w:color="auto" w:fill="FFFFFF"/>
        <w:spacing w:after="0" w:line="420" w:lineRule="atLeast"/>
        <w:rPr>
          <w:rFonts w:ascii="Times New Roman" w:eastAsia="Times New Roman" w:hAnsi="Times New Roman" w:cs="Times New Roman"/>
          <w:color w:val="0F1115"/>
          <w:kern w:val="0"/>
          <w14:ligatures w14:val="none"/>
        </w:rPr>
      </w:pPr>
      <m:oMathPara>
        <m:oMath>
          <m:r>
            <w:rPr>
              <w:rFonts w:ascii="Cambria Math" w:eastAsia="Times New Roman" w:hAnsi="Cambria Math" w:cs="Times New Roman"/>
              <w:kern w:val="0"/>
              <w14:ligatures w14:val="none"/>
            </w:rPr>
            <m:t>n=</m:t>
          </m:r>
          <m:f>
            <m:fPr>
              <m:ctrlPr>
                <w:rPr>
                  <w:rFonts w:ascii="Cambria Math" w:eastAsia="Times New Roman" w:hAnsi="Cambria Math" w:cs="Times New Roman"/>
                  <w:kern w:val="0"/>
                  <w14:ligatures w14:val="none"/>
                </w:rPr>
              </m:ctrlPr>
            </m:fPr>
            <m:num>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Z</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×P(1-P)</m:t>
              </m:r>
            </m:num>
            <m:den>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d</m:t>
                  </m:r>
                </m:e>
                <m:sup>
                  <m:r>
                    <w:rPr>
                      <w:rFonts w:ascii="Cambria Math" w:eastAsia="Times New Roman" w:hAnsi="Cambria Math" w:cs="Times New Roman"/>
                      <w:kern w:val="0"/>
                      <w14:ligatures w14:val="none"/>
                    </w:rPr>
                    <m:t>2</m:t>
                  </m:r>
                </m:sup>
              </m:sSup>
            </m:den>
          </m:f>
          <m:r>
            <w:rPr>
              <w:rFonts w:ascii="Times New Roman" w:eastAsia="Times New Roman" w:hAnsi="Times New Roman" w:cs="Times New Roman"/>
              <w:kern w:val="0"/>
              <w14:ligatures w14:val="none"/>
            </w:rPr>
            <w:br/>
          </m:r>
        </m:oMath>
      </m:oMathPara>
    </w:p>
    <w:p w14:paraId="5B213E8D"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Where:</w:t>
      </w:r>
    </w:p>
    <w:p w14:paraId="25699538" w14:textId="77777777" w:rsidR="00B76A28" w:rsidRPr="00B178A2" w:rsidRDefault="00B76A28" w:rsidP="00B76A28">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Z = 1.96 (95% confidence level)</w:t>
      </w:r>
    </w:p>
    <w:p w14:paraId="5E8E51B2" w14:textId="77777777" w:rsidR="00B76A28" w:rsidRPr="00B178A2" w:rsidRDefault="00B76A28" w:rsidP="00B76A28">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P = expected prevalence (50% used to maximize sample size)</w:t>
      </w:r>
    </w:p>
    <w:p w14:paraId="14E0F707" w14:textId="77777777" w:rsidR="00B76A28" w:rsidRPr="00B178A2" w:rsidRDefault="00B76A28" w:rsidP="00B76A28">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d = margin of error (5% or 0.05)</w:t>
      </w:r>
    </w:p>
    <w:p w14:paraId="15718776" w14:textId="77777777" w:rsidR="00B76A28" w:rsidRPr="00B178A2" w:rsidRDefault="00B76A28" w:rsidP="00B76A28">
      <w:pPr>
        <w:shd w:val="clear" w:color="auto" w:fill="FFFFFF"/>
        <w:spacing w:after="0" w:line="420" w:lineRule="atLeast"/>
        <w:rPr>
          <w:rFonts w:ascii="Times New Roman" w:eastAsia="Times New Roman" w:hAnsi="Times New Roman" w:cs="Times New Roman"/>
          <w:color w:val="0F1115"/>
          <w:kern w:val="0"/>
          <w14:ligatures w14:val="none"/>
        </w:rPr>
      </w:pPr>
      <m:oMathPara>
        <m:oMath>
          <m:r>
            <w:rPr>
              <w:rFonts w:ascii="Cambria Math" w:eastAsia="Times New Roman" w:hAnsi="Cambria Math" w:cs="Times New Roman"/>
              <w:kern w:val="0"/>
              <w14:ligatures w14:val="none"/>
            </w:rPr>
            <w:lastRenderedPageBreak/>
            <m:t>n=</m:t>
          </m:r>
          <m:f>
            <m:fPr>
              <m:ctrlPr>
                <w:rPr>
                  <w:rFonts w:ascii="Cambria Math" w:eastAsia="Times New Roman" w:hAnsi="Cambria Math" w:cs="Times New Roman"/>
                  <w:kern w:val="0"/>
                  <w14:ligatures w14:val="none"/>
                </w:rPr>
              </m:ctrlPr>
            </m:fPr>
            <m:num>
              <m:d>
                <m:dPr>
                  <m:sepChr m:val="×"/>
                  <m:endChr m:val=""/>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1.96</m:t>
                  </m:r>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m:t>
                      </m:r>
                    </m:e>
                    <m:sup>
                      <m:r>
                        <w:rPr>
                          <w:rFonts w:ascii="Cambria Math" w:eastAsia="Times New Roman" w:hAnsi="Cambria Math" w:cs="Times New Roman"/>
                          <w:kern w:val="0"/>
                          <w14:ligatures w14:val="none"/>
                        </w:rPr>
                        <m:t>2</m:t>
                      </m:r>
                    </m:sup>
                  </m:sSup>
                </m:e>
                <m:e>
                  <m:r>
                    <w:rPr>
                      <w:rFonts w:ascii="Cambria Math" w:eastAsia="Times New Roman" w:hAnsi="Cambria Math" w:cs="Times New Roman"/>
                      <w:kern w:val="0"/>
                      <w14:ligatures w14:val="none"/>
                    </w:rPr>
                    <m:t>0.5</m:t>
                  </m:r>
                </m:e>
                <m:e>
                  <m:r>
                    <w:rPr>
                      <w:rFonts w:ascii="Cambria Math" w:eastAsia="Times New Roman" w:hAnsi="Cambria Math" w:cs="Times New Roman"/>
                      <w:kern w:val="0"/>
                      <w14:ligatures w14:val="none"/>
                    </w:rPr>
                    <m:t>0.5</m:t>
                  </m:r>
                </m:e>
              </m:d>
            </m:num>
            <m:den>
              <m:sSup>
                <m:sSupPr>
                  <m:ctrlPr>
                    <w:rPr>
                      <w:rFonts w:ascii="Cambria Math" w:eastAsia="Times New Roman" w:hAnsi="Cambria Math" w:cs="Times New Roman"/>
                      <w:kern w:val="0"/>
                      <w14:ligatures w14:val="none"/>
                    </w:rPr>
                  </m:ctrlPr>
                </m:sSupPr>
                <m:e>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0.05</m:t>
                      </m:r>
                    </m:e>
                  </m:d>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r>
                <w:rPr>
                  <w:rFonts w:ascii="Cambria Math" w:eastAsia="Times New Roman" w:hAnsi="Cambria Math" w:cs="Times New Roman"/>
                  <w:kern w:val="0"/>
                  <w14:ligatures w14:val="none"/>
                </w:rPr>
                <m:t>3.8416×0.25</m:t>
              </m:r>
            </m:num>
            <m:den>
              <m:r>
                <w:rPr>
                  <w:rFonts w:ascii="Cambria Math" w:eastAsia="Times New Roman" w:hAnsi="Cambria Math" w:cs="Times New Roman"/>
                  <w:kern w:val="0"/>
                  <w14:ligatures w14:val="none"/>
                </w:rPr>
                <m:t>0.0025</m:t>
              </m:r>
            </m:den>
          </m:f>
          <m:r>
            <w:rPr>
              <w:rFonts w:ascii="Cambria Math" w:eastAsia="Times New Roman" w:hAnsi="Cambria Math" w:cs="Times New Roman"/>
              <w:kern w:val="0"/>
              <w14:ligatures w14:val="none"/>
            </w:rPr>
            <m:t>=384.16</m:t>
          </m:r>
          <m:r>
            <w:rPr>
              <w:rFonts w:ascii="Times New Roman" w:eastAsia="Times New Roman" w:hAnsi="Times New Roman" w:cs="Times New Roman"/>
              <w:i/>
              <w:kern w:val="0"/>
              <w14:ligatures w14:val="none"/>
            </w:rPr>
            <w:br/>
          </m:r>
        </m:oMath>
      </m:oMathPara>
    </w:p>
    <w:p w14:paraId="3F666B05"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A total of </w:t>
      </w:r>
      <w:r w:rsidRPr="00B178A2">
        <w:rPr>
          <w:rFonts w:ascii="Times New Roman" w:eastAsia="Times New Roman" w:hAnsi="Times New Roman" w:cs="Times New Roman"/>
          <w:b/>
          <w:bCs/>
          <w:color w:val="0F1115"/>
          <w:kern w:val="0"/>
          <w14:ligatures w14:val="none"/>
        </w:rPr>
        <w:t>384 participants</w:t>
      </w:r>
      <w:r w:rsidRPr="00B178A2">
        <w:rPr>
          <w:rFonts w:ascii="Times New Roman" w:eastAsia="Times New Roman" w:hAnsi="Times New Roman" w:cs="Times New Roman"/>
          <w:color w:val="0F1115"/>
          <w:kern w:val="0"/>
          <w14:ligatures w14:val="none"/>
        </w:rPr>
        <w:t> were included.</w:t>
      </w:r>
    </w:p>
    <w:p w14:paraId="57247EA6"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Sampling technique:</w:t>
      </w:r>
      <w:r w:rsidRPr="00B178A2">
        <w:rPr>
          <w:rFonts w:ascii="Times New Roman" w:eastAsia="Times New Roman" w:hAnsi="Times New Roman" w:cs="Times New Roman"/>
          <w:color w:val="0F1115"/>
          <w:kern w:val="0"/>
          <w14:ligatures w14:val="none"/>
        </w:rPr>
        <w:t> Stratified cluster random sampling. Riverside villages were considered strata. Within each stratum, households were randomly selected, and one individual per household was randomly chosen to avoid clustering effects.</w:t>
      </w:r>
    </w:p>
    <w:p w14:paraId="2E1B8C5C"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2.3. Data Collection</w:t>
      </w:r>
    </w:p>
    <w:p w14:paraId="71E46808"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Three data collection methods were used:</w:t>
      </w:r>
    </w:p>
    <w:p w14:paraId="6277E71A"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1. Questionnaire survey:</w:t>
      </w:r>
      <w:r w:rsidRPr="00B178A2">
        <w:rPr>
          <w:rFonts w:ascii="Times New Roman" w:eastAsia="Times New Roman" w:hAnsi="Times New Roman" w:cs="Times New Roman"/>
          <w:color w:val="0F1115"/>
          <w:kern w:val="0"/>
          <w14:ligatures w14:val="none"/>
        </w:rPr>
        <w:t> A standardized questionnaire was administered to collect information on sociodemographic characteristics (age, sex, education level), water sources used, water treatment methods (if any), knowledge of hygiene and sanitation, and recent medical history.</w:t>
      </w:r>
    </w:p>
    <w:p w14:paraId="2CE9B560"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2. Stool sample collection and analysis:</w:t>
      </w:r>
      <w:r w:rsidRPr="00B178A2">
        <w:rPr>
          <w:rFonts w:ascii="Times New Roman" w:eastAsia="Times New Roman" w:hAnsi="Times New Roman" w:cs="Times New Roman"/>
          <w:color w:val="0F1115"/>
          <w:kern w:val="0"/>
          <w14:ligatures w14:val="none"/>
        </w:rPr>
        <w:t> Clean, labeled collection pots were distributed to participants with clear instructions. Samples were recovered and transported in a cooler to the laboratory within 24 hours. Analysis included:</w:t>
      </w:r>
    </w:p>
    <w:p w14:paraId="1CDFF10E" w14:textId="77777777" w:rsidR="00B76A28" w:rsidRPr="00B178A2" w:rsidRDefault="00B76A28" w:rsidP="00B76A28">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Direct smear examination:</w:t>
      </w:r>
      <w:r w:rsidRPr="00B178A2">
        <w:rPr>
          <w:rFonts w:ascii="Times New Roman" w:eastAsia="Times New Roman" w:hAnsi="Times New Roman" w:cs="Times New Roman"/>
          <w:color w:val="0F1115"/>
          <w:kern w:val="0"/>
          <w14:ligatures w14:val="none"/>
        </w:rPr>
        <w:t> For detection of protozoan cysts and trophozoites.</w:t>
      </w:r>
    </w:p>
    <w:p w14:paraId="562F5D02" w14:textId="77777777" w:rsidR="00B76A28" w:rsidRPr="00B178A2" w:rsidRDefault="00B76A28" w:rsidP="00B76A28">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Kato-Katz concentration method:</w:t>
      </w:r>
      <w:r w:rsidRPr="00B178A2">
        <w:rPr>
          <w:rFonts w:ascii="Times New Roman" w:eastAsia="Times New Roman" w:hAnsi="Times New Roman" w:cs="Times New Roman"/>
          <w:color w:val="0F1115"/>
          <w:kern w:val="0"/>
          <w14:ligatures w14:val="none"/>
        </w:rPr>
        <w:t> For quantification of helminth eggs.</w:t>
      </w:r>
    </w:p>
    <w:p w14:paraId="720FF508"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3. Water sample collection and analysis:</w:t>
      </w:r>
      <w:r w:rsidRPr="00B178A2">
        <w:rPr>
          <w:rFonts w:ascii="Times New Roman" w:eastAsia="Times New Roman" w:hAnsi="Times New Roman" w:cs="Times New Roman"/>
          <w:color w:val="0F1115"/>
          <w:kern w:val="0"/>
          <w14:ligatures w14:val="none"/>
        </w:rPr>
        <w:t> Water samples were collected aseptically from the main water points used by the population (riverbanks, wells). </w:t>
      </w:r>
      <w:r w:rsidRPr="00B178A2">
        <w:rPr>
          <w:rFonts w:ascii="Times New Roman" w:eastAsia="Times New Roman" w:hAnsi="Times New Roman" w:cs="Times New Roman"/>
          <w:b/>
          <w:bCs/>
          <w:color w:val="0F1115"/>
          <w:kern w:val="0"/>
          <w14:ligatures w14:val="none"/>
        </w:rPr>
        <w:t>Membrane filtration</w:t>
      </w:r>
      <w:r w:rsidRPr="00B178A2">
        <w:rPr>
          <w:rFonts w:ascii="Times New Roman" w:eastAsia="Times New Roman" w:hAnsi="Times New Roman" w:cs="Times New Roman"/>
          <w:color w:val="0F1115"/>
          <w:kern w:val="0"/>
          <w14:ligatures w14:val="none"/>
        </w:rPr>
        <w:t> was used for the detection and enumeration of </w:t>
      </w:r>
      <w:r w:rsidRPr="00B178A2">
        <w:rPr>
          <w:rFonts w:ascii="Times New Roman" w:eastAsia="Times New Roman" w:hAnsi="Times New Roman" w:cs="Times New Roman"/>
          <w:b/>
          <w:bCs/>
          <w:color w:val="0F1115"/>
          <w:kern w:val="0"/>
          <w14:ligatures w14:val="none"/>
        </w:rPr>
        <w:t>fecal coliforms (thermotolerant coliforms)</w:t>
      </w:r>
      <w:r w:rsidRPr="00B178A2">
        <w:rPr>
          <w:rFonts w:ascii="Times New Roman" w:eastAsia="Times New Roman" w:hAnsi="Times New Roman" w:cs="Times New Roman"/>
          <w:color w:val="0F1115"/>
          <w:kern w:val="0"/>
          <w14:ligatures w14:val="none"/>
        </w:rPr>
        <w:t>, indicators of fecal contamination.</w:t>
      </w:r>
    </w:p>
    <w:p w14:paraId="693835E8"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2.4. Variables</w:t>
      </w:r>
    </w:p>
    <w:p w14:paraId="2C78E4D1"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Independent variables:</w:t>
      </w:r>
      <w:r w:rsidRPr="00B178A2">
        <w:rPr>
          <w:rFonts w:ascii="Times New Roman" w:eastAsia="Times New Roman" w:hAnsi="Times New Roman" w:cs="Times New Roman"/>
          <w:color w:val="0F1115"/>
          <w:kern w:val="0"/>
          <w14:ligatures w14:val="none"/>
        </w:rPr>
        <w:t> Water source (river/unprotected well, protected well, borehole, tap water), water treatment practice (yes/no), presence of latrine, handwashing practice.</w:t>
      </w:r>
    </w:p>
    <w:p w14:paraId="34EEF01B"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lastRenderedPageBreak/>
        <w:t>Dependent variable:</w:t>
      </w:r>
      <w:r w:rsidRPr="00B178A2">
        <w:rPr>
          <w:rFonts w:ascii="Times New Roman" w:eastAsia="Times New Roman" w:hAnsi="Times New Roman" w:cs="Times New Roman"/>
          <w:color w:val="0F1115"/>
          <w:kern w:val="0"/>
          <w14:ligatures w14:val="none"/>
        </w:rPr>
        <w:t> Presence of intestinal parasites (positive/negative), type of parasite identified.</w:t>
      </w:r>
    </w:p>
    <w:p w14:paraId="4D7E0EE7"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Sociodemographic variables:</w:t>
      </w:r>
      <w:r w:rsidRPr="00B178A2">
        <w:rPr>
          <w:rFonts w:ascii="Times New Roman" w:eastAsia="Times New Roman" w:hAnsi="Times New Roman" w:cs="Times New Roman"/>
          <w:color w:val="0F1115"/>
          <w:kern w:val="0"/>
          <w14:ligatures w14:val="none"/>
        </w:rPr>
        <w:t> Age, sex, education level.</w:t>
      </w:r>
    </w:p>
    <w:p w14:paraId="780E9E9D"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2.5. Data Analysis</w:t>
      </w:r>
    </w:p>
    <w:p w14:paraId="63E7E00C"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Data were entered into Epi Info and analyzed using SPSS version 25. Descriptive statistics (frequencies, percentages) were used to present the results. The </w:t>
      </w:r>
      <w:r w:rsidRPr="00B178A2">
        <w:rPr>
          <w:rFonts w:ascii="Times New Roman" w:eastAsia="Times New Roman" w:hAnsi="Times New Roman" w:cs="Times New Roman"/>
          <w:b/>
          <w:bCs/>
          <w:color w:val="0F1115"/>
          <w:kern w:val="0"/>
          <w14:ligatures w14:val="none"/>
        </w:rPr>
        <w:t>chi-square test (χ²)</w:t>
      </w:r>
      <w:r w:rsidRPr="00B178A2">
        <w:rPr>
          <w:rFonts w:ascii="Times New Roman" w:eastAsia="Times New Roman" w:hAnsi="Times New Roman" w:cs="Times New Roman"/>
          <w:color w:val="0F1115"/>
          <w:kern w:val="0"/>
          <w14:ligatures w14:val="none"/>
        </w:rPr>
        <w:t> was used to compare prevalences and to test for significant associations between categorical variables (water source, presence of parasites). Statistical significance was set at p &lt; 0.05.</w:t>
      </w:r>
    </w:p>
    <w:p w14:paraId="518B25AB"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2.6. Ethical Considerations</w:t>
      </w:r>
    </w:p>
    <w:p w14:paraId="6230EDE1"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Ethical approval was obtained from the ISTM </w:t>
      </w:r>
      <w:proofErr w:type="spellStart"/>
      <w:r w:rsidRPr="00B178A2">
        <w:rPr>
          <w:rFonts w:ascii="Times New Roman" w:eastAsia="Times New Roman" w:hAnsi="Times New Roman" w:cs="Times New Roman"/>
          <w:color w:val="0F1115"/>
          <w:kern w:val="0"/>
          <w14:ligatures w14:val="none"/>
        </w:rPr>
        <w:t>Mbandaka</w:t>
      </w:r>
      <w:proofErr w:type="spellEnd"/>
      <w:r w:rsidRPr="00B178A2">
        <w:rPr>
          <w:rFonts w:ascii="Times New Roman" w:eastAsia="Times New Roman" w:hAnsi="Times New Roman" w:cs="Times New Roman"/>
          <w:color w:val="0F1115"/>
          <w:kern w:val="0"/>
          <w14:ligatures w14:val="none"/>
        </w:rPr>
        <w:t xml:space="preserve"> research ethics committee and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authorities. Written informed consent was obtained from each participant (or parent/guardian for minors) after a clear explanation of the study objectives. Confidentiality was guaranteed. Participants diagnosed with parasitic infections received free medical referral for treatment.</w:t>
      </w:r>
    </w:p>
    <w:p w14:paraId="73F8C7C1" w14:textId="77777777" w:rsidR="00B76A28" w:rsidRPr="00B178A2" w:rsidRDefault="00B76A28" w:rsidP="00B76A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178A2">
        <w:rPr>
          <w:rFonts w:ascii="Times New Roman" w:eastAsia="Times New Roman" w:hAnsi="Times New Roman" w:cs="Times New Roman"/>
          <w:b/>
          <w:bCs/>
          <w:color w:val="0F1115"/>
          <w:kern w:val="0"/>
          <w:sz w:val="33"/>
          <w:szCs w:val="33"/>
          <w14:ligatures w14:val="none"/>
        </w:rPr>
        <w:t>3. Results</w:t>
      </w:r>
    </w:p>
    <w:p w14:paraId="2A143A50"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3.1. Sociodemographic Characteristics of Participants</w:t>
      </w:r>
    </w:p>
    <w:p w14:paraId="650DEAFF"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A total of 384 participants were enrolled (response rate: 100%). Table 1 presents the sociodemographic characteristics.</w:t>
      </w:r>
    </w:p>
    <w:p w14:paraId="61FD33F8"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Table 1</w:t>
      </w:r>
      <w:r w:rsidRPr="00B178A2">
        <w:rPr>
          <w:rFonts w:ascii="Times New Roman" w:eastAsia="Times New Roman" w:hAnsi="Times New Roman" w:cs="Times New Roman"/>
          <w:color w:val="0F1115"/>
          <w:kern w:val="0"/>
          <w14:ligatures w14:val="none"/>
        </w:rPr>
        <w:br/>
        <w:t>*Sociodemographic Characteristics of Participants (N = 384)*</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27"/>
        <w:gridCol w:w="2301"/>
        <w:gridCol w:w="810"/>
        <w:gridCol w:w="664"/>
      </w:tblGrid>
      <w:tr w:rsidR="00B76A28" w:rsidRPr="00B178A2" w14:paraId="61B27B21" w14:textId="77777777" w:rsidTr="00B178A2">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9BF8A2F"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lastRenderedPageBreak/>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42505CA"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B5BF29F"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177883F"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w:t>
            </w:r>
          </w:p>
        </w:tc>
      </w:tr>
      <w:tr w:rsidR="00B76A28" w:rsidRPr="00B178A2" w14:paraId="5FAE05A4" w14:textId="77777777" w:rsidTr="00B178A2">
        <w:tc>
          <w:tcPr>
            <w:tcW w:w="0" w:type="auto"/>
            <w:tcBorders>
              <w:top w:val="single" w:sz="4" w:space="0" w:color="auto"/>
            </w:tcBorders>
            <w:tcMar>
              <w:top w:w="150" w:type="dxa"/>
              <w:left w:w="0" w:type="dxa"/>
              <w:bottom w:w="150" w:type="dxa"/>
              <w:right w:w="240" w:type="dxa"/>
            </w:tcMar>
            <w:vAlign w:val="center"/>
            <w:hideMark/>
          </w:tcPr>
          <w:p w14:paraId="172A7B35"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b/>
                <w:bCs/>
                <w:kern w:val="0"/>
                <w:sz w:val="22"/>
                <w:szCs w:val="22"/>
                <w14:ligatures w14:val="none"/>
              </w:rPr>
              <w:t>Sex</w:t>
            </w:r>
          </w:p>
        </w:tc>
        <w:tc>
          <w:tcPr>
            <w:tcW w:w="0" w:type="auto"/>
            <w:tcBorders>
              <w:top w:val="single" w:sz="4" w:space="0" w:color="auto"/>
            </w:tcBorders>
            <w:tcMar>
              <w:top w:w="150" w:type="dxa"/>
              <w:left w:w="240" w:type="dxa"/>
              <w:bottom w:w="150" w:type="dxa"/>
              <w:right w:w="240" w:type="dxa"/>
            </w:tcMar>
            <w:vAlign w:val="center"/>
            <w:hideMark/>
          </w:tcPr>
          <w:p w14:paraId="53C55381"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Male</w:t>
            </w:r>
          </w:p>
        </w:tc>
        <w:tc>
          <w:tcPr>
            <w:tcW w:w="0" w:type="auto"/>
            <w:tcBorders>
              <w:top w:val="single" w:sz="4" w:space="0" w:color="auto"/>
            </w:tcBorders>
            <w:tcMar>
              <w:top w:w="150" w:type="dxa"/>
              <w:left w:w="240" w:type="dxa"/>
              <w:bottom w:w="150" w:type="dxa"/>
              <w:right w:w="240" w:type="dxa"/>
            </w:tcMar>
            <w:vAlign w:val="center"/>
            <w:hideMark/>
          </w:tcPr>
          <w:p w14:paraId="54215EFE"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169</w:t>
            </w:r>
          </w:p>
        </w:tc>
        <w:tc>
          <w:tcPr>
            <w:tcW w:w="0" w:type="auto"/>
            <w:tcBorders>
              <w:top w:val="single" w:sz="4" w:space="0" w:color="auto"/>
            </w:tcBorders>
            <w:tcMar>
              <w:top w:w="150" w:type="dxa"/>
              <w:left w:w="240" w:type="dxa"/>
              <w:bottom w:w="150" w:type="dxa"/>
              <w:right w:w="0" w:type="dxa"/>
            </w:tcMar>
            <w:vAlign w:val="center"/>
            <w:hideMark/>
          </w:tcPr>
          <w:p w14:paraId="1F461C07"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44.0</w:t>
            </w:r>
          </w:p>
        </w:tc>
      </w:tr>
      <w:tr w:rsidR="00B76A28" w:rsidRPr="00B178A2" w14:paraId="13B683A4" w14:textId="77777777" w:rsidTr="00B178A2">
        <w:tc>
          <w:tcPr>
            <w:tcW w:w="0" w:type="auto"/>
            <w:tcMar>
              <w:top w:w="150" w:type="dxa"/>
              <w:left w:w="0" w:type="dxa"/>
              <w:bottom w:w="150" w:type="dxa"/>
              <w:right w:w="240" w:type="dxa"/>
            </w:tcMar>
            <w:vAlign w:val="center"/>
            <w:hideMark/>
          </w:tcPr>
          <w:p w14:paraId="321B6143"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F6F0468"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Female</w:t>
            </w:r>
          </w:p>
        </w:tc>
        <w:tc>
          <w:tcPr>
            <w:tcW w:w="0" w:type="auto"/>
            <w:tcMar>
              <w:top w:w="150" w:type="dxa"/>
              <w:left w:w="240" w:type="dxa"/>
              <w:bottom w:w="150" w:type="dxa"/>
              <w:right w:w="240" w:type="dxa"/>
            </w:tcMar>
            <w:vAlign w:val="center"/>
            <w:hideMark/>
          </w:tcPr>
          <w:p w14:paraId="4108E50B"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215</w:t>
            </w:r>
          </w:p>
        </w:tc>
        <w:tc>
          <w:tcPr>
            <w:tcW w:w="0" w:type="auto"/>
            <w:tcMar>
              <w:top w:w="150" w:type="dxa"/>
              <w:left w:w="240" w:type="dxa"/>
              <w:bottom w:w="150" w:type="dxa"/>
              <w:right w:w="0" w:type="dxa"/>
            </w:tcMar>
            <w:vAlign w:val="center"/>
            <w:hideMark/>
          </w:tcPr>
          <w:p w14:paraId="0D47B9FB"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56.0</w:t>
            </w:r>
          </w:p>
        </w:tc>
      </w:tr>
      <w:tr w:rsidR="00B76A28" w:rsidRPr="00B178A2" w14:paraId="46959FDC" w14:textId="77777777" w:rsidTr="00B178A2">
        <w:tc>
          <w:tcPr>
            <w:tcW w:w="0" w:type="auto"/>
            <w:tcMar>
              <w:top w:w="150" w:type="dxa"/>
              <w:left w:w="0" w:type="dxa"/>
              <w:bottom w:w="150" w:type="dxa"/>
              <w:right w:w="240" w:type="dxa"/>
            </w:tcMar>
            <w:vAlign w:val="center"/>
            <w:hideMark/>
          </w:tcPr>
          <w:p w14:paraId="5BE4D98F"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b/>
                <w:bCs/>
                <w:kern w:val="0"/>
                <w:sz w:val="22"/>
                <w:szCs w:val="22"/>
                <w14:ligatures w14:val="none"/>
              </w:rPr>
              <w:t>Age group (years)</w:t>
            </w:r>
          </w:p>
        </w:tc>
        <w:tc>
          <w:tcPr>
            <w:tcW w:w="0" w:type="auto"/>
            <w:tcMar>
              <w:top w:w="150" w:type="dxa"/>
              <w:left w:w="240" w:type="dxa"/>
              <w:bottom w:w="150" w:type="dxa"/>
              <w:right w:w="240" w:type="dxa"/>
            </w:tcMar>
            <w:vAlign w:val="center"/>
            <w:hideMark/>
          </w:tcPr>
          <w:p w14:paraId="757B1884"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15–24</w:t>
            </w:r>
          </w:p>
        </w:tc>
        <w:tc>
          <w:tcPr>
            <w:tcW w:w="0" w:type="auto"/>
            <w:tcMar>
              <w:top w:w="150" w:type="dxa"/>
              <w:left w:w="240" w:type="dxa"/>
              <w:bottom w:w="150" w:type="dxa"/>
              <w:right w:w="240" w:type="dxa"/>
            </w:tcMar>
            <w:vAlign w:val="center"/>
            <w:hideMark/>
          </w:tcPr>
          <w:p w14:paraId="0E686A6E"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85</w:t>
            </w:r>
          </w:p>
        </w:tc>
        <w:tc>
          <w:tcPr>
            <w:tcW w:w="0" w:type="auto"/>
            <w:tcMar>
              <w:top w:w="150" w:type="dxa"/>
              <w:left w:w="240" w:type="dxa"/>
              <w:bottom w:w="150" w:type="dxa"/>
              <w:right w:w="0" w:type="dxa"/>
            </w:tcMar>
            <w:vAlign w:val="center"/>
            <w:hideMark/>
          </w:tcPr>
          <w:p w14:paraId="56C7B5C8"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22.1</w:t>
            </w:r>
          </w:p>
        </w:tc>
      </w:tr>
      <w:tr w:rsidR="00B76A28" w:rsidRPr="00B178A2" w14:paraId="3761E524" w14:textId="77777777" w:rsidTr="00B178A2">
        <w:tc>
          <w:tcPr>
            <w:tcW w:w="0" w:type="auto"/>
            <w:tcMar>
              <w:top w:w="150" w:type="dxa"/>
              <w:left w:w="0" w:type="dxa"/>
              <w:bottom w:w="150" w:type="dxa"/>
              <w:right w:w="240" w:type="dxa"/>
            </w:tcMar>
            <w:vAlign w:val="center"/>
            <w:hideMark/>
          </w:tcPr>
          <w:p w14:paraId="75228B78"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94D5E8C"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25–34</w:t>
            </w:r>
          </w:p>
        </w:tc>
        <w:tc>
          <w:tcPr>
            <w:tcW w:w="0" w:type="auto"/>
            <w:tcMar>
              <w:top w:w="150" w:type="dxa"/>
              <w:left w:w="240" w:type="dxa"/>
              <w:bottom w:w="150" w:type="dxa"/>
              <w:right w:w="240" w:type="dxa"/>
            </w:tcMar>
            <w:vAlign w:val="center"/>
            <w:hideMark/>
          </w:tcPr>
          <w:p w14:paraId="3831068A"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108</w:t>
            </w:r>
          </w:p>
        </w:tc>
        <w:tc>
          <w:tcPr>
            <w:tcW w:w="0" w:type="auto"/>
            <w:tcMar>
              <w:top w:w="150" w:type="dxa"/>
              <w:left w:w="240" w:type="dxa"/>
              <w:bottom w:w="150" w:type="dxa"/>
              <w:right w:w="0" w:type="dxa"/>
            </w:tcMar>
            <w:vAlign w:val="center"/>
            <w:hideMark/>
          </w:tcPr>
          <w:p w14:paraId="4BD4A244"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28.1</w:t>
            </w:r>
          </w:p>
        </w:tc>
      </w:tr>
      <w:tr w:rsidR="00B76A28" w:rsidRPr="00B178A2" w14:paraId="6B7EB4F0" w14:textId="77777777" w:rsidTr="00B178A2">
        <w:tc>
          <w:tcPr>
            <w:tcW w:w="0" w:type="auto"/>
            <w:tcMar>
              <w:top w:w="150" w:type="dxa"/>
              <w:left w:w="0" w:type="dxa"/>
              <w:bottom w:w="150" w:type="dxa"/>
              <w:right w:w="240" w:type="dxa"/>
            </w:tcMar>
            <w:vAlign w:val="center"/>
            <w:hideMark/>
          </w:tcPr>
          <w:p w14:paraId="41A07922"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453EC23"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35–44</w:t>
            </w:r>
          </w:p>
        </w:tc>
        <w:tc>
          <w:tcPr>
            <w:tcW w:w="0" w:type="auto"/>
            <w:tcMar>
              <w:top w:w="150" w:type="dxa"/>
              <w:left w:w="240" w:type="dxa"/>
              <w:bottom w:w="150" w:type="dxa"/>
              <w:right w:w="240" w:type="dxa"/>
            </w:tcMar>
            <w:vAlign w:val="center"/>
            <w:hideMark/>
          </w:tcPr>
          <w:p w14:paraId="6296CBEF"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96</w:t>
            </w:r>
          </w:p>
        </w:tc>
        <w:tc>
          <w:tcPr>
            <w:tcW w:w="0" w:type="auto"/>
            <w:tcMar>
              <w:top w:w="150" w:type="dxa"/>
              <w:left w:w="240" w:type="dxa"/>
              <w:bottom w:w="150" w:type="dxa"/>
              <w:right w:w="0" w:type="dxa"/>
            </w:tcMar>
            <w:vAlign w:val="center"/>
            <w:hideMark/>
          </w:tcPr>
          <w:p w14:paraId="4E1A8C21"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25.0</w:t>
            </w:r>
          </w:p>
        </w:tc>
      </w:tr>
      <w:tr w:rsidR="00B76A28" w:rsidRPr="00B178A2" w14:paraId="3A725ADD" w14:textId="77777777" w:rsidTr="00B178A2">
        <w:tc>
          <w:tcPr>
            <w:tcW w:w="0" w:type="auto"/>
            <w:tcMar>
              <w:top w:w="150" w:type="dxa"/>
              <w:left w:w="0" w:type="dxa"/>
              <w:bottom w:w="150" w:type="dxa"/>
              <w:right w:w="240" w:type="dxa"/>
            </w:tcMar>
            <w:vAlign w:val="center"/>
            <w:hideMark/>
          </w:tcPr>
          <w:p w14:paraId="76F04B0D"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B7C3944"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≥45</w:t>
            </w:r>
          </w:p>
        </w:tc>
        <w:tc>
          <w:tcPr>
            <w:tcW w:w="0" w:type="auto"/>
            <w:tcMar>
              <w:top w:w="150" w:type="dxa"/>
              <w:left w:w="240" w:type="dxa"/>
              <w:bottom w:w="150" w:type="dxa"/>
              <w:right w:w="240" w:type="dxa"/>
            </w:tcMar>
            <w:vAlign w:val="center"/>
            <w:hideMark/>
          </w:tcPr>
          <w:p w14:paraId="67ADD62B"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95</w:t>
            </w:r>
          </w:p>
        </w:tc>
        <w:tc>
          <w:tcPr>
            <w:tcW w:w="0" w:type="auto"/>
            <w:tcMar>
              <w:top w:w="150" w:type="dxa"/>
              <w:left w:w="240" w:type="dxa"/>
              <w:bottom w:w="150" w:type="dxa"/>
              <w:right w:w="0" w:type="dxa"/>
            </w:tcMar>
            <w:vAlign w:val="center"/>
            <w:hideMark/>
          </w:tcPr>
          <w:p w14:paraId="12FE2231"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24.8</w:t>
            </w:r>
          </w:p>
        </w:tc>
      </w:tr>
      <w:tr w:rsidR="00B76A28" w:rsidRPr="00B178A2" w14:paraId="095F87BE" w14:textId="77777777" w:rsidTr="00B178A2">
        <w:tc>
          <w:tcPr>
            <w:tcW w:w="0" w:type="auto"/>
            <w:tcMar>
              <w:top w:w="150" w:type="dxa"/>
              <w:left w:w="0" w:type="dxa"/>
              <w:bottom w:w="150" w:type="dxa"/>
              <w:right w:w="240" w:type="dxa"/>
            </w:tcMar>
            <w:vAlign w:val="center"/>
            <w:hideMark/>
          </w:tcPr>
          <w:p w14:paraId="50149871"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b/>
                <w:bCs/>
                <w:kern w:val="0"/>
                <w:sz w:val="22"/>
                <w:szCs w:val="22"/>
                <w14:ligatures w14:val="none"/>
              </w:rPr>
              <w:t>Education level</w:t>
            </w:r>
          </w:p>
        </w:tc>
        <w:tc>
          <w:tcPr>
            <w:tcW w:w="0" w:type="auto"/>
            <w:tcMar>
              <w:top w:w="150" w:type="dxa"/>
              <w:left w:w="240" w:type="dxa"/>
              <w:bottom w:w="150" w:type="dxa"/>
              <w:right w:w="240" w:type="dxa"/>
            </w:tcMar>
            <w:vAlign w:val="center"/>
            <w:hideMark/>
          </w:tcPr>
          <w:p w14:paraId="4128FDD1"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No formal education</w:t>
            </w:r>
          </w:p>
        </w:tc>
        <w:tc>
          <w:tcPr>
            <w:tcW w:w="0" w:type="auto"/>
            <w:tcMar>
              <w:top w:w="150" w:type="dxa"/>
              <w:left w:w="240" w:type="dxa"/>
              <w:bottom w:w="150" w:type="dxa"/>
              <w:right w:w="240" w:type="dxa"/>
            </w:tcMar>
            <w:vAlign w:val="center"/>
            <w:hideMark/>
          </w:tcPr>
          <w:p w14:paraId="5C9E21CD"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69</w:t>
            </w:r>
          </w:p>
        </w:tc>
        <w:tc>
          <w:tcPr>
            <w:tcW w:w="0" w:type="auto"/>
            <w:tcMar>
              <w:top w:w="150" w:type="dxa"/>
              <w:left w:w="240" w:type="dxa"/>
              <w:bottom w:w="150" w:type="dxa"/>
              <w:right w:w="0" w:type="dxa"/>
            </w:tcMar>
            <w:vAlign w:val="center"/>
            <w:hideMark/>
          </w:tcPr>
          <w:p w14:paraId="39839E5F"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18.0</w:t>
            </w:r>
          </w:p>
        </w:tc>
      </w:tr>
      <w:tr w:rsidR="00B76A28" w:rsidRPr="00B178A2" w14:paraId="05F7E61C" w14:textId="77777777" w:rsidTr="00B178A2">
        <w:tc>
          <w:tcPr>
            <w:tcW w:w="0" w:type="auto"/>
            <w:tcMar>
              <w:top w:w="150" w:type="dxa"/>
              <w:left w:w="0" w:type="dxa"/>
              <w:bottom w:w="150" w:type="dxa"/>
              <w:right w:w="240" w:type="dxa"/>
            </w:tcMar>
            <w:vAlign w:val="center"/>
            <w:hideMark/>
          </w:tcPr>
          <w:p w14:paraId="30E746B6"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39080EB"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Primary</w:t>
            </w:r>
          </w:p>
        </w:tc>
        <w:tc>
          <w:tcPr>
            <w:tcW w:w="0" w:type="auto"/>
            <w:tcMar>
              <w:top w:w="150" w:type="dxa"/>
              <w:left w:w="240" w:type="dxa"/>
              <w:bottom w:w="150" w:type="dxa"/>
              <w:right w:w="240" w:type="dxa"/>
            </w:tcMar>
            <w:vAlign w:val="center"/>
            <w:hideMark/>
          </w:tcPr>
          <w:p w14:paraId="49AE982E"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131</w:t>
            </w:r>
          </w:p>
        </w:tc>
        <w:tc>
          <w:tcPr>
            <w:tcW w:w="0" w:type="auto"/>
            <w:tcMar>
              <w:top w:w="150" w:type="dxa"/>
              <w:left w:w="240" w:type="dxa"/>
              <w:bottom w:w="150" w:type="dxa"/>
              <w:right w:w="0" w:type="dxa"/>
            </w:tcMar>
            <w:vAlign w:val="center"/>
            <w:hideMark/>
          </w:tcPr>
          <w:p w14:paraId="4A10EA43"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34.1</w:t>
            </w:r>
          </w:p>
        </w:tc>
      </w:tr>
      <w:tr w:rsidR="00B76A28" w:rsidRPr="00B178A2" w14:paraId="49C392AF" w14:textId="77777777" w:rsidTr="00B178A2">
        <w:tc>
          <w:tcPr>
            <w:tcW w:w="0" w:type="auto"/>
            <w:tcMar>
              <w:top w:w="150" w:type="dxa"/>
              <w:left w:w="0" w:type="dxa"/>
              <w:bottom w:w="150" w:type="dxa"/>
              <w:right w:w="240" w:type="dxa"/>
            </w:tcMar>
            <w:vAlign w:val="center"/>
            <w:hideMark/>
          </w:tcPr>
          <w:p w14:paraId="12436484"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E73D31A"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Secondary</w:t>
            </w:r>
          </w:p>
        </w:tc>
        <w:tc>
          <w:tcPr>
            <w:tcW w:w="0" w:type="auto"/>
            <w:tcMar>
              <w:top w:w="150" w:type="dxa"/>
              <w:left w:w="240" w:type="dxa"/>
              <w:bottom w:w="150" w:type="dxa"/>
              <w:right w:w="240" w:type="dxa"/>
            </w:tcMar>
            <w:vAlign w:val="center"/>
            <w:hideMark/>
          </w:tcPr>
          <w:p w14:paraId="7C765A4B"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123</w:t>
            </w:r>
          </w:p>
        </w:tc>
        <w:tc>
          <w:tcPr>
            <w:tcW w:w="0" w:type="auto"/>
            <w:tcMar>
              <w:top w:w="150" w:type="dxa"/>
              <w:left w:w="240" w:type="dxa"/>
              <w:bottom w:w="150" w:type="dxa"/>
              <w:right w:w="0" w:type="dxa"/>
            </w:tcMar>
            <w:vAlign w:val="center"/>
            <w:hideMark/>
          </w:tcPr>
          <w:p w14:paraId="6372E4E2"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32.0</w:t>
            </w:r>
          </w:p>
        </w:tc>
      </w:tr>
      <w:tr w:rsidR="00B76A28" w:rsidRPr="00B178A2" w14:paraId="73317A0D" w14:textId="77777777" w:rsidTr="00B178A2">
        <w:tc>
          <w:tcPr>
            <w:tcW w:w="0" w:type="auto"/>
            <w:tcMar>
              <w:top w:w="150" w:type="dxa"/>
              <w:left w:w="0" w:type="dxa"/>
              <w:bottom w:w="150" w:type="dxa"/>
              <w:right w:w="240" w:type="dxa"/>
            </w:tcMar>
            <w:vAlign w:val="center"/>
            <w:hideMark/>
          </w:tcPr>
          <w:p w14:paraId="6EDF2295"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13E9443"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Higher</w:t>
            </w:r>
          </w:p>
        </w:tc>
        <w:tc>
          <w:tcPr>
            <w:tcW w:w="0" w:type="auto"/>
            <w:tcMar>
              <w:top w:w="150" w:type="dxa"/>
              <w:left w:w="240" w:type="dxa"/>
              <w:bottom w:w="150" w:type="dxa"/>
              <w:right w:w="240" w:type="dxa"/>
            </w:tcMar>
            <w:vAlign w:val="center"/>
            <w:hideMark/>
          </w:tcPr>
          <w:p w14:paraId="58CA71A1"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61</w:t>
            </w:r>
          </w:p>
        </w:tc>
        <w:tc>
          <w:tcPr>
            <w:tcW w:w="0" w:type="auto"/>
            <w:tcMar>
              <w:top w:w="150" w:type="dxa"/>
              <w:left w:w="240" w:type="dxa"/>
              <w:bottom w:w="150" w:type="dxa"/>
              <w:right w:w="0" w:type="dxa"/>
            </w:tcMar>
            <w:vAlign w:val="center"/>
            <w:hideMark/>
          </w:tcPr>
          <w:p w14:paraId="69761C88"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15.9</w:t>
            </w:r>
          </w:p>
        </w:tc>
      </w:tr>
    </w:tbl>
    <w:p w14:paraId="4C242D19"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Interpretation:</w:t>
      </w:r>
      <w:r w:rsidRPr="00B178A2">
        <w:rPr>
          <w:rFonts w:ascii="Times New Roman" w:eastAsia="Times New Roman" w:hAnsi="Times New Roman" w:cs="Times New Roman"/>
          <w:color w:val="0F1115"/>
          <w:kern w:val="0"/>
          <w14:ligatures w14:val="none"/>
        </w:rPr>
        <w:t> The sample was predominantly female (56.0%), reflecting that women are primarily responsible for water collection and household hygiene. The largest age group was 25–34 years (28.1%), representing the economically active population. The majority had primary education (34.1%) or secondary education (32.0%), while 18.0% had no formal education.</w:t>
      </w:r>
    </w:p>
    <w:p w14:paraId="22E2F2F9"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3.2. Water Sources and Treatment Practices</w:t>
      </w:r>
    </w:p>
    <w:p w14:paraId="778FFA98"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Table 2 presents the main water sources used by the population, and Table 3 shows water treatment practices.</w:t>
      </w:r>
    </w:p>
    <w:p w14:paraId="698D85A3"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Table 2</w:t>
      </w:r>
      <w:r w:rsidRPr="00B178A2">
        <w:rPr>
          <w:rFonts w:ascii="Times New Roman" w:eastAsia="Times New Roman" w:hAnsi="Times New Roman" w:cs="Times New Roman"/>
          <w:color w:val="0F1115"/>
          <w:kern w:val="0"/>
          <w14:ligatures w14:val="none"/>
        </w:rPr>
        <w:br/>
        <w:t>*Main Water Sources (N = 384)*</w:t>
      </w:r>
    </w:p>
    <w:tbl>
      <w:tblPr>
        <w:tblW w:w="3457"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83"/>
        <w:gridCol w:w="810"/>
        <w:gridCol w:w="664"/>
      </w:tblGrid>
      <w:tr w:rsidR="00B76A28" w:rsidRPr="00B178A2" w14:paraId="76973AA8" w14:textId="77777777" w:rsidTr="00B178A2">
        <w:trPr>
          <w:tblHeader/>
        </w:trPr>
        <w:tc>
          <w:tcPr>
            <w:tcW w:w="2419" w:type="dxa"/>
            <w:tcBorders>
              <w:top w:val="single" w:sz="4" w:space="0" w:color="auto"/>
              <w:bottom w:val="single" w:sz="4" w:space="0" w:color="auto"/>
            </w:tcBorders>
            <w:tcMar>
              <w:top w:w="150" w:type="dxa"/>
              <w:left w:w="0" w:type="dxa"/>
              <w:bottom w:w="150" w:type="dxa"/>
              <w:right w:w="240" w:type="dxa"/>
            </w:tcMar>
            <w:vAlign w:val="center"/>
            <w:hideMark/>
          </w:tcPr>
          <w:p w14:paraId="754CB81F"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Water source</w:t>
            </w:r>
          </w:p>
        </w:tc>
        <w:tc>
          <w:tcPr>
            <w:tcW w:w="490" w:type="dxa"/>
            <w:tcBorders>
              <w:top w:val="single" w:sz="4" w:space="0" w:color="auto"/>
              <w:bottom w:val="single" w:sz="4" w:space="0" w:color="auto"/>
            </w:tcBorders>
            <w:tcMar>
              <w:top w:w="150" w:type="dxa"/>
              <w:left w:w="240" w:type="dxa"/>
              <w:bottom w:w="150" w:type="dxa"/>
              <w:right w:w="240" w:type="dxa"/>
            </w:tcMar>
            <w:vAlign w:val="center"/>
            <w:hideMark/>
          </w:tcPr>
          <w:p w14:paraId="1B406B69"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11654F13"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w:t>
            </w:r>
          </w:p>
        </w:tc>
      </w:tr>
      <w:tr w:rsidR="00B76A28" w:rsidRPr="00B178A2" w14:paraId="4DA07D88" w14:textId="77777777" w:rsidTr="00B178A2">
        <w:tc>
          <w:tcPr>
            <w:tcW w:w="2419" w:type="dxa"/>
            <w:tcBorders>
              <w:top w:val="single" w:sz="4" w:space="0" w:color="auto"/>
            </w:tcBorders>
            <w:tcMar>
              <w:top w:w="150" w:type="dxa"/>
              <w:left w:w="0" w:type="dxa"/>
              <w:bottom w:w="150" w:type="dxa"/>
              <w:right w:w="240" w:type="dxa"/>
            </w:tcMar>
            <w:vAlign w:val="center"/>
            <w:hideMark/>
          </w:tcPr>
          <w:p w14:paraId="22B2260F"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River/unprotected well</w:t>
            </w:r>
          </w:p>
        </w:tc>
        <w:tc>
          <w:tcPr>
            <w:tcW w:w="490" w:type="dxa"/>
            <w:tcBorders>
              <w:top w:val="single" w:sz="4" w:space="0" w:color="auto"/>
            </w:tcBorders>
            <w:tcMar>
              <w:top w:w="150" w:type="dxa"/>
              <w:left w:w="240" w:type="dxa"/>
              <w:bottom w:w="150" w:type="dxa"/>
              <w:right w:w="240" w:type="dxa"/>
            </w:tcMar>
            <w:vAlign w:val="center"/>
            <w:hideMark/>
          </w:tcPr>
          <w:p w14:paraId="276ADE00"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238</w:t>
            </w:r>
          </w:p>
        </w:tc>
        <w:tc>
          <w:tcPr>
            <w:tcW w:w="548" w:type="dxa"/>
            <w:tcBorders>
              <w:top w:val="single" w:sz="4" w:space="0" w:color="auto"/>
            </w:tcBorders>
            <w:tcMar>
              <w:top w:w="150" w:type="dxa"/>
              <w:left w:w="240" w:type="dxa"/>
              <w:bottom w:w="150" w:type="dxa"/>
              <w:right w:w="0" w:type="dxa"/>
            </w:tcMar>
            <w:vAlign w:val="center"/>
            <w:hideMark/>
          </w:tcPr>
          <w:p w14:paraId="49D36397"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62.0</w:t>
            </w:r>
          </w:p>
        </w:tc>
      </w:tr>
      <w:tr w:rsidR="00B76A28" w:rsidRPr="00B178A2" w14:paraId="6494AB51" w14:textId="77777777" w:rsidTr="00B178A2">
        <w:tc>
          <w:tcPr>
            <w:tcW w:w="2419" w:type="dxa"/>
            <w:tcMar>
              <w:top w:w="150" w:type="dxa"/>
              <w:left w:w="0" w:type="dxa"/>
              <w:bottom w:w="150" w:type="dxa"/>
              <w:right w:w="240" w:type="dxa"/>
            </w:tcMar>
            <w:vAlign w:val="center"/>
            <w:hideMark/>
          </w:tcPr>
          <w:p w14:paraId="20FCB6E8"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lastRenderedPageBreak/>
              <w:t>Protected well</w:t>
            </w:r>
          </w:p>
        </w:tc>
        <w:tc>
          <w:tcPr>
            <w:tcW w:w="490" w:type="dxa"/>
            <w:tcMar>
              <w:top w:w="150" w:type="dxa"/>
              <w:left w:w="240" w:type="dxa"/>
              <w:bottom w:w="150" w:type="dxa"/>
              <w:right w:w="240" w:type="dxa"/>
            </w:tcMar>
            <w:vAlign w:val="center"/>
            <w:hideMark/>
          </w:tcPr>
          <w:p w14:paraId="1A01965C"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81</w:t>
            </w:r>
          </w:p>
        </w:tc>
        <w:tc>
          <w:tcPr>
            <w:tcW w:w="548" w:type="dxa"/>
            <w:tcMar>
              <w:top w:w="150" w:type="dxa"/>
              <w:left w:w="240" w:type="dxa"/>
              <w:bottom w:w="150" w:type="dxa"/>
              <w:right w:w="0" w:type="dxa"/>
            </w:tcMar>
            <w:vAlign w:val="center"/>
            <w:hideMark/>
          </w:tcPr>
          <w:p w14:paraId="49F2041D"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21.1</w:t>
            </w:r>
          </w:p>
        </w:tc>
      </w:tr>
      <w:tr w:rsidR="00B76A28" w:rsidRPr="00B178A2" w14:paraId="3E18496D" w14:textId="77777777" w:rsidTr="00B178A2">
        <w:tc>
          <w:tcPr>
            <w:tcW w:w="2419" w:type="dxa"/>
            <w:tcMar>
              <w:top w:w="150" w:type="dxa"/>
              <w:left w:w="0" w:type="dxa"/>
              <w:bottom w:w="150" w:type="dxa"/>
              <w:right w:w="240" w:type="dxa"/>
            </w:tcMar>
            <w:vAlign w:val="center"/>
            <w:hideMark/>
          </w:tcPr>
          <w:p w14:paraId="367D3A03"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Borehole</w:t>
            </w:r>
          </w:p>
        </w:tc>
        <w:tc>
          <w:tcPr>
            <w:tcW w:w="490" w:type="dxa"/>
            <w:tcMar>
              <w:top w:w="150" w:type="dxa"/>
              <w:left w:w="240" w:type="dxa"/>
              <w:bottom w:w="150" w:type="dxa"/>
              <w:right w:w="240" w:type="dxa"/>
            </w:tcMar>
            <w:vAlign w:val="center"/>
            <w:hideMark/>
          </w:tcPr>
          <w:p w14:paraId="7D275B07"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35</w:t>
            </w:r>
          </w:p>
        </w:tc>
        <w:tc>
          <w:tcPr>
            <w:tcW w:w="548" w:type="dxa"/>
            <w:tcMar>
              <w:top w:w="150" w:type="dxa"/>
              <w:left w:w="240" w:type="dxa"/>
              <w:bottom w:w="150" w:type="dxa"/>
              <w:right w:w="0" w:type="dxa"/>
            </w:tcMar>
            <w:vAlign w:val="center"/>
            <w:hideMark/>
          </w:tcPr>
          <w:p w14:paraId="69DC28DB"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9.1</w:t>
            </w:r>
          </w:p>
        </w:tc>
      </w:tr>
      <w:tr w:rsidR="00B76A28" w:rsidRPr="00B178A2" w14:paraId="5B3BA574" w14:textId="77777777" w:rsidTr="00B178A2">
        <w:tc>
          <w:tcPr>
            <w:tcW w:w="2419" w:type="dxa"/>
            <w:tcMar>
              <w:top w:w="150" w:type="dxa"/>
              <w:left w:w="0" w:type="dxa"/>
              <w:bottom w:w="150" w:type="dxa"/>
              <w:right w:w="240" w:type="dxa"/>
            </w:tcMar>
            <w:vAlign w:val="center"/>
            <w:hideMark/>
          </w:tcPr>
          <w:p w14:paraId="44C5BBB4"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Tap water (REGIDESO)</w:t>
            </w:r>
          </w:p>
        </w:tc>
        <w:tc>
          <w:tcPr>
            <w:tcW w:w="490" w:type="dxa"/>
            <w:tcMar>
              <w:top w:w="150" w:type="dxa"/>
              <w:left w:w="240" w:type="dxa"/>
              <w:bottom w:w="150" w:type="dxa"/>
              <w:right w:w="240" w:type="dxa"/>
            </w:tcMar>
            <w:vAlign w:val="center"/>
            <w:hideMark/>
          </w:tcPr>
          <w:p w14:paraId="70BED1D0"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30</w:t>
            </w:r>
          </w:p>
        </w:tc>
        <w:tc>
          <w:tcPr>
            <w:tcW w:w="548" w:type="dxa"/>
            <w:tcMar>
              <w:top w:w="150" w:type="dxa"/>
              <w:left w:w="240" w:type="dxa"/>
              <w:bottom w:w="150" w:type="dxa"/>
              <w:right w:w="0" w:type="dxa"/>
            </w:tcMar>
            <w:vAlign w:val="center"/>
            <w:hideMark/>
          </w:tcPr>
          <w:p w14:paraId="63840834" w14:textId="77777777" w:rsidR="00B76A28" w:rsidRPr="00B178A2" w:rsidRDefault="00B76A28" w:rsidP="00B178A2">
            <w:pPr>
              <w:spacing w:after="0" w:line="240" w:lineRule="auto"/>
              <w:rPr>
                <w:rFonts w:ascii="Times New Roman" w:eastAsia="Times New Roman" w:hAnsi="Times New Roman" w:cs="Times New Roman"/>
                <w:kern w:val="0"/>
                <w:sz w:val="22"/>
                <w:szCs w:val="22"/>
                <w14:ligatures w14:val="none"/>
              </w:rPr>
            </w:pPr>
            <w:r w:rsidRPr="00B178A2">
              <w:rPr>
                <w:rFonts w:ascii="Times New Roman" w:eastAsia="Times New Roman" w:hAnsi="Times New Roman" w:cs="Times New Roman"/>
                <w:kern w:val="0"/>
                <w:sz w:val="22"/>
                <w:szCs w:val="22"/>
                <w14:ligatures w14:val="none"/>
              </w:rPr>
              <w:t>7.8</w:t>
            </w:r>
          </w:p>
        </w:tc>
      </w:tr>
    </w:tbl>
    <w:p w14:paraId="1A4748EE"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Table 3</w:t>
      </w:r>
      <w:r w:rsidRPr="00B178A2">
        <w:rPr>
          <w:rFonts w:ascii="Times New Roman" w:eastAsia="Times New Roman" w:hAnsi="Times New Roman" w:cs="Times New Roman"/>
          <w:color w:val="0F1115"/>
          <w:kern w:val="0"/>
          <w14:ligatures w14:val="none"/>
        </w:rPr>
        <w:br/>
        <w:t>*Water Treatment Before Consumption (N = 384)*</w:t>
      </w:r>
    </w:p>
    <w:tbl>
      <w:tblPr>
        <w:tblW w:w="489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397"/>
        <w:gridCol w:w="825"/>
        <w:gridCol w:w="672"/>
      </w:tblGrid>
      <w:tr w:rsidR="00B76A28" w:rsidRPr="00B178A2" w14:paraId="04C2D141" w14:textId="77777777" w:rsidTr="00B178A2">
        <w:trPr>
          <w:tblHeader/>
        </w:trPr>
        <w:tc>
          <w:tcPr>
            <w:tcW w:w="3856" w:type="dxa"/>
            <w:tcBorders>
              <w:top w:val="single" w:sz="4" w:space="0" w:color="auto"/>
              <w:bottom w:val="single" w:sz="4" w:space="0" w:color="auto"/>
            </w:tcBorders>
            <w:tcMar>
              <w:top w:w="150" w:type="dxa"/>
              <w:left w:w="0" w:type="dxa"/>
              <w:bottom w:w="150" w:type="dxa"/>
              <w:right w:w="240" w:type="dxa"/>
            </w:tcMar>
            <w:vAlign w:val="center"/>
            <w:hideMark/>
          </w:tcPr>
          <w:p w14:paraId="3BC59A9E"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Treatment</w:t>
            </w:r>
          </w:p>
        </w:tc>
        <w:tc>
          <w:tcPr>
            <w:tcW w:w="490" w:type="dxa"/>
            <w:tcBorders>
              <w:top w:val="single" w:sz="4" w:space="0" w:color="auto"/>
              <w:bottom w:val="single" w:sz="4" w:space="0" w:color="auto"/>
            </w:tcBorders>
            <w:tcMar>
              <w:top w:w="150" w:type="dxa"/>
              <w:left w:w="240" w:type="dxa"/>
              <w:bottom w:w="150" w:type="dxa"/>
              <w:right w:w="240" w:type="dxa"/>
            </w:tcMar>
            <w:vAlign w:val="center"/>
            <w:hideMark/>
          </w:tcPr>
          <w:p w14:paraId="26C9762B"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19C71023"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w:t>
            </w:r>
          </w:p>
        </w:tc>
      </w:tr>
      <w:tr w:rsidR="00B76A28" w:rsidRPr="00B178A2" w14:paraId="0A5FA8E0" w14:textId="77777777" w:rsidTr="00B178A2">
        <w:tc>
          <w:tcPr>
            <w:tcW w:w="3856" w:type="dxa"/>
            <w:tcBorders>
              <w:top w:val="single" w:sz="4" w:space="0" w:color="auto"/>
            </w:tcBorders>
            <w:tcMar>
              <w:top w:w="150" w:type="dxa"/>
              <w:left w:w="0" w:type="dxa"/>
              <w:bottom w:w="150" w:type="dxa"/>
              <w:right w:w="240" w:type="dxa"/>
            </w:tcMar>
            <w:vAlign w:val="center"/>
            <w:hideMark/>
          </w:tcPr>
          <w:p w14:paraId="40E2697A"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Not treated</w:t>
            </w:r>
          </w:p>
        </w:tc>
        <w:tc>
          <w:tcPr>
            <w:tcW w:w="490" w:type="dxa"/>
            <w:tcBorders>
              <w:top w:val="single" w:sz="4" w:space="0" w:color="auto"/>
            </w:tcBorders>
            <w:tcMar>
              <w:top w:w="150" w:type="dxa"/>
              <w:left w:w="240" w:type="dxa"/>
              <w:bottom w:w="150" w:type="dxa"/>
              <w:right w:w="240" w:type="dxa"/>
            </w:tcMar>
            <w:vAlign w:val="center"/>
            <w:hideMark/>
          </w:tcPr>
          <w:p w14:paraId="48F5565F"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272</w:t>
            </w:r>
          </w:p>
        </w:tc>
        <w:tc>
          <w:tcPr>
            <w:tcW w:w="548" w:type="dxa"/>
            <w:tcBorders>
              <w:top w:val="single" w:sz="4" w:space="0" w:color="auto"/>
            </w:tcBorders>
            <w:tcMar>
              <w:top w:w="150" w:type="dxa"/>
              <w:left w:w="240" w:type="dxa"/>
              <w:bottom w:w="150" w:type="dxa"/>
              <w:right w:w="0" w:type="dxa"/>
            </w:tcMar>
            <w:vAlign w:val="center"/>
            <w:hideMark/>
          </w:tcPr>
          <w:p w14:paraId="06FF4751"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70.8</w:t>
            </w:r>
          </w:p>
        </w:tc>
      </w:tr>
      <w:tr w:rsidR="00B76A28" w:rsidRPr="00B178A2" w14:paraId="5359AAAE" w14:textId="77777777" w:rsidTr="00B178A2">
        <w:tc>
          <w:tcPr>
            <w:tcW w:w="3856" w:type="dxa"/>
            <w:tcMar>
              <w:top w:w="150" w:type="dxa"/>
              <w:left w:w="0" w:type="dxa"/>
              <w:bottom w:w="150" w:type="dxa"/>
              <w:right w:w="240" w:type="dxa"/>
            </w:tcMar>
            <w:vAlign w:val="center"/>
            <w:hideMark/>
          </w:tcPr>
          <w:p w14:paraId="12DE4091"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Treated (boiling, chlorination, filtration)</w:t>
            </w:r>
          </w:p>
        </w:tc>
        <w:tc>
          <w:tcPr>
            <w:tcW w:w="490" w:type="dxa"/>
            <w:tcMar>
              <w:top w:w="150" w:type="dxa"/>
              <w:left w:w="240" w:type="dxa"/>
              <w:bottom w:w="150" w:type="dxa"/>
              <w:right w:w="240" w:type="dxa"/>
            </w:tcMar>
            <w:vAlign w:val="center"/>
            <w:hideMark/>
          </w:tcPr>
          <w:p w14:paraId="735FAE13"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112</w:t>
            </w:r>
          </w:p>
        </w:tc>
        <w:tc>
          <w:tcPr>
            <w:tcW w:w="548" w:type="dxa"/>
            <w:tcMar>
              <w:top w:w="150" w:type="dxa"/>
              <w:left w:w="240" w:type="dxa"/>
              <w:bottom w:w="150" w:type="dxa"/>
              <w:right w:w="0" w:type="dxa"/>
            </w:tcMar>
            <w:vAlign w:val="center"/>
            <w:hideMark/>
          </w:tcPr>
          <w:p w14:paraId="38A5FFF8"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29.2</w:t>
            </w:r>
          </w:p>
        </w:tc>
      </w:tr>
    </w:tbl>
    <w:p w14:paraId="31F5AA08"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Interpretation:</w:t>
      </w:r>
      <w:r w:rsidRPr="00B178A2">
        <w:rPr>
          <w:rFonts w:ascii="Times New Roman" w:eastAsia="Times New Roman" w:hAnsi="Times New Roman" w:cs="Times New Roman"/>
          <w:color w:val="0F1115"/>
          <w:kern w:val="0"/>
          <w14:ligatures w14:val="none"/>
        </w:rPr>
        <w:t> </w:t>
      </w:r>
      <w:proofErr w:type="gramStart"/>
      <w:r w:rsidRPr="00B178A2">
        <w:rPr>
          <w:rFonts w:ascii="Times New Roman" w:eastAsia="Times New Roman" w:hAnsi="Times New Roman" w:cs="Times New Roman"/>
          <w:color w:val="0F1115"/>
          <w:kern w:val="0"/>
          <w14:ligatures w14:val="none"/>
        </w:rPr>
        <w:t>The majority of</w:t>
      </w:r>
      <w:proofErr w:type="gramEnd"/>
      <w:r w:rsidRPr="00B178A2">
        <w:rPr>
          <w:rFonts w:ascii="Times New Roman" w:eastAsia="Times New Roman" w:hAnsi="Times New Roman" w:cs="Times New Roman"/>
          <w:color w:val="0F1115"/>
          <w:kern w:val="0"/>
          <w14:ligatures w14:val="none"/>
        </w:rPr>
        <w:t xml:space="preserve"> the population (62.0%) used unprotected water sources (river or unprotected wells), exposing them to high contamination risk. Alarmingly, 70.8% did not treat their water before consumption. Only 7.8% had access to tap water, indicating poor coverage of public water services.</w:t>
      </w:r>
    </w:p>
    <w:p w14:paraId="3888C00F"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3.3. Sanitation and Hygiene Conditions</w:t>
      </w:r>
    </w:p>
    <w:p w14:paraId="713CE067"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Table 4 presents sanitation and hygiene conditions in the households.</w:t>
      </w:r>
    </w:p>
    <w:p w14:paraId="4779D145"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Table 4</w:t>
      </w:r>
      <w:r w:rsidRPr="00B178A2">
        <w:rPr>
          <w:rFonts w:ascii="Times New Roman" w:eastAsia="Times New Roman" w:hAnsi="Times New Roman" w:cs="Times New Roman"/>
          <w:color w:val="0F1115"/>
          <w:kern w:val="0"/>
          <w14:ligatures w14:val="none"/>
        </w:rPr>
        <w:br/>
        <w:t>*Sanitation and Hygiene Conditions (N = 384)*</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37"/>
        <w:gridCol w:w="1324"/>
        <w:gridCol w:w="825"/>
        <w:gridCol w:w="672"/>
      </w:tblGrid>
      <w:tr w:rsidR="00B76A28" w:rsidRPr="00B178A2" w14:paraId="3A168684" w14:textId="77777777" w:rsidTr="00B178A2">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75E15AA"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F71ED2D"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0A4D00F"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DCE9AD4"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w:t>
            </w:r>
          </w:p>
        </w:tc>
      </w:tr>
      <w:tr w:rsidR="00B76A28" w:rsidRPr="00B178A2" w14:paraId="3F5AE9AA" w14:textId="77777777" w:rsidTr="00B178A2">
        <w:tc>
          <w:tcPr>
            <w:tcW w:w="0" w:type="auto"/>
            <w:tcBorders>
              <w:top w:val="single" w:sz="4" w:space="0" w:color="auto"/>
            </w:tcBorders>
            <w:tcMar>
              <w:top w:w="150" w:type="dxa"/>
              <w:left w:w="0" w:type="dxa"/>
              <w:bottom w:w="150" w:type="dxa"/>
              <w:right w:w="240" w:type="dxa"/>
            </w:tcMar>
            <w:vAlign w:val="center"/>
            <w:hideMark/>
          </w:tcPr>
          <w:p w14:paraId="0D334515"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b/>
                <w:bCs/>
                <w:kern w:val="0"/>
                <w:sz w:val="23"/>
                <w:szCs w:val="23"/>
                <w14:ligatures w14:val="none"/>
              </w:rPr>
              <w:t>Presence of latrine</w:t>
            </w:r>
          </w:p>
        </w:tc>
        <w:tc>
          <w:tcPr>
            <w:tcW w:w="0" w:type="auto"/>
            <w:tcBorders>
              <w:top w:val="single" w:sz="4" w:space="0" w:color="auto"/>
            </w:tcBorders>
            <w:tcMar>
              <w:top w:w="150" w:type="dxa"/>
              <w:left w:w="240" w:type="dxa"/>
              <w:bottom w:w="150" w:type="dxa"/>
              <w:right w:w="240" w:type="dxa"/>
            </w:tcMar>
            <w:vAlign w:val="center"/>
            <w:hideMark/>
          </w:tcPr>
          <w:p w14:paraId="02EDE2EA"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7B26EBE4"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246</w:t>
            </w:r>
          </w:p>
        </w:tc>
        <w:tc>
          <w:tcPr>
            <w:tcW w:w="0" w:type="auto"/>
            <w:tcBorders>
              <w:top w:val="single" w:sz="4" w:space="0" w:color="auto"/>
            </w:tcBorders>
            <w:tcMar>
              <w:top w:w="150" w:type="dxa"/>
              <w:left w:w="240" w:type="dxa"/>
              <w:bottom w:w="150" w:type="dxa"/>
              <w:right w:w="0" w:type="dxa"/>
            </w:tcMar>
            <w:vAlign w:val="center"/>
            <w:hideMark/>
          </w:tcPr>
          <w:p w14:paraId="1F349593"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64.1</w:t>
            </w:r>
          </w:p>
        </w:tc>
      </w:tr>
      <w:tr w:rsidR="00B76A28" w:rsidRPr="00B178A2" w14:paraId="5B60D717" w14:textId="77777777" w:rsidTr="00B178A2">
        <w:tc>
          <w:tcPr>
            <w:tcW w:w="0" w:type="auto"/>
            <w:tcMar>
              <w:top w:w="150" w:type="dxa"/>
              <w:left w:w="0" w:type="dxa"/>
              <w:bottom w:w="150" w:type="dxa"/>
              <w:right w:w="240" w:type="dxa"/>
            </w:tcMar>
            <w:vAlign w:val="center"/>
            <w:hideMark/>
          </w:tcPr>
          <w:p w14:paraId="1DC3009E"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CFB696A"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3407F44E"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138</w:t>
            </w:r>
          </w:p>
        </w:tc>
        <w:tc>
          <w:tcPr>
            <w:tcW w:w="0" w:type="auto"/>
            <w:tcMar>
              <w:top w:w="150" w:type="dxa"/>
              <w:left w:w="240" w:type="dxa"/>
              <w:bottom w:w="150" w:type="dxa"/>
              <w:right w:w="0" w:type="dxa"/>
            </w:tcMar>
            <w:vAlign w:val="center"/>
            <w:hideMark/>
          </w:tcPr>
          <w:p w14:paraId="30342449"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35.9</w:t>
            </w:r>
          </w:p>
        </w:tc>
      </w:tr>
      <w:tr w:rsidR="00B76A28" w:rsidRPr="00B178A2" w14:paraId="291E1D42" w14:textId="77777777" w:rsidTr="00B178A2">
        <w:tc>
          <w:tcPr>
            <w:tcW w:w="0" w:type="auto"/>
            <w:tcMar>
              <w:top w:w="150" w:type="dxa"/>
              <w:left w:w="0" w:type="dxa"/>
              <w:bottom w:w="150" w:type="dxa"/>
              <w:right w:w="240" w:type="dxa"/>
            </w:tcMar>
            <w:vAlign w:val="center"/>
            <w:hideMark/>
          </w:tcPr>
          <w:p w14:paraId="2D286DA4"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b/>
                <w:bCs/>
                <w:kern w:val="0"/>
                <w:sz w:val="23"/>
                <w:szCs w:val="23"/>
                <w14:ligatures w14:val="none"/>
              </w:rPr>
              <w:t>Defecation practice</w:t>
            </w:r>
          </w:p>
        </w:tc>
        <w:tc>
          <w:tcPr>
            <w:tcW w:w="0" w:type="auto"/>
            <w:tcMar>
              <w:top w:w="150" w:type="dxa"/>
              <w:left w:w="240" w:type="dxa"/>
              <w:bottom w:w="150" w:type="dxa"/>
              <w:right w:w="240" w:type="dxa"/>
            </w:tcMar>
            <w:vAlign w:val="center"/>
            <w:hideMark/>
          </w:tcPr>
          <w:p w14:paraId="0302EFB8"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Latrine</w:t>
            </w:r>
          </w:p>
        </w:tc>
        <w:tc>
          <w:tcPr>
            <w:tcW w:w="0" w:type="auto"/>
            <w:tcMar>
              <w:top w:w="150" w:type="dxa"/>
              <w:left w:w="240" w:type="dxa"/>
              <w:bottom w:w="150" w:type="dxa"/>
              <w:right w:w="240" w:type="dxa"/>
            </w:tcMar>
            <w:vAlign w:val="center"/>
            <w:hideMark/>
          </w:tcPr>
          <w:p w14:paraId="22B30FBB"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246</w:t>
            </w:r>
          </w:p>
        </w:tc>
        <w:tc>
          <w:tcPr>
            <w:tcW w:w="0" w:type="auto"/>
            <w:tcMar>
              <w:top w:w="150" w:type="dxa"/>
              <w:left w:w="240" w:type="dxa"/>
              <w:bottom w:w="150" w:type="dxa"/>
              <w:right w:w="0" w:type="dxa"/>
            </w:tcMar>
            <w:vAlign w:val="center"/>
            <w:hideMark/>
          </w:tcPr>
          <w:p w14:paraId="4A6F4104"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64.1</w:t>
            </w:r>
          </w:p>
        </w:tc>
      </w:tr>
      <w:tr w:rsidR="00B76A28" w:rsidRPr="00B178A2" w14:paraId="10AFCD8D" w14:textId="77777777" w:rsidTr="00B178A2">
        <w:tc>
          <w:tcPr>
            <w:tcW w:w="0" w:type="auto"/>
            <w:tcMar>
              <w:top w:w="150" w:type="dxa"/>
              <w:left w:w="0" w:type="dxa"/>
              <w:bottom w:w="150" w:type="dxa"/>
              <w:right w:w="240" w:type="dxa"/>
            </w:tcMar>
            <w:vAlign w:val="center"/>
            <w:hideMark/>
          </w:tcPr>
          <w:p w14:paraId="0355288C"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50145D8"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Open air</w:t>
            </w:r>
          </w:p>
        </w:tc>
        <w:tc>
          <w:tcPr>
            <w:tcW w:w="0" w:type="auto"/>
            <w:tcMar>
              <w:top w:w="150" w:type="dxa"/>
              <w:left w:w="240" w:type="dxa"/>
              <w:bottom w:w="150" w:type="dxa"/>
              <w:right w:w="240" w:type="dxa"/>
            </w:tcMar>
            <w:vAlign w:val="center"/>
            <w:hideMark/>
          </w:tcPr>
          <w:p w14:paraId="4CE15825"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138</w:t>
            </w:r>
          </w:p>
        </w:tc>
        <w:tc>
          <w:tcPr>
            <w:tcW w:w="0" w:type="auto"/>
            <w:tcMar>
              <w:top w:w="150" w:type="dxa"/>
              <w:left w:w="240" w:type="dxa"/>
              <w:bottom w:w="150" w:type="dxa"/>
              <w:right w:w="0" w:type="dxa"/>
            </w:tcMar>
            <w:vAlign w:val="center"/>
            <w:hideMark/>
          </w:tcPr>
          <w:p w14:paraId="7BFF6AC4"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35.9</w:t>
            </w:r>
          </w:p>
        </w:tc>
      </w:tr>
    </w:tbl>
    <w:p w14:paraId="436D66B9"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Interpretation:</w:t>
      </w:r>
      <w:r w:rsidRPr="00B178A2">
        <w:rPr>
          <w:rFonts w:ascii="Times New Roman" w:eastAsia="Times New Roman" w:hAnsi="Times New Roman" w:cs="Times New Roman"/>
          <w:color w:val="0F1115"/>
          <w:kern w:val="0"/>
          <w14:ligatures w14:val="none"/>
        </w:rPr>
        <w:t> While 64.1% of households had latrines, a significant proportion (35.9%) lacked access and practiced open defecation. This represents a major risk factor for fecal contamination of the environment and water sources.</w:t>
      </w:r>
    </w:p>
    <w:p w14:paraId="570AB281"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3.4. Prevalence and Types of Intestinal Parasites</w:t>
      </w:r>
    </w:p>
    <w:p w14:paraId="506EDCE6"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Table 5 presents the overall prevalence of intestinal parasites, and Table 6 shows the distribution of parasite species.</w:t>
      </w:r>
    </w:p>
    <w:p w14:paraId="481D3BD2"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Table 5</w:t>
      </w:r>
      <w:r w:rsidRPr="00B178A2">
        <w:rPr>
          <w:rFonts w:ascii="Times New Roman" w:eastAsia="Times New Roman" w:hAnsi="Times New Roman" w:cs="Times New Roman"/>
          <w:color w:val="0F1115"/>
          <w:kern w:val="0"/>
          <w14:ligatures w14:val="none"/>
        </w:rPr>
        <w:br/>
        <w:t>*Overall Prevalence of Intestinal Parasites (N = 384)*</w:t>
      </w:r>
    </w:p>
    <w:tbl>
      <w:tblPr>
        <w:tblW w:w="201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071"/>
        <w:gridCol w:w="825"/>
        <w:gridCol w:w="672"/>
      </w:tblGrid>
      <w:tr w:rsidR="00B76A28" w:rsidRPr="00B178A2" w14:paraId="0FD56669" w14:textId="77777777" w:rsidTr="00B178A2">
        <w:trPr>
          <w:tblHeader/>
        </w:trPr>
        <w:tc>
          <w:tcPr>
            <w:tcW w:w="976" w:type="dxa"/>
            <w:tcBorders>
              <w:top w:val="single" w:sz="4" w:space="0" w:color="auto"/>
              <w:bottom w:val="single" w:sz="4" w:space="0" w:color="auto"/>
            </w:tcBorders>
            <w:tcMar>
              <w:top w:w="150" w:type="dxa"/>
              <w:left w:w="0" w:type="dxa"/>
              <w:bottom w:w="150" w:type="dxa"/>
              <w:right w:w="240" w:type="dxa"/>
            </w:tcMar>
            <w:vAlign w:val="center"/>
            <w:hideMark/>
          </w:tcPr>
          <w:p w14:paraId="248CC015"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Result</w:t>
            </w:r>
          </w:p>
        </w:tc>
        <w:tc>
          <w:tcPr>
            <w:tcW w:w="490" w:type="dxa"/>
            <w:tcBorders>
              <w:top w:val="single" w:sz="4" w:space="0" w:color="auto"/>
              <w:bottom w:val="single" w:sz="4" w:space="0" w:color="auto"/>
            </w:tcBorders>
            <w:tcMar>
              <w:top w:w="150" w:type="dxa"/>
              <w:left w:w="240" w:type="dxa"/>
              <w:bottom w:w="150" w:type="dxa"/>
              <w:right w:w="240" w:type="dxa"/>
            </w:tcMar>
            <w:vAlign w:val="center"/>
            <w:hideMark/>
          </w:tcPr>
          <w:p w14:paraId="46B1A278"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27B2C251"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w:t>
            </w:r>
          </w:p>
        </w:tc>
      </w:tr>
      <w:tr w:rsidR="00B76A28" w:rsidRPr="00B178A2" w14:paraId="07B9BF31" w14:textId="77777777" w:rsidTr="00B178A2">
        <w:tc>
          <w:tcPr>
            <w:tcW w:w="976" w:type="dxa"/>
            <w:tcBorders>
              <w:top w:val="single" w:sz="4" w:space="0" w:color="auto"/>
            </w:tcBorders>
            <w:tcMar>
              <w:top w:w="150" w:type="dxa"/>
              <w:left w:w="0" w:type="dxa"/>
              <w:bottom w:w="150" w:type="dxa"/>
              <w:right w:w="240" w:type="dxa"/>
            </w:tcMar>
            <w:vAlign w:val="center"/>
            <w:hideMark/>
          </w:tcPr>
          <w:p w14:paraId="08C67A7A"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Positive</w:t>
            </w:r>
          </w:p>
        </w:tc>
        <w:tc>
          <w:tcPr>
            <w:tcW w:w="490" w:type="dxa"/>
            <w:tcBorders>
              <w:top w:val="single" w:sz="4" w:space="0" w:color="auto"/>
            </w:tcBorders>
            <w:tcMar>
              <w:top w:w="150" w:type="dxa"/>
              <w:left w:w="240" w:type="dxa"/>
              <w:bottom w:w="150" w:type="dxa"/>
              <w:right w:w="240" w:type="dxa"/>
            </w:tcMar>
            <w:vAlign w:val="center"/>
            <w:hideMark/>
          </w:tcPr>
          <w:p w14:paraId="415553DE"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231</w:t>
            </w:r>
          </w:p>
        </w:tc>
        <w:tc>
          <w:tcPr>
            <w:tcW w:w="548" w:type="dxa"/>
            <w:tcBorders>
              <w:top w:val="single" w:sz="4" w:space="0" w:color="auto"/>
            </w:tcBorders>
            <w:tcMar>
              <w:top w:w="150" w:type="dxa"/>
              <w:left w:w="240" w:type="dxa"/>
              <w:bottom w:w="150" w:type="dxa"/>
              <w:right w:w="0" w:type="dxa"/>
            </w:tcMar>
            <w:vAlign w:val="center"/>
            <w:hideMark/>
          </w:tcPr>
          <w:p w14:paraId="017F324F"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60.1</w:t>
            </w:r>
          </w:p>
        </w:tc>
      </w:tr>
      <w:tr w:rsidR="00B76A28" w:rsidRPr="00B178A2" w14:paraId="68241BD4" w14:textId="77777777" w:rsidTr="00B178A2">
        <w:tc>
          <w:tcPr>
            <w:tcW w:w="976" w:type="dxa"/>
            <w:tcMar>
              <w:top w:w="150" w:type="dxa"/>
              <w:left w:w="0" w:type="dxa"/>
              <w:bottom w:w="150" w:type="dxa"/>
              <w:right w:w="240" w:type="dxa"/>
            </w:tcMar>
            <w:vAlign w:val="center"/>
            <w:hideMark/>
          </w:tcPr>
          <w:p w14:paraId="7BE88102"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Negative</w:t>
            </w:r>
          </w:p>
        </w:tc>
        <w:tc>
          <w:tcPr>
            <w:tcW w:w="490" w:type="dxa"/>
            <w:tcMar>
              <w:top w:w="150" w:type="dxa"/>
              <w:left w:w="240" w:type="dxa"/>
              <w:bottom w:w="150" w:type="dxa"/>
              <w:right w:w="240" w:type="dxa"/>
            </w:tcMar>
            <w:vAlign w:val="center"/>
            <w:hideMark/>
          </w:tcPr>
          <w:p w14:paraId="21AA16A3"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153</w:t>
            </w:r>
          </w:p>
        </w:tc>
        <w:tc>
          <w:tcPr>
            <w:tcW w:w="548" w:type="dxa"/>
            <w:tcMar>
              <w:top w:w="150" w:type="dxa"/>
              <w:left w:w="240" w:type="dxa"/>
              <w:bottom w:w="150" w:type="dxa"/>
              <w:right w:w="0" w:type="dxa"/>
            </w:tcMar>
            <w:vAlign w:val="center"/>
            <w:hideMark/>
          </w:tcPr>
          <w:p w14:paraId="15333279"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39.9</w:t>
            </w:r>
          </w:p>
        </w:tc>
      </w:tr>
    </w:tbl>
    <w:p w14:paraId="4C4C85FB"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Table 6</w:t>
      </w:r>
      <w:r w:rsidRPr="00B178A2">
        <w:rPr>
          <w:rFonts w:ascii="Times New Roman" w:eastAsia="Times New Roman" w:hAnsi="Times New Roman" w:cs="Times New Roman"/>
          <w:color w:val="0F1115"/>
          <w:kern w:val="0"/>
          <w14:ligatures w14:val="none"/>
        </w:rPr>
        <w:br/>
        <w:t>*Distribution of Parasite Species Identified (N = 384)*</w:t>
      </w:r>
    </w:p>
    <w:tbl>
      <w:tblPr>
        <w:tblW w:w="372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27"/>
        <w:gridCol w:w="825"/>
        <w:gridCol w:w="672"/>
      </w:tblGrid>
      <w:tr w:rsidR="00B76A28" w:rsidRPr="00B178A2" w14:paraId="321C004F" w14:textId="77777777" w:rsidTr="00B178A2">
        <w:trPr>
          <w:tblHeader/>
        </w:trPr>
        <w:tc>
          <w:tcPr>
            <w:tcW w:w="2686" w:type="dxa"/>
            <w:tcBorders>
              <w:top w:val="single" w:sz="4" w:space="0" w:color="auto"/>
              <w:bottom w:val="single" w:sz="4" w:space="0" w:color="auto"/>
            </w:tcBorders>
            <w:tcMar>
              <w:top w:w="150" w:type="dxa"/>
              <w:left w:w="0" w:type="dxa"/>
              <w:bottom w:w="150" w:type="dxa"/>
              <w:right w:w="240" w:type="dxa"/>
            </w:tcMar>
            <w:vAlign w:val="center"/>
            <w:hideMark/>
          </w:tcPr>
          <w:p w14:paraId="2EBCD297"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Parasite species</w:t>
            </w:r>
          </w:p>
        </w:tc>
        <w:tc>
          <w:tcPr>
            <w:tcW w:w="490" w:type="dxa"/>
            <w:tcBorders>
              <w:top w:val="single" w:sz="4" w:space="0" w:color="auto"/>
              <w:bottom w:val="single" w:sz="4" w:space="0" w:color="auto"/>
            </w:tcBorders>
            <w:tcMar>
              <w:top w:w="150" w:type="dxa"/>
              <w:left w:w="240" w:type="dxa"/>
              <w:bottom w:w="150" w:type="dxa"/>
              <w:right w:w="240" w:type="dxa"/>
            </w:tcMar>
            <w:vAlign w:val="center"/>
            <w:hideMark/>
          </w:tcPr>
          <w:p w14:paraId="1CE7AD9E"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7EFC5A2A"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w:t>
            </w:r>
          </w:p>
        </w:tc>
      </w:tr>
      <w:tr w:rsidR="00B76A28" w:rsidRPr="00B178A2" w14:paraId="4514FE42" w14:textId="77777777" w:rsidTr="00B178A2">
        <w:tc>
          <w:tcPr>
            <w:tcW w:w="2686" w:type="dxa"/>
            <w:tcBorders>
              <w:top w:val="single" w:sz="4" w:space="0" w:color="auto"/>
            </w:tcBorders>
            <w:tcMar>
              <w:top w:w="150" w:type="dxa"/>
              <w:left w:w="0" w:type="dxa"/>
              <w:bottom w:w="150" w:type="dxa"/>
              <w:right w:w="240" w:type="dxa"/>
            </w:tcMar>
            <w:vAlign w:val="center"/>
            <w:hideMark/>
          </w:tcPr>
          <w:p w14:paraId="7744A4B2"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i/>
                <w:iCs/>
                <w:kern w:val="0"/>
                <w:sz w:val="23"/>
                <w:szCs w:val="23"/>
                <w14:ligatures w14:val="none"/>
              </w:rPr>
              <w:t>Ascaris lumbricoides</w:t>
            </w:r>
          </w:p>
        </w:tc>
        <w:tc>
          <w:tcPr>
            <w:tcW w:w="490" w:type="dxa"/>
            <w:tcBorders>
              <w:top w:val="single" w:sz="4" w:space="0" w:color="auto"/>
            </w:tcBorders>
            <w:tcMar>
              <w:top w:w="150" w:type="dxa"/>
              <w:left w:w="240" w:type="dxa"/>
              <w:bottom w:w="150" w:type="dxa"/>
              <w:right w:w="240" w:type="dxa"/>
            </w:tcMar>
            <w:vAlign w:val="center"/>
            <w:hideMark/>
          </w:tcPr>
          <w:p w14:paraId="1F6F443E"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108</w:t>
            </w:r>
          </w:p>
        </w:tc>
        <w:tc>
          <w:tcPr>
            <w:tcW w:w="548" w:type="dxa"/>
            <w:tcBorders>
              <w:top w:val="single" w:sz="4" w:space="0" w:color="auto"/>
            </w:tcBorders>
            <w:tcMar>
              <w:top w:w="150" w:type="dxa"/>
              <w:left w:w="240" w:type="dxa"/>
              <w:bottom w:w="150" w:type="dxa"/>
              <w:right w:w="0" w:type="dxa"/>
            </w:tcMar>
            <w:vAlign w:val="center"/>
            <w:hideMark/>
          </w:tcPr>
          <w:p w14:paraId="0A99B081"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28.1</w:t>
            </w:r>
          </w:p>
        </w:tc>
      </w:tr>
      <w:tr w:rsidR="00B76A28" w:rsidRPr="00B178A2" w14:paraId="606084E0" w14:textId="77777777" w:rsidTr="00B178A2">
        <w:tc>
          <w:tcPr>
            <w:tcW w:w="2686" w:type="dxa"/>
            <w:tcMar>
              <w:top w:w="150" w:type="dxa"/>
              <w:left w:w="0" w:type="dxa"/>
              <w:bottom w:w="150" w:type="dxa"/>
              <w:right w:w="240" w:type="dxa"/>
            </w:tcMar>
            <w:vAlign w:val="center"/>
            <w:hideMark/>
          </w:tcPr>
          <w:p w14:paraId="516B090F"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i/>
                <w:iCs/>
                <w:kern w:val="0"/>
                <w:sz w:val="23"/>
                <w:szCs w:val="23"/>
                <w14:ligatures w14:val="none"/>
              </w:rPr>
              <w:t>Giardia intestinalis</w:t>
            </w:r>
          </w:p>
        </w:tc>
        <w:tc>
          <w:tcPr>
            <w:tcW w:w="490" w:type="dxa"/>
            <w:tcMar>
              <w:top w:w="150" w:type="dxa"/>
              <w:left w:w="240" w:type="dxa"/>
              <w:bottom w:w="150" w:type="dxa"/>
              <w:right w:w="240" w:type="dxa"/>
            </w:tcMar>
            <w:vAlign w:val="center"/>
            <w:hideMark/>
          </w:tcPr>
          <w:p w14:paraId="1247718C"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84</w:t>
            </w:r>
          </w:p>
        </w:tc>
        <w:tc>
          <w:tcPr>
            <w:tcW w:w="548" w:type="dxa"/>
            <w:tcMar>
              <w:top w:w="150" w:type="dxa"/>
              <w:left w:w="240" w:type="dxa"/>
              <w:bottom w:w="150" w:type="dxa"/>
              <w:right w:w="0" w:type="dxa"/>
            </w:tcMar>
            <w:vAlign w:val="center"/>
            <w:hideMark/>
          </w:tcPr>
          <w:p w14:paraId="59DBCD51"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21.9</w:t>
            </w:r>
          </w:p>
        </w:tc>
      </w:tr>
      <w:tr w:rsidR="00B76A28" w:rsidRPr="00B178A2" w14:paraId="75AE452A" w14:textId="77777777" w:rsidTr="00B178A2">
        <w:tc>
          <w:tcPr>
            <w:tcW w:w="2686" w:type="dxa"/>
            <w:tcMar>
              <w:top w:w="150" w:type="dxa"/>
              <w:left w:w="0" w:type="dxa"/>
              <w:bottom w:w="150" w:type="dxa"/>
              <w:right w:w="240" w:type="dxa"/>
            </w:tcMar>
            <w:vAlign w:val="center"/>
            <w:hideMark/>
          </w:tcPr>
          <w:p w14:paraId="71D66727"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i/>
                <w:iCs/>
                <w:kern w:val="0"/>
                <w:sz w:val="23"/>
                <w:szCs w:val="23"/>
                <w14:ligatures w14:val="none"/>
              </w:rPr>
              <w:t xml:space="preserve">Trichuris </w:t>
            </w:r>
            <w:proofErr w:type="spellStart"/>
            <w:r w:rsidRPr="00B178A2">
              <w:rPr>
                <w:rFonts w:ascii="Times New Roman" w:eastAsia="Times New Roman" w:hAnsi="Times New Roman" w:cs="Times New Roman"/>
                <w:i/>
                <w:iCs/>
                <w:kern w:val="0"/>
                <w:sz w:val="23"/>
                <w:szCs w:val="23"/>
                <w14:ligatures w14:val="none"/>
              </w:rPr>
              <w:t>trichiura</w:t>
            </w:r>
            <w:proofErr w:type="spellEnd"/>
          </w:p>
        </w:tc>
        <w:tc>
          <w:tcPr>
            <w:tcW w:w="490" w:type="dxa"/>
            <w:tcMar>
              <w:top w:w="150" w:type="dxa"/>
              <w:left w:w="240" w:type="dxa"/>
              <w:bottom w:w="150" w:type="dxa"/>
              <w:right w:w="240" w:type="dxa"/>
            </w:tcMar>
            <w:vAlign w:val="center"/>
            <w:hideMark/>
          </w:tcPr>
          <w:p w14:paraId="494044F2"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65</w:t>
            </w:r>
          </w:p>
        </w:tc>
        <w:tc>
          <w:tcPr>
            <w:tcW w:w="548" w:type="dxa"/>
            <w:tcMar>
              <w:top w:w="150" w:type="dxa"/>
              <w:left w:w="240" w:type="dxa"/>
              <w:bottom w:w="150" w:type="dxa"/>
              <w:right w:w="0" w:type="dxa"/>
            </w:tcMar>
            <w:vAlign w:val="center"/>
            <w:hideMark/>
          </w:tcPr>
          <w:p w14:paraId="41A1C278"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16.9</w:t>
            </w:r>
          </w:p>
        </w:tc>
      </w:tr>
      <w:tr w:rsidR="00B76A28" w:rsidRPr="00B178A2" w14:paraId="452BF9A8" w14:textId="77777777" w:rsidTr="00B178A2">
        <w:tc>
          <w:tcPr>
            <w:tcW w:w="2686" w:type="dxa"/>
            <w:tcMar>
              <w:top w:w="150" w:type="dxa"/>
              <w:left w:w="0" w:type="dxa"/>
              <w:bottom w:w="150" w:type="dxa"/>
              <w:right w:w="240" w:type="dxa"/>
            </w:tcMar>
            <w:vAlign w:val="center"/>
            <w:hideMark/>
          </w:tcPr>
          <w:p w14:paraId="39A058B7"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i/>
                <w:iCs/>
                <w:kern w:val="0"/>
                <w:sz w:val="23"/>
                <w:szCs w:val="23"/>
                <w14:ligatures w14:val="none"/>
              </w:rPr>
              <w:t>Entamoeba histolytica</w:t>
            </w:r>
          </w:p>
        </w:tc>
        <w:tc>
          <w:tcPr>
            <w:tcW w:w="490" w:type="dxa"/>
            <w:tcMar>
              <w:top w:w="150" w:type="dxa"/>
              <w:left w:w="240" w:type="dxa"/>
              <w:bottom w:w="150" w:type="dxa"/>
              <w:right w:w="240" w:type="dxa"/>
            </w:tcMar>
            <w:vAlign w:val="center"/>
            <w:hideMark/>
          </w:tcPr>
          <w:p w14:paraId="57783314"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57</w:t>
            </w:r>
          </w:p>
        </w:tc>
        <w:tc>
          <w:tcPr>
            <w:tcW w:w="548" w:type="dxa"/>
            <w:tcMar>
              <w:top w:w="150" w:type="dxa"/>
              <w:left w:w="240" w:type="dxa"/>
              <w:bottom w:w="150" w:type="dxa"/>
              <w:right w:w="0" w:type="dxa"/>
            </w:tcMar>
            <w:vAlign w:val="center"/>
            <w:hideMark/>
          </w:tcPr>
          <w:p w14:paraId="394C74DC"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14.8</w:t>
            </w:r>
          </w:p>
        </w:tc>
      </w:tr>
      <w:tr w:rsidR="00B76A28" w:rsidRPr="00B178A2" w14:paraId="03A52717" w14:textId="77777777" w:rsidTr="00B178A2">
        <w:tc>
          <w:tcPr>
            <w:tcW w:w="2686" w:type="dxa"/>
            <w:tcMar>
              <w:top w:w="150" w:type="dxa"/>
              <w:left w:w="0" w:type="dxa"/>
              <w:bottom w:w="150" w:type="dxa"/>
              <w:right w:w="240" w:type="dxa"/>
            </w:tcMar>
            <w:vAlign w:val="center"/>
            <w:hideMark/>
          </w:tcPr>
          <w:p w14:paraId="431584C9"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lastRenderedPageBreak/>
              <w:t>Polyparasitism (≥2 species)</w:t>
            </w:r>
          </w:p>
        </w:tc>
        <w:tc>
          <w:tcPr>
            <w:tcW w:w="490" w:type="dxa"/>
            <w:tcMar>
              <w:top w:w="150" w:type="dxa"/>
              <w:left w:w="240" w:type="dxa"/>
              <w:bottom w:w="150" w:type="dxa"/>
              <w:right w:w="240" w:type="dxa"/>
            </w:tcMar>
            <w:vAlign w:val="center"/>
            <w:hideMark/>
          </w:tcPr>
          <w:p w14:paraId="2B93FC4C"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67</w:t>
            </w:r>
          </w:p>
        </w:tc>
        <w:tc>
          <w:tcPr>
            <w:tcW w:w="548" w:type="dxa"/>
            <w:tcMar>
              <w:top w:w="150" w:type="dxa"/>
              <w:left w:w="240" w:type="dxa"/>
              <w:bottom w:w="150" w:type="dxa"/>
              <w:right w:w="0" w:type="dxa"/>
            </w:tcMar>
            <w:vAlign w:val="center"/>
            <w:hideMark/>
          </w:tcPr>
          <w:p w14:paraId="6742AAF3"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17.4</w:t>
            </w:r>
          </w:p>
        </w:tc>
      </w:tr>
    </w:tbl>
    <w:p w14:paraId="71D945AA"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Interpretation:</w:t>
      </w:r>
      <w:r w:rsidRPr="00B178A2">
        <w:rPr>
          <w:rFonts w:ascii="Times New Roman" w:eastAsia="Times New Roman" w:hAnsi="Times New Roman" w:cs="Times New Roman"/>
          <w:color w:val="0F1115"/>
          <w:kern w:val="0"/>
          <w14:ligatures w14:val="none"/>
        </w:rPr>
        <w:t> The overall prevalence of intestinal parasites was alarmingly high (60.1%). </w:t>
      </w:r>
      <w:r w:rsidRPr="00B178A2">
        <w:rPr>
          <w:rFonts w:ascii="Times New Roman" w:eastAsia="Times New Roman" w:hAnsi="Times New Roman" w:cs="Times New Roman"/>
          <w:i/>
          <w:iCs/>
          <w:color w:val="0F1115"/>
          <w:kern w:val="0"/>
          <w14:ligatures w14:val="none"/>
        </w:rPr>
        <w:t>Ascaris lumbricoides</w:t>
      </w:r>
      <w:r w:rsidRPr="00B178A2">
        <w:rPr>
          <w:rFonts w:ascii="Times New Roman" w:eastAsia="Times New Roman" w:hAnsi="Times New Roman" w:cs="Times New Roman"/>
          <w:color w:val="0F1115"/>
          <w:kern w:val="0"/>
          <w14:ligatures w14:val="none"/>
        </w:rPr>
        <w:t> was the most common species (28.1%), followed by </w:t>
      </w:r>
      <w:r w:rsidRPr="00B178A2">
        <w:rPr>
          <w:rFonts w:ascii="Times New Roman" w:eastAsia="Times New Roman" w:hAnsi="Times New Roman" w:cs="Times New Roman"/>
          <w:i/>
          <w:iCs/>
          <w:color w:val="0F1115"/>
          <w:kern w:val="0"/>
          <w14:ligatures w14:val="none"/>
        </w:rPr>
        <w:t>Giardia intestinalis</w:t>
      </w:r>
      <w:r w:rsidRPr="00B178A2">
        <w:rPr>
          <w:rFonts w:ascii="Times New Roman" w:eastAsia="Times New Roman" w:hAnsi="Times New Roman" w:cs="Times New Roman"/>
          <w:color w:val="0F1115"/>
          <w:kern w:val="0"/>
          <w14:ligatures w14:val="none"/>
        </w:rPr>
        <w:t> (21.9%) and </w:t>
      </w:r>
      <w:r w:rsidRPr="00B178A2">
        <w:rPr>
          <w:rFonts w:ascii="Times New Roman" w:eastAsia="Times New Roman" w:hAnsi="Times New Roman" w:cs="Times New Roman"/>
          <w:i/>
          <w:iCs/>
          <w:color w:val="0F1115"/>
          <w:kern w:val="0"/>
          <w14:ligatures w14:val="none"/>
        </w:rPr>
        <w:t xml:space="preserve">Trichuris </w:t>
      </w:r>
      <w:proofErr w:type="spellStart"/>
      <w:r w:rsidRPr="00B178A2">
        <w:rPr>
          <w:rFonts w:ascii="Times New Roman" w:eastAsia="Times New Roman" w:hAnsi="Times New Roman" w:cs="Times New Roman"/>
          <w:i/>
          <w:iCs/>
          <w:color w:val="0F1115"/>
          <w:kern w:val="0"/>
          <w14:ligatures w14:val="none"/>
        </w:rPr>
        <w:t>trichiura</w:t>
      </w:r>
      <w:proofErr w:type="spellEnd"/>
      <w:r w:rsidRPr="00B178A2">
        <w:rPr>
          <w:rFonts w:ascii="Times New Roman" w:eastAsia="Times New Roman" w:hAnsi="Times New Roman" w:cs="Times New Roman"/>
          <w:color w:val="0F1115"/>
          <w:kern w:val="0"/>
          <w14:ligatures w14:val="none"/>
        </w:rPr>
        <w:t> (16.9%). Polyparasitism was significant, affecting 17.4% of the sample.</w:t>
      </w:r>
    </w:p>
    <w:p w14:paraId="37528052"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3.5. Association Between Water Source and Parasitic Infection</w:t>
      </w:r>
    </w:p>
    <w:p w14:paraId="7311A37A"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Table 7 presents the association between water source and prevalence of intestinal parasites.</w:t>
      </w:r>
    </w:p>
    <w:p w14:paraId="06B9696C"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Table 7</w:t>
      </w:r>
      <w:r w:rsidRPr="00B178A2">
        <w:rPr>
          <w:rFonts w:ascii="Times New Roman" w:eastAsia="Times New Roman" w:hAnsi="Times New Roman" w:cs="Times New Roman"/>
          <w:color w:val="0F1115"/>
          <w:kern w:val="0"/>
          <w14:ligatures w14:val="none"/>
        </w:rPr>
        <w:br/>
        <w:t>*Association Between Water Source and Parasitic Infection (N = 384)*</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55"/>
        <w:gridCol w:w="825"/>
        <w:gridCol w:w="1764"/>
        <w:gridCol w:w="1892"/>
      </w:tblGrid>
      <w:tr w:rsidR="00B76A28" w:rsidRPr="00B178A2" w14:paraId="15FA52AA" w14:textId="77777777" w:rsidTr="00B178A2">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20E0F81"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Water source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0759557"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9EEFD66"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Positive cases</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07C273E"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Prevalence (%)</w:t>
            </w:r>
          </w:p>
        </w:tc>
      </w:tr>
      <w:tr w:rsidR="00B76A28" w:rsidRPr="00B178A2" w14:paraId="082939FD" w14:textId="77777777" w:rsidTr="00B178A2">
        <w:tc>
          <w:tcPr>
            <w:tcW w:w="0" w:type="auto"/>
            <w:tcBorders>
              <w:top w:val="single" w:sz="4" w:space="0" w:color="auto"/>
            </w:tcBorders>
            <w:tcMar>
              <w:top w:w="150" w:type="dxa"/>
              <w:left w:w="0" w:type="dxa"/>
              <w:bottom w:w="150" w:type="dxa"/>
              <w:right w:w="240" w:type="dxa"/>
            </w:tcMar>
            <w:vAlign w:val="center"/>
            <w:hideMark/>
          </w:tcPr>
          <w:p w14:paraId="3F41EEC4"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River/unprotected well</w:t>
            </w:r>
          </w:p>
        </w:tc>
        <w:tc>
          <w:tcPr>
            <w:tcW w:w="0" w:type="auto"/>
            <w:tcBorders>
              <w:top w:val="single" w:sz="4" w:space="0" w:color="auto"/>
            </w:tcBorders>
            <w:tcMar>
              <w:top w:w="150" w:type="dxa"/>
              <w:left w:w="240" w:type="dxa"/>
              <w:bottom w:w="150" w:type="dxa"/>
              <w:right w:w="240" w:type="dxa"/>
            </w:tcMar>
            <w:vAlign w:val="center"/>
            <w:hideMark/>
          </w:tcPr>
          <w:p w14:paraId="5F71B915"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238</w:t>
            </w:r>
          </w:p>
        </w:tc>
        <w:tc>
          <w:tcPr>
            <w:tcW w:w="0" w:type="auto"/>
            <w:tcBorders>
              <w:top w:val="single" w:sz="4" w:space="0" w:color="auto"/>
            </w:tcBorders>
            <w:tcMar>
              <w:top w:w="150" w:type="dxa"/>
              <w:left w:w="240" w:type="dxa"/>
              <w:bottom w:w="150" w:type="dxa"/>
              <w:right w:w="240" w:type="dxa"/>
            </w:tcMar>
            <w:vAlign w:val="center"/>
            <w:hideMark/>
          </w:tcPr>
          <w:p w14:paraId="28D63957"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174</w:t>
            </w:r>
          </w:p>
        </w:tc>
        <w:tc>
          <w:tcPr>
            <w:tcW w:w="0" w:type="auto"/>
            <w:tcBorders>
              <w:top w:val="single" w:sz="4" w:space="0" w:color="auto"/>
            </w:tcBorders>
            <w:tcMar>
              <w:top w:w="150" w:type="dxa"/>
              <w:left w:w="240" w:type="dxa"/>
              <w:bottom w:w="150" w:type="dxa"/>
              <w:right w:w="0" w:type="dxa"/>
            </w:tcMar>
            <w:vAlign w:val="center"/>
            <w:hideMark/>
          </w:tcPr>
          <w:p w14:paraId="3D6288DC"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73.1</w:t>
            </w:r>
          </w:p>
        </w:tc>
      </w:tr>
      <w:tr w:rsidR="00B76A28" w:rsidRPr="00B178A2" w14:paraId="50AE6B40" w14:textId="77777777" w:rsidTr="00B178A2">
        <w:tc>
          <w:tcPr>
            <w:tcW w:w="0" w:type="auto"/>
            <w:tcMar>
              <w:top w:w="150" w:type="dxa"/>
              <w:left w:w="0" w:type="dxa"/>
              <w:bottom w:w="150" w:type="dxa"/>
              <w:right w:w="240" w:type="dxa"/>
            </w:tcMar>
            <w:vAlign w:val="center"/>
            <w:hideMark/>
          </w:tcPr>
          <w:p w14:paraId="30A25F20"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Protected well</w:t>
            </w:r>
          </w:p>
        </w:tc>
        <w:tc>
          <w:tcPr>
            <w:tcW w:w="0" w:type="auto"/>
            <w:tcMar>
              <w:top w:w="150" w:type="dxa"/>
              <w:left w:w="240" w:type="dxa"/>
              <w:bottom w:w="150" w:type="dxa"/>
              <w:right w:w="240" w:type="dxa"/>
            </w:tcMar>
            <w:vAlign w:val="center"/>
            <w:hideMark/>
          </w:tcPr>
          <w:p w14:paraId="60281BA6"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81</w:t>
            </w:r>
          </w:p>
        </w:tc>
        <w:tc>
          <w:tcPr>
            <w:tcW w:w="0" w:type="auto"/>
            <w:tcMar>
              <w:top w:w="150" w:type="dxa"/>
              <w:left w:w="240" w:type="dxa"/>
              <w:bottom w:w="150" w:type="dxa"/>
              <w:right w:w="240" w:type="dxa"/>
            </w:tcMar>
            <w:vAlign w:val="center"/>
            <w:hideMark/>
          </w:tcPr>
          <w:p w14:paraId="7DB9A503"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45</w:t>
            </w:r>
          </w:p>
        </w:tc>
        <w:tc>
          <w:tcPr>
            <w:tcW w:w="0" w:type="auto"/>
            <w:tcMar>
              <w:top w:w="150" w:type="dxa"/>
              <w:left w:w="240" w:type="dxa"/>
              <w:bottom w:w="150" w:type="dxa"/>
              <w:right w:w="0" w:type="dxa"/>
            </w:tcMar>
            <w:vAlign w:val="center"/>
            <w:hideMark/>
          </w:tcPr>
          <w:p w14:paraId="55FC7201"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55.6</w:t>
            </w:r>
          </w:p>
        </w:tc>
      </w:tr>
      <w:tr w:rsidR="00B76A28" w:rsidRPr="00B178A2" w14:paraId="7DC21FD5" w14:textId="77777777" w:rsidTr="00B178A2">
        <w:tc>
          <w:tcPr>
            <w:tcW w:w="0" w:type="auto"/>
            <w:tcMar>
              <w:top w:w="150" w:type="dxa"/>
              <w:left w:w="0" w:type="dxa"/>
              <w:bottom w:w="150" w:type="dxa"/>
              <w:right w:w="240" w:type="dxa"/>
            </w:tcMar>
            <w:vAlign w:val="center"/>
            <w:hideMark/>
          </w:tcPr>
          <w:p w14:paraId="4E555CC0"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Borehole/Tap water</w:t>
            </w:r>
          </w:p>
        </w:tc>
        <w:tc>
          <w:tcPr>
            <w:tcW w:w="0" w:type="auto"/>
            <w:tcMar>
              <w:top w:w="150" w:type="dxa"/>
              <w:left w:w="240" w:type="dxa"/>
              <w:bottom w:w="150" w:type="dxa"/>
              <w:right w:w="240" w:type="dxa"/>
            </w:tcMar>
            <w:vAlign w:val="center"/>
            <w:hideMark/>
          </w:tcPr>
          <w:p w14:paraId="3BD41E2C"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65</w:t>
            </w:r>
          </w:p>
        </w:tc>
        <w:tc>
          <w:tcPr>
            <w:tcW w:w="0" w:type="auto"/>
            <w:tcMar>
              <w:top w:w="150" w:type="dxa"/>
              <w:left w:w="240" w:type="dxa"/>
              <w:bottom w:w="150" w:type="dxa"/>
              <w:right w:w="240" w:type="dxa"/>
            </w:tcMar>
            <w:vAlign w:val="center"/>
            <w:hideMark/>
          </w:tcPr>
          <w:p w14:paraId="53965174"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25</w:t>
            </w:r>
          </w:p>
        </w:tc>
        <w:tc>
          <w:tcPr>
            <w:tcW w:w="0" w:type="auto"/>
            <w:tcMar>
              <w:top w:w="150" w:type="dxa"/>
              <w:left w:w="240" w:type="dxa"/>
              <w:bottom w:w="150" w:type="dxa"/>
              <w:right w:w="0" w:type="dxa"/>
            </w:tcMar>
            <w:vAlign w:val="center"/>
            <w:hideMark/>
          </w:tcPr>
          <w:p w14:paraId="48BFB651"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38.5</w:t>
            </w:r>
          </w:p>
        </w:tc>
      </w:tr>
    </w:tbl>
    <w:p w14:paraId="1B4C297D"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*χ² = 28.6, </w:t>
      </w:r>
      <w:proofErr w:type="spellStart"/>
      <w:r w:rsidRPr="00B178A2">
        <w:rPr>
          <w:rFonts w:ascii="Times New Roman" w:eastAsia="Times New Roman" w:hAnsi="Times New Roman" w:cs="Times New Roman"/>
          <w:color w:val="0F1115"/>
          <w:kern w:val="0"/>
          <w14:ligatures w14:val="none"/>
        </w:rPr>
        <w:t>df</w:t>
      </w:r>
      <w:proofErr w:type="spellEnd"/>
      <w:r w:rsidRPr="00B178A2">
        <w:rPr>
          <w:rFonts w:ascii="Times New Roman" w:eastAsia="Times New Roman" w:hAnsi="Times New Roman" w:cs="Times New Roman"/>
          <w:color w:val="0F1115"/>
          <w:kern w:val="0"/>
          <w14:ligatures w14:val="none"/>
        </w:rPr>
        <w:t xml:space="preserve"> = 2, p &lt; 0.001 (highly significant)*</w:t>
      </w:r>
    </w:p>
    <w:p w14:paraId="53E064AB"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Interpretation:</w:t>
      </w:r>
      <w:r w:rsidRPr="00B178A2">
        <w:rPr>
          <w:rFonts w:ascii="Times New Roman" w:eastAsia="Times New Roman" w:hAnsi="Times New Roman" w:cs="Times New Roman"/>
          <w:color w:val="0F1115"/>
          <w:kern w:val="0"/>
          <w14:ligatures w14:val="none"/>
        </w:rPr>
        <w:t> A strong, statistically significant association (p &lt; 0.001) was found between water source and parasitic infection. The prevalence was highest among river/unprotected well users (73.1%), followed by protected well users (55.6%), and lowest among those using boreholes or tap water (38.5%). This confirms the alternative hypothesis that untreated surface water consumption is associated with higher parasitic colonization.</w:t>
      </w:r>
    </w:p>
    <w:p w14:paraId="6282E02A"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3.6. Knowledge of Water-Related Health Risks</w:t>
      </w:r>
    </w:p>
    <w:p w14:paraId="51DEA89D"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lastRenderedPageBreak/>
        <w:t>Table 8 presents the population's knowledge of the link between unsafe water and disease.</w:t>
      </w:r>
    </w:p>
    <w:p w14:paraId="65F76474"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Table 8</w:t>
      </w:r>
      <w:r w:rsidRPr="00B178A2">
        <w:rPr>
          <w:rFonts w:ascii="Times New Roman" w:eastAsia="Times New Roman" w:hAnsi="Times New Roman" w:cs="Times New Roman"/>
          <w:color w:val="0F1115"/>
          <w:kern w:val="0"/>
          <w14:ligatures w14:val="none"/>
        </w:rPr>
        <w:br/>
        <w:t>*Knowledge of the Link Between Unsafe Water and Disease (N = 384)*</w:t>
      </w:r>
    </w:p>
    <w:tbl>
      <w:tblPr>
        <w:tblW w:w="206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22"/>
        <w:gridCol w:w="825"/>
        <w:gridCol w:w="672"/>
      </w:tblGrid>
      <w:tr w:rsidR="00B76A28" w:rsidRPr="00B178A2" w14:paraId="6F716ACD" w14:textId="77777777" w:rsidTr="00B178A2">
        <w:trPr>
          <w:tblHeader/>
        </w:trPr>
        <w:tc>
          <w:tcPr>
            <w:tcW w:w="1027" w:type="dxa"/>
            <w:tcBorders>
              <w:top w:val="single" w:sz="4" w:space="0" w:color="auto"/>
              <w:bottom w:val="single" w:sz="4" w:space="0" w:color="auto"/>
            </w:tcBorders>
            <w:tcMar>
              <w:top w:w="150" w:type="dxa"/>
              <w:left w:w="0" w:type="dxa"/>
              <w:bottom w:w="150" w:type="dxa"/>
              <w:right w:w="240" w:type="dxa"/>
            </w:tcMar>
            <w:vAlign w:val="center"/>
            <w:hideMark/>
          </w:tcPr>
          <w:p w14:paraId="5ED592AD"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Response</w:t>
            </w:r>
          </w:p>
        </w:tc>
        <w:tc>
          <w:tcPr>
            <w:tcW w:w="490" w:type="dxa"/>
            <w:tcBorders>
              <w:top w:val="single" w:sz="4" w:space="0" w:color="auto"/>
              <w:bottom w:val="single" w:sz="4" w:space="0" w:color="auto"/>
            </w:tcBorders>
            <w:tcMar>
              <w:top w:w="150" w:type="dxa"/>
              <w:left w:w="240" w:type="dxa"/>
              <w:bottom w:w="150" w:type="dxa"/>
              <w:right w:w="240" w:type="dxa"/>
            </w:tcMar>
            <w:vAlign w:val="center"/>
            <w:hideMark/>
          </w:tcPr>
          <w:p w14:paraId="4268DD33"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4BFACC03"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w:t>
            </w:r>
          </w:p>
        </w:tc>
      </w:tr>
      <w:tr w:rsidR="00B76A28" w:rsidRPr="00B178A2" w14:paraId="35E10CFD" w14:textId="77777777" w:rsidTr="00B178A2">
        <w:tc>
          <w:tcPr>
            <w:tcW w:w="1027" w:type="dxa"/>
            <w:tcBorders>
              <w:top w:val="single" w:sz="4" w:space="0" w:color="auto"/>
            </w:tcBorders>
            <w:tcMar>
              <w:top w:w="150" w:type="dxa"/>
              <w:left w:w="0" w:type="dxa"/>
              <w:bottom w:w="150" w:type="dxa"/>
              <w:right w:w="240" w:type="dxa"/>
            </w:tcMar>
            <w:vAlign w:val="center"/>
            <w:hideMark/>
          </w:tcPr>
          <w:p w14:paraId="6D1B20E6"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Yes</w:t>
            </w:r>
          </w:p>
        </w:tc>
        <w:tc>
          <w:tcPr>
            <w:tcW w:w="490" w:type="dxa"/>
            <w:tcBorders>
              <w:top w:val="single" w:sz="4" w:space="0" w:color="auto"/>
            </w:tcBorders>
            <w:tcMar>
              <w:top w:w="150" w:type="dxa"/>
              <w:left w:w="240" w:type="dxa"/>
              <w:bottom w:w="150" w:type="dxa"/>
              <w:right w:w="240" w:type="dxa"/>
            </w:tcMar>
            <w:vAlign w:val="center"/>
            <w:hideMark/>
          </w:tcPr>
          <w:p w14:paraId="44C9FD15"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158</w:t>
            </w:r>
          </w:p>
        </w:tc>
        <w:tc>
          <w:tcPr>
            <w:tcW w:w="548" w:type="dxa"/>
            <w:tcBorders>
              <w:top w:val="single" w:sz="4" w:space="0" w:color="auto"/>
            </w:tcBorders>
            <w:tcMar>
              <w:top w:w="150" w:type="dxa"/>
              <w:left w:w="240" w:type="dxa"/>
              <w:bottom w:w="150" w:type="dxa"/>
              <w:right w:w="0" w:type="dxa"/>
            </w:tcMar>
            <w:vAlign w:val="center"/>
            <w:hideMark/>
          </w:tcPr>
          <w:p w14:paraId="13FEED44"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41.1</w:t>
            </w:r>
          </w:p>
        </w:tc>
      </w:tr>
      <w:tr w:rsidR="00B76A28" w:rsidRPr="00B178A2" w14:paraId="26320630" w14:textId="77777777" w:rsidTr="00B178A2">
        <w:tc>
          <w:tcPr>
            <w:tcW w:w="1027" w:type="dxa"/>
            <w:tcMar>
              <w:top w:w="150" w:type="dxa"/>
              <w:left w:w="0" w:type="dxa"/>
              <w:bottom w:w="150" w:type="dxa"/>
              <w:right w:w="240" w:type="dxa"/>
            </w:tcMar>
            <w:vAlign w:val="center"/>
            <w:hideMark/>
          </w:tcPr>
          <w:p w14:paraId="15BC2419"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No</w:t>
            </w:r>
          </w:p>
        </w:tc>
        <w:tc>
          <w:tcPr>
            <w:tcW w:w="490" w:type="dxa"/>
            <w:tcMar>
              <w:top w:w="150" w:type="dxa"/>
              <w:left w:w="240" w:type="dxa"/>
              <w:bottom w:w="150" w:type="dxa"/>
              <w:right w:w="240" w:type="dxa"/>
            </w:tcMar>
            <w:vAlign w:val="center"/>
            <w:hideMark/>
          </w:tcPr>
          <w:p w14:paraId="6DC192EB"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226</w:t>
            </w:r>
          </w:p>
        </w:tc>
        <w:tc>
          <w:tcPr>
            <w:tcW w:w="548" w:type="dxa"/>
            <w:tcMar>
              <w:top w:w="150" w:type="dxa"/>
              <w:left w:w="240" w:type="dxa"/>
              <w:bottom w:w="150" w:type="dxa"/>
              <w:right w:w="0" w:type="dxa"/>
            </w:tcMar>
            <w:vAlign w:val="center"/>
            <w:hideMark/>
          </w:tcPr>
          <w:p w14:paraId="362E3849"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58.9</w:t>
            </w:r>
          </w:p>
        </w:tc>
      </w:tr>
    </w:tbl>
    <w:p w14:paraId="682425B8"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Interpretation:</w:t>
      </w:r>
      <w:r w:rsidRPr="00B178A2">
        <w:rPr>
          <w:rFonts w:ascii="Times New Roman" w:eastAsia="Times New Roman" w:hAnsi="Times New Roman" w:cs="Times New Roman"/>
          <w:color w:val="0F1115"/>
          <w:kern w:val="0"/>
          <w14:ligatures w14:val="none"/>
        </w:rPr>
        <w:t> The majority (58.9%) of respondents did not know that unsafe water consumption is linked to disease. This knowledge deficit is a major risk factor and represents a critical target for health education interventions.</w:t>
      </w:r>
    </w:p>
    <w:p w14:paraId="09BDFB29" w14:textId="77777777" w:rsidR="00B76A28" w:rsidRPr="00B178A2" w:rsidRDefault="00B76A28" w:rsidP="00B76A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178A2">
        <w:rPr>
          <w:rFonts w:ascii="Times New Roman" w:eastAsia="Times New Roman" w:hAnsi="Times New Roman" w:cs="Times New Roman"/>
          <w:b/>
          <w:bCs/>
          <w:color w:val="0F1115"/>
          <w:kern w:val="0"/>
          <w:sz w:val="33"/>
          <w:szCs w:val="33"/>
          <w14:ligatures w14:val="none"/>
        </w:rPr>
        <w:t>4. Discussion</w:t>
      </w:r>
    </w:p>
    <w:p w14:paraId="58590D10"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4.1. Summary of Key Findings</w:t>
      </w:r>
    </w:p>
    <w:p w14:paraId="6B570F5A"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This study provides the first empirical evidence on the relationship between water insalubrity and intestinal parasitic colonization in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Key findings include: (1) extremely high prevalence of intestinal parasites (60.1%); (2) majority of the population using unprotected water sources (62.0%) without treatment (70.8%); (3) significant sanitation gaps (35.9% without latrines, practicing open defecation); (4) strong, significant association between water source and parasitic infection (p &lt; 0.001); and (5) low awareness of water-related health risks (58.9% unaware).</w:t>
      </w:r>
    </w:p>
    <w:p w14:paraId="05F4E928"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4.2. Comparison with Existing Literature</w:t>
      </w:r>
    </w:p>
    <w:p w14:paraId="1FA167F1"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The 60.1% prevalence of intestinal parasites is alarmingly high and exceeds WHO thresholds for hyper-endemicity (≥50%). This is consistent with studies from other resource-limited settings in sub-Saharan Africa. Tadesse et al. (2018) in Ethiopia found a prevalence of 48.5% among children, and Gebru &amp; Asmelash (2014) reported 55.2% in southern Ethiopia. The higher </w:t>
      </w:r>
      <w:r w:rsidRPr="00B178A2">
        <w:rPr>
          <w:rFonts w:ascii="Times New Roman" w:eastAsia="Times New Roman" w:hAnsi="Times New Roman" w:cs="Times New Roman"/>
          <w:color w:val="0F1115"/>
          <w:kern w:val="0"/>
          <w14:ligatures w14:val="none"/>
        </w:rPr>
        <w:lastRenderedPageBreak/>
        <w:t>prevalence in our study may reflect the direct dependence on the Congo River, which is heavily contaminated.</w:t>
      </w:r>
    </w:p>
    <w:p w14:paraId="0E1D5C2D"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The predominance of </w:t>
      </w:r>
      <w:r w:rsidRPr="00B178A2">
        <w:rPr>
          <w:rFonts w:ascii="Times New Roman" w:eastAsia="Times New Roman" w:hAnsi="Times New Roman" w:cs="Times New Roman"/>
          <w:i/>
          <w:iCs/>
          <w:color w:val="0F1115"/>
          <w:kern w:val="0"/>
          <w14:ligatures w14:val="none"/>
        </w:rPr>
        <w:t>Ascaris lumbricoides</w:t>
      </w:r>
      <w:r w:rsidRPr="00B178A2">
        <w:rPr>
          <w:rFonts w:ascii="Times New Roman" w:eastAsia="Times New Roman" w:hAnsi="Times New Roman" w:cs="Times New Roman"/>
          <w:color w:val="0F1115"/>
          <w:kern w:val="0"/>
          <w14:ligatures w14:val="none"/>
        </w:rPr>
        <w:t> (28.1%) is typical for geo-helminths in areas with poor fecal hygiene. This finding aligns with studies in Kisangani, DRC (Kabemba &amp; Mulumba, 2021), where </w:t>
      </w:r>
      <w:r w:rsidRPr="00B178A2">
        <w:rPr>
          <w:rFonts w:ascii="Times New Roman" w:eastAsia="Times New Roman" w:hAnsi="Times New Roman" w:cs="Times New Roman"/>
          <w:i/>
          <w:iCs/>
          <w:color w:val="0F1115"/>
          <w:kern w:val="0"/>
          <w14:ligatures w14:val="none"/>
        </w:rPr>
        <w:t>Ascaris</w:t>
      </w:r>
      <w:r w:rsidRPr="00B178A2">
        <w:rPr>
          <w:rFonts w:ascii="Times New Roman" w:eastAsia="Times New Roman" w:hAnsi="Times New Roman" w:cs="Times New Roman"/>
          <w:color w:val="0F1115"/>
          <w:kern w:val="0"/>
          <w14:ligatures w14:val="none"/>
        </w:rPr>
        <w:t> was also the most prevalent. The significant presence of </w:t>
      </w:r>
      <w:r w:rsidRPr="00B178A2">
        <w:rPr>
          <w:rFonts w:ascii="Times New Roman" w:eastAsia="Times New Roman" w:hAnsi="Times New Roman" w:cs="Times New Roman"/>
          <w:i/>
          <w:iCs/>
          <w:color w:val="0F1115"/>
          <w:kern w:val="0"/>
          <w14:ligatures w14:val="none"/>
        </w:rPr>
        <w:t>Giardia intestinalis</w:t>
      </w:r>
      <w:r w:rsidRPr="00B178A2">
        <w:rPr>
          <w:rFonts w:ascii="Times New Roman" w:eastAsia="Times New Roman" w:hAnsi="Times New Roman" w:cs="Times New Roman"/>
          <w:color w:val="0F1115"/>
          <w:kern w:val="0"/>
          <w14:ligatures w14:val="none"/>
        </w:rPr>
        <w:t> (21.9%) and </w:t>
      </w:r>
      <w:r w:rsidRPr="00B178A2">
        <w:rPr>
          <w:rFonts w:ascii="Times New Roman" w:eastAsia="Times New Roman" w:hAnsi="Times New Roman" w:cs="Times New Roman"/>
          <w:i/>
          <w:iCs/>
          <w:color w:val="0F1115"/>
          <w:kern w:val="0"/>
          <w14:ligatures w14:val="none"/>
        </w:rPr>
        <w:t>Entamoeba histolytica</w:t>
      </w:r>
      <w:r w:rsidRPr="00B178A2">
        <w:rPr>
          <w:rFonts w:ascii="Times New Roman" w:eastAsia="Times New Roman" w:hAnsi="Times New Roman" w:cs="Times New Roman"/>
          <w:color w:val="0F1115"/>
          <w:kern w:val="0"/>
          <w14:ligatures w14:val="none"/>
        </w:rPr>
        <w:t> (14.8%) indicates direct fecal contamination of drinking water, as these protozoa are transmitted primarily through the waterborne route via their cyst forms (</w:t>
      </w:r>
      <w:proofErr w:type="spellStart"/>
      <w:r w:rsidRPr="00B178A2">
        <w:rPr>
          <w:rFonts w:ascii="Times New Roman" w:eastAsia="Times New Roman" w:hAnsi="Times New Roman" w:cs="Times New Roman"/>
          <w:color w:val="0F1115"/>
          <w:kern w:val="0"/>
          <w14:ligatures w14:val="none"/>
        </w:rPr>
        <w:t>Atabati</w:t>
      </w:r>
      <w:proofErr w:type="spellEnd"/>
      <w:r w:rsidRPr="00B178A2">
        <w:rPr>
          <w:rFonts w:ascii="Times New Roman" w:eastAsia="Times New Roman" w:hAnsi="Times New Roman" w:cs="Times New Roman"/>
          <w:color w:val="0F1115"/>
          <w:kern w:val="0"/>
          <w14:ligatures w14:val="none"/>
        </w:rPr>
        <w:t xml:space="preserve"> et al., 2020).</w:t>
      </w:r>
    </w:p>
    <w:p w14:paraId="1765D2BD"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The finding that 73.1% of river/unprotected well users were infected, compared to 38.5% of borehole/tap water users (p &lt; 0.001), is consistent with global evidence. A meta-analysis by </w:t>
      </w:r>
      <w:proofErr w:type="spellStart"/>
      <w:r w:rsidRPr="00B178A2">
        <w:rPr>
          <w:rFonts w:ascii="Times New Roman" w:eastAsia="Times New Roman" w:hAnsi="Times New Roman" w:cs="Times New Roman"/>
          <w:color w:val="0F1115"/>
          <w:kern w:val="0"/>
          <w14:ligatures w14:val="none"/>
        </w:rPr>
        <w:t>Atabati</w:t>
      </w:r>
      <w:proofErr w:type="spellEnd"/>
      <w:r w:rsidRPr="00B178A2">
        <w:rPr>
          <w:rFonts w:ascii="Times New Roman" w:eastAsia="Times New Roman" w:hAnsi="Times New Roman" w:cs="Times New Roman"/>
          <w:color w:val="0F1115"/>
          <w:kern w:val="0"/>
          <w14:ligatures w14:val="none"/>
        </w:rPr>
        <w:t xml:space="preserve"> et al. (2020) concluded that lack of safe drinking water and sanitation facilities significantly increases the risk of intestinal parasitic infections, with odds ratios ranging from 2.5 to 4.0.</w:t>
      </w:r>
    </w:p>
    <w:p w14:paraId="38524C77"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The 58.9% lack of awareness about the link between unsafe water and disease is concerning. This knowledge deficit likely perpetuates risky behaviors (no water treatment, open defecation) and represents a critical gap that must be addressed through sustained health education.</w:t>
      </w:r>
    </w:p>
    <w:p w14:paraId="484C46B9"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4.3. Interpretation of the Fecal-Oral Transmission Cycle</w:t>
      </w:r>
    </w:p>
    <w:p w14:paraId="31420AB7"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The findings strongly support the </w:t>
      </w:r>
      <w:r w:rsidRPr="00B178A2">
        <w:rPr>
          <w:rFonts w:ascii="Times New Roman" w:eastAsia="Times New Roman" w:hAnsi="Times New Roman" w:cs="Times New Roman"/>
          <w:b/>
          <w:bCs/>
          <w:color w:val="0F1115"/>
          <w:kern w:val="0"/>
          <w14:ligatures w14:val="none"/>
        </w:rPr>
        <w:t>F-diagram model</w:t>
      </w:r>
      <w:r w:rsidRPr="00B178A2">
        <w:rPr>
          <w:rFonts w:ascii="Times New Roman" w:eastAsia="Times New Roman" w:hAnsi="Times New Roman" w:cs="Times New Roman"/>
          <w:color w:val="0F1115"/>
          <w:kern w:val="0"/>
          <w14:ligatures w14:val="none"/>
        </w:rPr>
        <w:t xml:space="preserve"> of fecal-oral transmission (Cairncross &amp; </w:t>
      </w:r>
      <w:proofErr w:type="spellStart"/>
      <w:r w:rsidRPr="00B178A2">
        <w:rPr>
          <w:rFonts w:ascii="Times New Roman" w:eastAsia="Times New Roman" w:hAnsi="Times New Roman" w:cs="Times New Roman"/>
          <w:color w:val="0F1115"/>
          <w:kern w:val="0"/>
          <w14:ligatures w14:val="none"/>
        </w:rPr>
        <w:t>Feachem</w:t>
      </w:r>
      <w:proofErr w:type="spellEnd"/>
      <w:r w:rsidRPr="00B178A2">
        <w:rPr>
          <w:rFonts w:ascii="Times New Roman" w:eastAsia="Times New Roman" w:hAnsi="Times New Roman" w:cs="Times New Roman"/>
          <w:color w:val="0F1115"/>
          <w:kern w:val="0"/>
          <w14:ligatures w14:val="none"/>
        </w:rPr>
        <w:t xml:space="preserve">, 1993). The pathways are clearly operational in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w:t>
      </w:r>
    </w:p>
    <w:p w14:paraId="4DA1CA59" w14:textId="77777777" w:rsidR="00B76A28" w:rsidRPr="00B178A2" w:rsidRDefault="00B76A28" w:rsidP="00B76A28">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Fluids (water):</w:t>
      </w:r>
      <w:r w:rsidRPr="00B178A2">
        <w:rPr>
          <w:rFonts w:ascii="Times New Roman" w:eastAsia="Times New Roman" w:hAnsi="Times New Roman" w:cs="Times New Roman"/>
          <w:color w:val="0F1115"/>
          <w:kern w:val="0"/>
          <w14:ligatures w14:val="none"/>
        </w:rPr>
        <w:t> 62.0% use unprotected water sources; 70.8% do not treat water.</w:t>
      </w:r>
    </w:p>
    <w:p w14:paraId="52DC9731" w14:textId="77777777" w:rsidR="00B76A28" w:rsidRPr="00B178A2" w:rsidRDefault="00B76A28" w:rsidP="00B76A28">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Fields (soil):</w:t>
      </w:r>
      <w:r w:rsidRPr="00B178A2">
        <w:rPr>
          <w:rFonts w:ascii="Times New Roman" w:eastAsia="Times New Roman" w:hAnsi="Times New Roman" w:cs="Times New Roman"/>
          <w:color w:val="0F1115"/>
          <w:kern w:val="0"/>
          <w14:ligatures w14:val="none"/>
        </w:rPr>
        <w:t> Open defecation (35.9%) contaminates the environment.</w:t>
      </w:r>
    </w:p>
    <w:p w14:paraId="73A10AFD" w14:textId="77777777" w:rsidR="00B76A28" w:rsidRPr="00B178A2" w:rsidRDefault="00B76A28" w:rsidP="00B76A28">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Fingers (hygiene):</w:t>
      </w:r>
      <w:r w:rsidRPr="00B178A2">
        <w:rPr>
          <w:rFonts w:ascii="Times New Roman" w:eastAsia="Times New Roman" w:hAnsi="Times New Roman" w:cs="Times New Roman"/>
          <w:color w:val="0F1115"/>
          <w:kern w:val="0"/>
          <w14:ligatures w14:val="none"/>
        </w:rPr>
        <w:t> Poor handwashing practices (implied by low awareness).</w:t>
      </w:r>
    </w:p>
    <w:p w14:paraId="042F8419" w14:textId="77777777" w:rsidR="00B76A28" w:rsidRPr="00B178A2" w:rsidRDefault="00B76A28" w:rsidP="00B76A28">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Flies (vectors):</w:t>
      </w:r>
      <w:r w:rsidRPr="00B178A2">
        <w:rPr>
          <w:rFonts w:ascii="Times New Roman" w:eastAsia="Times New Roman" w:hAnsi="Times New Roman" w:cs="Times New Roman"/>
          <w:color w:val="0F1115"/>
          <w:kern w:val="0"/>
          <w14:ligatures w14:val="none"/>
        </w:rPr>
        <w:t> Open waste and stagnant water promote vector proliferation.</w:t>
      </w:r>
    </w:p>
    <w:p w14:paraId="2DEB740C"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The high prevalence of </w:t>
      </w:r>
      <w:r w:rsidRPr="00B178A2">
        <w:rPr>
          <w:rFonts w:ascii="Times New Roman" w:eastAsia="Times New Roman" w:hAnsi="Times New Roman" w:cs="Times New Roman"/>
          <w:i/>
          <w:iCs/>
          <w:color w:val="0F1115"/>
          <w:kern w:val="0"/>
          <w14:ligatures w14:val="none"/>
        </w:rPr>
        <w:t>Giardia</w:t>
      </w:r>
      <w:r w:rsidRPr="00B178A2">
        <w:rPr>
          <w:rFonts w:ascii="Times New Roman" w:eastAsia="Times New Roman" w:hAnsi="Times New Roman" w:cs="Times New Roman"/>
          <w:color w:val="0F1115"/>
          <w:kern w:val="0"/>
          <w14:ligatures w14:val="none"/>
        </w:rPr>
        <w:t> and </w:t>
      </w:r>
      <w:r w:rsidRPr="00B178A2">
        <w:rPr>
          <w:rFonts w:ascii="Times New Roman" w:eastAsia="Times New Roman" w:hAnsi="Times New Roman" w:cs="Times New Roman"/>
          <w:i/>
          <w:iCs/>
          <w:color w:val="0F1115"/>
          <w:kern w:val="0"/>
          <w14:ligatures w14:val="none"/>
        </w:rPr>
        <w:t>Ascaris</w:t>
      </w:r>
      <w:r w:rsidRPr="00B178A2">
        <w:rPr>
          <w:rFonts w:ascii="Times New Roman" w:eastAsia="Times New Roman" w:hAnsi="Times New Roman" w:cs="Times New Roman"/>
          <w:color w:val="0F1115"/>
          <w:kern w:val="0"/>
          <w14:ligatures w14:val="none"/>
        </w:rPr>
        <w:t> indicates that both waterborne and soil-transmitted routes are active. Breaking this cycle requires interventions at multiple levels simultaneously.</w:t>
      </w:r>
    </w:p>
    <w:p w14:paraId="3CCFB658"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lastRenderedPageBreak/>
        <w:t>4.4. Testing of Hypotheses</w:t>
      </w:r>
    </w:p>
    <w:p w14:paraId="07931A79"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The null hypothesis (H₀) is </w:t>
      </w:r>
      <w:r w:rsidRPr="00B178A2">
        <w:rPr>
          <w:rFonts w:ascii="Times New Roman" w:eastAsia="Times New Roman" w:hAnsi="Times New Roman" w:cs="Times New Roman"/>
          <w:b/>
          <w:bCs/>
          <w:color w:val="0F1115"/>
          <w:kern w:val="0"/>
          <w14:ligatures w14:val="none"/>
        </w:rPr>
        <w:t>rejected</w:t>
      </w:r>
      <w:r w:rsidRPr="00B178A2">
        <w:rPr>
          <w:rFonts w:ascii="Times New Roman" w:eastAsia="Times New Roman" w:hAnsi="Times New Roman" w:cs="Times New Roman"/>
          <w:color w:val="0F1115"/>
          <w:kern w:val="0"/>
          <w14:ligatures w14:val="none"/>
        </w:rPr>
        <w:t>. The alternative hypothesis (H₁) is </w:t>
      </w:r>
      <w:r w:rsidRPr="00B178A2">
        <w:rPr>
          <w:rFonts w:ascii="Times New Roman" w:eastAsia="Times New Roman" w:hAnsi="Times New Roman" w:cs="Times New Roman"/>
          <w:b/>
          <w:bCs/>
          <w:color w:val="0F1115"/>
          <w:kern w:val="0"/>
          <w14:ligatures w14:val="none"/>
        </w:rPr>
        <w:t>accepted</w:t>
      </w:r>
      <w:r w:rsidRPr="00B178A2">
        <w:rPr>
          <w:rFonts w:ascii="Times New Roman" w:eastAsia="Times New Roman" w:hAnsi="Times New Roman" w:cs="Times New Roman"/>
          <w:color w:val="0F1115"/>
          <w:kern w:val="0"/>
          <w14:ligatures w14:val="none"/>
        </w:rPr>
        <w:t>: the prevalence of intestinal parasitic infections is significantly higher among residents using untreated river water as their primary drinking source (73.1%) compared to those using alternative sources (protected wells: 55.6%; boreholes/tap water: 38.5%). The chi-square test confirmed a highly significant association (p &lt; 0.001).</w:t>
      </w:r>
    </w:p>
    <w:p w14:paraId="316B58E4"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4.5. Strengths and Limitations</w:t>
      </w:r>
    </w:p>
    <w:p w14:paraId="7E3E00DC"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Strengths:</w:t>
      </w:r>
      <w:r w:rsidRPr="00B178A2">
        <w:rPr>
          <w:rFonts w:ascii="Times New Roman" w:eastAsia="Times New Roman" w:hAnsi="Times New Roman" w:cs="Times New Roman"/>
          <w:color w:val="0F1115"/>
          <w:kern w:val="0"/>
          <w14:ligatures w14:val="none"/>
        </w:rPr>
        <w:t xml:space="preserve"> First study specifically examining water-parasite relationships in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large sample size (n=384); use of both direct smear and Kato-Katz methods for parasitological diagnosis; bacteriological analysis of water sources; high response rate.</w:t>
      </w:r>
    </w:p>
    <w:p w14:paraId="2BB3F68D"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Limitations:</w:t>
      </w:r>
      <w:r w:rsidRPr="00B178A2">
        <w:rPr>
          <w:rFonts w:ascii="Times New Roman" w:eastAsia="Times New Roman" w:hAnsi="Times New Roman" w:cs="Times New Roman"/>
          <w:color w:val="0F1115"/>
          <w:kern w:val="0"/>
          <w14:ligatures w14:val="none"/>
        </w:rPr>
        <w:t> Cross-sectional design precludes causal inference (association not causation); short study period (October–December) may not capture seasonal variations; no chemical water analysis; self-reported data subject to recall bias; single health zone limits generalizability.</w:t>
      </w:r>
    </w:p>
    <w:p w14:paraId="32065804" w14:textId="77777777" w:rsidR="00B76A28" w:rsidRPr="00B178A2" w:rsidRDefault="00B76A28" w:rsidP="00B76A28">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B178A2">
        <w:rPr>
          <w:rFonts w:ascii="Times New Roman" w:eastAsia="Times New Roman" w:hAnsi="Times New Roman" w:cs="Times New Roman"/>
          <w:b/>
          <w:bCs/>
          <w:color w:val="0F1115"/>
          <w:kern w:val="0"/>
          <w:sz w:val="30"/>
          <w:szCs w:val="30"/>
          <w14:ligatures w14:val="none"/>
        </w:rPr>
        <w:t>4.6. Implications for Policy and Practice</w:t>
      </w:r>
    </w:p>
    <w:p w14:paraId="386B4E4C" w14:textId="77777777" w:rsidR="00B76A28" w:rsidRPr="00B178A2" w:rsidRDefault="00B76A28" w:rsidP="00B76A28">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Water supply:</w:t>
      </w:r>
      <w:r w:rsidRPr="00B178A2">
        <w:rPr>
          <w:rFonts w:ascii="Times New Roman" w:eastAsia="Times New Roman" w:hAnsi="Times New Roman" w:cs="Times New Roman"/>
          <w:color w:val="0F1115"/>
          <w:kern w:val="0"/>
          <w14:ligatures w14:val="none"/>
        </w:rPr>
        <w:t xml:space="preserve"> Urgent investment in safe water infrastructure (boreholes, mini-water systems, public standpipes) in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w:t>
      </w:r>
    </w:p>
    <w:p w14:paraId="07A77FF9" w14:textId="77777777" w:rsidR="00B76A28" w:rsidRPr="00B178A2" w:rsidRDefault="00B76A28" w:rsidP="00B76A28">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Water treatment:</w:t>
      </w:r>
      <w:r w:rsidRPr="00B178A2">
        <w:rPr>
          <w:rFonts w:ascii="Times New Roman" w:eastAsia="Times New Roman" w:hAnsi="Times New Roman" w:cs="Times New Roman"/>
          <w:color w:val="0F1115"/>
          <w:kern w:val="0"/>
          <w14:ligatures w14:val="none"/>
        </w:rPr>
        <w:t> Promotion of household water treatment (chlorination, boiling, filtration) through community health workers.</w:t>
      </w:r>
    </w:p>
    <w:p w14:paraId="3FE51613" w14:textId="77777777" w:rsidR="00B76A28" w:rsidRPr="00B178A2" w:rsidRDefault="00B76A28" w:rsidP="00B76A28">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Sanitation:</w:t>
      </w:r>
      <w:r w:rsidRPr="00B178A2">
        <w:rPr>
          <w:rFonts w:ascii="Times New Roman" w:eastAsia="Times New Roman" w:hAnsi="Times New Roman" w:cs="Times New Roman"/>
          <w:color w:val="0F1115"/>
          <w:kern w:val="0"/>
          <w14:ligatures w14:val="none"/>
        </w:rPr>
        <w:t> Construction of hygienic latrines; elimination of open defecation through social mobilization.</w:t>
      </w:r>
    </w:p>
    <w:p w14:paraId="528CAD98" w14:textId="77777777" w:rsidR="00B76A28" w:rsidRPr="00B178A2" w:rsidRDefault="00B76A28" w:rsidP="00B76A28">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Mass deworming:</w:t>
      </w:r>
      <w:r w:rsidRPr="00B178A2">
        <w:rPr>
          <w:rFonts w:ascii="Times New Roman" w:eastAsia="Times New Roman" w:hAnsi="Times New Roman" w:cs="Times New Roman"/>
          <w:color w:val="0F1115"/>
          <w:kern w:val="0"/>
          <w14:ligatures w14:val="none"/>
        </w:rPr>
        <w:t> Regular mass deworming campaigns targeting school-age children and adults.</w:t>
      </w:r>
    </w:p>
    <w:p w14:paraId="79EC8020" w14:textId="77777777" w:rsidR="00B76A28" w:rsidRPr="00B178A2" w:rsidRDefault="00B76A28" w:rsidP="00B76A28">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Health education:</w:t>
      </w:r>
      <w:r w:rsidRPr="00B178A2">
        <w:rPr>
          <w:rFonts w:ascii="Times New Roman" w:eastAsia="Times New Roman" w:hAnsi="Times New Roman" w:cs="Times New Roman"/>
          <w:color w:val="0F1115"/>
          <w:kern w:val="0"/>
          <w14:ligatures w14:val="none"/>
        </w:rPr>
        <w:t> Sustained community awareness programs on water hygiene, handwashing, and disease transmission.</w:t>
      </w:r>
    </w:p>
    <w:p w14:paraId="6715F6DE" w14:textId="77777777" w:rsidR="00B76A28" w:rsidRPr="00B178A2" w:rsidRDefault="00B76A28" w:rsidP="00B76A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178A2">
        <w:rPr>
          <w:rFonts w:ascii="Times New Roman" w:eastAsia="Times New Roman" w:hAnsi="Times New Roman" w:cs="Times New Roman"/>
          <w:b/>
          <w:bCs/>
          <w:color w:val="0F1115"/>
          <w:kern w:val="0"/>
          <w:sz w:val="33"/>
          <w:szCs w:val="33"/>
          <w14:ligatures w14:val="none"/>
        </w:rPr>
        <w:lastRenderedPageBreak/>
        <w:t>5. Conclusion</w:t>
      </w:r>
    </w:p>
    <w:p w14:paraId="50AC9630"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This study demonstrates that intestinal parasitic colonization is highly prevalent (60.1%) among the riverside population of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The most common parasites are </w:t>
      </w:r>
      <w:r w:rsidRPr="00B178A2">
        <w:rPr>
          <w:rFonts w:ascii="Times New Roman" w:eastAsia="Times New Roman" w:hAnsi="Times New Roman" w:cs="Times New Roman"/>
          <w:i/>
          <w:iCs/>
          <w:color w:val="0F1115"/>
          <w:kern w:val="0"/>
          <w14:ligatures w14:val="none"/>
        </w:rPr>
        <w:t>Ascaris lumbricoides</w:t>
      </w:r>
      <w:r w:rsidRPr="00B178A2">
        <w:rPr>
          <w:rFonts w:ascii="Times New Roman" w:eastAsia="Times New Roman" w:hAnsi="Times New Roman" w:cs="Times New Roman"/>
          <w:color w:val="0F1115"/>
          <w:kern w:val="0"/>
          <w14:ligatures w14:val="none"/>
        </w:rPr>
        <w:t> (28.1%), </w:t>
      </w:r>
      <w:r w:rsidRPr="00B178A2">
        <w:rPr>
          <w:rFonts w:ascii="Times New Roman" w:eastAsia="Times New Roman" w:hAnsi="Times New Roman" w:cs="Times New Roman"/>
          <w:i/>
          <w:iCs/>
          <w:color w:val="0F1115"/>
          <w:kern w:val="0"/>
          <w14:ligatures w14:val="none"/>
        </w:rPr>
        <w:t>Giardia intestinalis</w:t>
      </w:r>
      <w:r w:rsidRPr="00B178A2">
        <w:rPr>
          <w:rFonts w:ascii="Times New Roman" w:eastAsia="Times New Roman" w:hAnsi="Times New Roman" w:cs="Times New Roman"/>
          <w:color w:val="0F1115"/>
          <w:kern w:val="0"/>
          <w14:ligatures w14:val="none"/>
        </w:rPr>
        <w:t> (21.9%), and </w:t>
      </w:r>
      <w:r w:rsidRPr="00B178A2">
        <w:rPr>
          <w:rFonts w:ascii="Times New Roman" w:eastAsia="Times New Roman" w:hAnsi="Times New Roman" w:cs="Times New Roman"/>
          <w:i/>
          <w:iCs/>
          <w:color w:val="0F1115"/>
          <w:kern w:val="0"/>
          <w14:ligatures w14:val="none"/>
        </w:rPr>
        <w:t xml:space="preserve">Trichuris </w:t>
      </w:r>
      <w:proofErr w:type="spellStart"/>
      <w:r w:rsidRPr="00B178A2">
        <w:rPr>
          <w:rFonts w:ascii="Times New Roman" w:eastAsia="Times New Roman" w:hAnsi="Times New Roman" w:cs="Times New Roman"/>
          <w:i/>
          <w:iCs/>
          <w:color w:val="0F1115"/>
          <w:kern w:val="0"/>
          <w14:ligatures w14:val="none"/>
        </w:rPr>
        <w:t>trichiura</w:t>
      </w:r>
      <w:proofErr w:type="spellEnd"/>
      <w:r w:rsidRPr="00B178A2">
        <w:rPr>
          <w:rFonts w:ascii="Times New Roman" w:eastAsia="Times New Roman" w:hAnsi="Times New Roman" w:cs="Times New Roman"/>
          <w:color w:val="0F1115"/>
          <w:kern w:val="0"/>
          <w14:ligatures w14:val="none"/>
        </w:rPr>
        <w:t> (16.9%). Consumption of untreated water from the river/unprotected wells is strongly and significantly associated with higher infection prevalence (73.1% vs. 38.5% for borehole/tap water users, p &lt; 0.001).</w:t>
      </w:r>
    </w:p>
    <w:p w14:paraId="080A9831"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The lack of water treatment (70.8%), poor sanitation (35.9% without latrines), and low awareness of water-related health risks (58.9% unaware) are major contributing factors. The </w:t>
      </w:r>
      <w:r w:rsidRPr="00B178A2">
        <w:rPr>
          <w:rFonts w:ascii="Times New Roman" w:eastAsia="Times New Roman" w:hAnsi="Times New Roman" w:cs="Times New Roman"/>
          <w:b/>
          <w:bCs/>
          <w:color w:val="0F1115"/>
          <w:kern w:val="0"/>
          <w14:ligatures w14:val="none"/>
        </w:rPr>
        <w:t>null hypothesis (H₀) is rejected</w:t>
      </w:r>
      <w:r w:rsidRPr="00B178A2">
        <w:rPr>
          <w:rFonts w:ascii="Times New Roman" w:eastAsia="Times New Roman" w:hAnsi="Times New Roman" w:cs="Times New Roman"/>
          <w:color w:val="0F1115"/>
          <w:kern w:val="0"/>
          <w14:ligatures w14:val="none"/>
        </w:rPr>
        <w:t>; the </w:t>
      </w:r>
      <w:r w:rsidRPr="00B178A2">
        <w:rPr>
          <w:rFonts w:ascii="Times New Roman" w:eastAsia="Times New Roman" w:hAnsi="Times New Roman" w:cs="Times New Roman"/>
          <w:b/>
          <w:bCs/>
          <w:color w:val="0F1115"/>
          <w:kern w:val="0"/>
          <w14:ligatures w14:val="none"/>
        </w:rPr>
        <w:t>alternative hypothesis (H₁) is accepted</w:t>
      </w:r>
      <w:r w:rsidRPr="00B178A2">
        <w:rPr>
          <w:rFonts w:ascii="Times New Roman" w:eastAsia="Times New Roman" w:hAnsi="Times New Roman" w:cs="Times New Roman"/>
          <w:color w:val="0F1115"/>
          <w:kern w:val="0"/>
          <w14:ligatures w14:val="none"/>
        </w:rPr>
        <w:t>.</w:t>
      </w:r>
    </w:p>
    <w:p w14:paraId="197D40BB"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To break the cycle of fecal-oral transmission and reduce the burden of intestinal parasitic infections in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the following urgent actions are required:</w:t>
      </w:r>
    </w:p>
    <w:p w14:paraId="752910DC" w14:textId="77777777" w:rsidR="00B76A28" w:rsidRPr="00B178A2" w:rsidRDefault="00B76A28" w:rsidP="00B76A28">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For health authorities:</w:t>
      </w:r>
      <w:r w:rsidRPr="00B178A2">
        <w:rPr>
          <w:rFonts w:ascii="Times New Roman" w:eastAsia="Times New Roman" w:hAnsi="Times New Roman" w:cs="Times New Roman"/>
          <w:color w:val="0F1115"/>
          <w:kern w:val="0"/>
          <w14:ligatures w14:val="none"/>
        </w:rPr>
        <w:t> Invest in safe water infrastructure; conduct mass deworming campaigns; strengthen surveillance of waterborne diseases.</w:t>
      </w:r>
    </w:p>
    <w:p w14:paraId="4378BA56" w14:textId="77777777" w:rsidR="00B76A28" w:rsidRPr="00B178A2" w:rsidRDefault="00B76A28" w:rsidP="00B76A28">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For community health services:</w:t>
      </w:r>
      <w:r w:rsidRPr="00B178A2">
        <w:rPr>
          <w:rFonts w:ascii="Times New Roman" w:eastAsia="Times New Roman" w:hAnsi="Times New Roman" w:cs="Times New Roman"/>
          <w:color w:val="0F1115"/>
          <w:kern w:val="0"/>
          <w14:ligatures w14:val="none"/>
        </w:rPr>
        <w:t> Implement sustained hygiene education (handwashing, water treatment, latrine use); distribute water treatment products (chlorine tablets).</w:t>
      </w:r>
    </w:p>
    <w:p w14:paraId="09915D2C" w14:textId="77777777" w:rsidR="00B76A28" w:rsidRPr="00B178A2" w:rsidRDefault="00B76A28" w:rsidP="00B76A28">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For households:</w:t>
      </w:r>
      <w:r w:rsidRPr="00B178A2">
        <w:rPr>
          <w:rFonts w:ascii="Times New Roman" w:eastAsia="Times New Roman" w:hAnsi="Times New Roman" w:cs="Times New Roman"/>
          <w:color w:val="0F1115"/>
          <w:kern w:val="0"/>
          <w14:ligatures w14:val="none"/>
        </w:rPr>
        <w:t> Treat all drinking water; construct and use latrines; wash hands with soap before meals and after defecation.</w:t>
      </w:r>
    </w:p>
    <w:p w14:paraId="28B011FD" w14:textId="77777777" w:rsidR="00B76A28" w:rsidRPr="00B178A2" w:rsidRDefault="00B76A28" w:rsidP="00B76A28">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For future research:</w:t>
      </w:r>
      <w:r w:rsidRPr="00B178A2">
        <w:rPr>
          <w:rFonts w:ascii="Times New Roman" w:eastAsia="Times New Roman" w:hAnsi="Times New Roman" w:cs="Times New Roman"/>
          <w:color w:val="0F1115"/>
          <w:kern w:val="0"/>
          <w14:ligatures w14:val="none"/>
        </w:rPr>
        <w:t> Conduct longitudinal studies to assess seasonal variations; perform chemical water analysis; evaluate the impact of specific interventions.</w:t>
      </w:r>
    </w:p>
    <w:p w14:paraId="05AEE8D0"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Intestinal parasitic infections are preventable. With coordinated action across water, sanitation, hygiene, and health sectors, the population of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can be protected from this avoidable burden of disease.</w:t>
      </w:r>
    </w:p>
    <w:p w14:paraId="2A057B37" w14:textId="77777777" w:rsidR="00B76A28" w:rsidRPr="00B178A2" w:rsidRDefault="00B76A28" w:rsidP="00B76A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178A2">
        <w:rPr>
          <w:rFonts w:ascii="Times New Roman" w:eastAsia="Times New Roman" w:hAnsi="Times New Roman" w:cs="Times New Roman"/>
          <w:b/>
          <w:bCs/>
          <w:color w:val="0F1115"/>
          <w:kern w:val="0"/>
          <w:sz w:val="33"/>
          <w:szCs w:val="33"/>
          <w14:ligatures w14:val="none"/>
        </w:rPr>
        <w:t>6. Recommendations</w:t>
      </w:r>
    </w:p>
    <w:tbl>
      <w:tblPr>
        <w:tblW w:w="937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97"/>
        <w:gridCol w:w="7478"/>
      </w:tblGrid>
      <w:tr w:rsidR="00B76A28" w:rsidRPr="00B178A2" w14:paraId="014622AD" w14:textId="77777777" w:rsidTr="00B178A2">
        <w:trPr>
          <w:tblHeader/>
        </w:trPr>
        <w:tc>
          <w:tcPr>
            <w:tcW w:w="1897" w:type="dxa"/>
            <w:tcBorders>
              <w:top w:val="single" w:sz="4" w:space="0" w:color="auto"/>
              <w:bottom w:val="single" w:sz="4" w:space="0" w:color="auto"/>
            </w:tcBorders>
            <w:tcMar>
              <w:top w:w="150" w:type="dxa"/>
              <w:left w:w="0" w:type="dxa"/>
              <w:bottom w:w="150" w:type="dxa"/>
              <w:right w:w="240" w:type="dxa"/>
            </w:tcMar>
            <w:vAlign w:val="center"/>
            <w:hideMark/>
          </w:tcPr>
          <w:p w14:paraId="2F54B9DC"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lastRenderedPageBreak/>
              <w:t>Level</w:t>
            </w:r>
          </w:p>
        </w:tc>
        <w:tc>
          <w:tcPr>
            <w:tcW w:w="7478" w:type="dxa"/>
            <w:tcBorders>
              <w:top w:val="single" w:sz="4" w:space="0" w:color="auto"/>
              <w:bottom w:val="single" w:sz="4" w:space="0" w:color="auto"/>
            </w:tcBorders>
            <w:tcMar>
              <w:top w:w="150" w:type="dxa"/>
              <w:left w:w="240" w:type="dxa"/>
              <w:bottom w:w="150" w:type="dxa"/>
              <w:right w:w="240" w:type="dxa"/>
            </w:tcMar>
            <w:vAlign w:val="center"/>
            <w:hideMark/>
          </w:tcPr>
          <w:p w14:paraId="606AEE55"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Recommendations</w:t>
            </w:r>
          </w:p>
        </w:tc>
      </w:tr>
      <w:tr w:rsidR="00B76A28" w:rsidRPr="00B178A2" w14:paraId="787B1224" w14:textId="77777777" w:rsidTr="00B178A2">
        <w:tc>
          <w:tcPr>
            <w:tcW w:w="1897" w:type="dxa"/>
            <w:tcBorders>
              <w:top w:val="single" w:sz="4" w:space="0" w:color="auto"/>
            </w:tcBorders>
            <w:tcMar>
              <w:top w:w="150" w:type="dxa"/>
              <w:left w:w="0" w:type="dxa"/>
              <w:bottom w:w="150" w:type="dxa"/>
              <w:right w:w="240" w:type="dxa"/>
            </w:tcMar>
            <w:vAlign w:val="center"/>
            <w:hideMark/>
          </w:tcPr>
          <w:p w14:paraId="7AACFA9F"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b/>
                <w:bCs/>
                <w:kern w:val="0"/>
                <w:sz w:val="23"/>
                <w:szCs w:val="23"/>
                <w14:ligatures w14:val="none"/>
              </w:rPr>
              <w:t>Provincial and local health authorities</w:t>
            </w:r>
          </w:p>
        </w:tc>
        <w:tc>
          <w:tcPr>
            <w:tcW w:w="7478" w:type="dxa"/>
            <w:tcBorders>
              <w:top w:val="single" w:sz="4" w:space="0" w:color="auto"/>
            </w:tcBorders>
            <w:tcMar>
              <w:top w:w="150" w:type="dxa"/>
              <w:left w:w="240" w:type="dxa"/>
              <w:bottom w:w="150" w:type="dxa"/>
              <w:right w:w="0" w:type="dxa"/>
            </w:tcMar>
            <w:vAlign w:val="center"/>
            <w:hideMark/>
          </w:tcPr>
          <w:p w14:paraId="5917934F"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Advocate for safe water infrastructure (boreholes, mini-networks, public fountains); organize regular mass deworming campaigns targeting school-age children; strengthen epidemiological surveillance for waterborne diseases.</w:t>
            </w:r>
          </w:p>
        </w:tc>
      </w:tr>
      <w:tr w:rsidR="00B76A28" w:rsidRPr="00B178A2" w14:paraId="4C3FF2B2" w14:textId="77777777" w:rsidTr="00B178A2">
        <w:tc>
          <w:tcPr>
            <w:tcW w:w="1897" w:type="dxa"/>
            <w:tcMar>
              <w:top w:w="150" w:type="dxa"/>
              <w:left w:w="0" w:type="dxa"/>
              <w:bottom w:w="150" w:type="dxa"/>
              <w:right w:w="240" w:type="dxa"/>
            </w:tcMar>
            <w:vAlign w:val="center"/>
            <w:hideMark/>
          </w:tcPr>
          <w:p w14:paraId="2473E41E"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b/>
                <w:bCs/>
                <w:kern w:val="0"/>
                <w:sz w:val="23"/>
                <w:szCs w:val="23"/>
                <w14:ligatures w14:val="none"/>
              </w:rPr>
              <w:t>Community health services</w:t>
            </w:r>
          </w:p>
        </w:tc>
        <w:tc>
          <w:tcPr>
            <w:tcW w:w="7478" w:type="dxa"/>
            <w:tcMar>
              <w:top w:w="150" w:type="dxa"/>
              <w:left w:w="240" w:type="dxa"/>
              <w:bottom w:w="150" w:type="dxa"/>
              <w:right w:w="0" w:type="dxa"/>
            </w:tcMar>
            <w:vAlign w:val="center"/>
            <w:hideMark/>
          </w:tcPr>
          <w:p w14:paraId="0D03221A"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Implement household water treatment promotion (chlorination, boiling, filtration); train community health workers on hygiene education; distribute chlorine tablets and water filters; construct public latrines.</w:t>
            </w:r>
          </w:p>
        </w:tc>
      </w:tr>
      <w:tr w:rsidR="00B76A28" w:rsidRPr="00B178A2" w14:paraId="07D4699B" w14:textId="77777777" w:rsidTr="00B178A2">
        <w:tc>
          <w:tcPr>
            <w:tcW w:w="1897" w:type="dxa"/>
            <w:tcMar>
              <w:top w:w="150" w:type="dxa"/>
              <w:left w:w="0" w:type="dxa"/>
              <w:bottom w:w="150" w:type="dxa"/>
              <w:right w:w="240" w:type="dxa"/>
            </w:tcMar>
            <w:vAlign w:val="center"/>
            <w:hideMark/>
          </w:tcPr>
          <w:p w14:paraId="4C4E79CB"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b/>
                <w:bCs/>
                <w:kern w:val="0"/>
                <w:sz w:val="23"/>
                <w:szCs w:val="23"/>
                <w14:ligatures w14:val="none"/>
              </w:rPr>
              <w:t>Households</w:t>
            </w:r>
          </w:p>
        </w:tc>
        <w:tc>
          <w:tcPr>
            <w:tcW w:w="7478" w:type="dxa"/>
            <w:tcMar>
              <w:top w:w="150" w:type="dxa"/>
              <w:left w:w="240" w:type="dxa"/>
              <w:bottom w:w="150" w:type="dxa"/>
              <w:right w:w="0" w:type="dxa"/>
            </w:tcMar>
            <w:vAlign w:val="center"/>
            <w:hideMark/>
          </w:tcPr>
          <w:p w14:paraId="79A3467F"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Treat all drinking water (boil, chlorinate, or filter); construct and use hygienic latrines; practice handwashing with soap before meals and after defecation; participate in community sanitation campaigns.</w:t>
            </w:r>
          </w:p>
        </w:tc>
      </w:tr>
      <w:tr w:rsidR="00B76A28" w:rsidRPr="00B178A2" w14:paraId="5515AAB8" w14:textId="77777777" w:rsidTr="00B178A2">
        <w:tc>
          <w:tcPr>
            <w:tcW w:w="1897" w:type="dxa"/>
            <w:tcMar>
              <w:top w:w="150" w:type="dxa"/>
              <w:left w:w="0" w:type="dxa"/>
              <w:bottom w:w="150" w:type="dxa"/>
              <w:right w:w="240" w:type="dxa"/>
            </w:tcMar>
            <w:vAlign w:val="center"/>
            <w:hideMark/>
          </w:tcPr>
          <w:p w14:paraId="7AE40F56"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b/>
                <w:bCs/>
                <w:kern w:val="0"/>
                <w:sz w:val="23"/>
                <w:szCs w:val="23"/>
                <w14:ligatures w14:val="none"/>
              </w:rPr>
              <w:t>Future research</w:t>
            </w:r>
          </w:p>
        </w:tc>
        <w:tc>
          <w:tcPr>
            <w:tcW w:w="7478" w:type="dxa"/>
            <w:tcMar>
              <w:top w:w="150" w:type="dxa"/>
              <w:left w:w="240" w:type="dxa"/>
              <w:bottom w:w="150" w:type="dxa"/>
              <w:right w:w="0" w:type="dxa"/>
            </w:tcMar>
            <w:vAlign w:val="center"/>
            <w:hideMark/>
          </w:tcPr>
          <w:p w14:paraId="1A2D40A5" w14:textId="77777777" w:rsidR="00B76A28" w:rsidRPr="00B178A2" w:rsidRDefault="00B76A28" w:rsidP="00B178A2">
            <w:pPr>
              <w:spacing w:after="0" w:line="240" w:lineRule="auto"/>
              <w:rPr>
                <w:rFonts w:ascii="Times New Roman" w:eastAsia="Times New Roman" w:hAnsi="Times New Roman" w:cs="Times New Roman"/>
                <w:kern w:val="0"/>
                <w:sz w:val="23"/>
                <w:szCs w:val="23"/>
                <w14:ligatures w14:val="none"/>
              </w:rPr>
            </w:pPr>
            <w:r w:rsidRPr="00B178A2">
              <w:rPr>
                <w:rFonts w:ascii="Times New Roman" w:eastAsia="Times New Roman" w:hAnsi="Times New Roman" w:cs="Times New Roman"/>
                <w:kern w:val="0"/>
                <w:sz w:val="23"/>
                <w:szCs w:val="23"/>
                <w14:ligatures w14:val="none"/>
              </w:rPr>
              <w:t>Conduct longitudinal studies to understand transmission dynamics and seasonal variations; perform chemical water analysis to identify additional contaminants; evaluate the impact of water treatment interventions; replicate the study in other health zones.</w:t>
            </w:r>
          </w:p>
        </w:tc>
      </w:tr>
    </w:tbl>
    <w:p w14:paraId="1CCFD0D3" w14:textId="77777777" w:rsidR="00B76A28" w:rsidRPr="00B178A2" w:rsidRDefault="00B76A28" w:rsidP="00B76A28">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B178A2">
        <w:rPr>
          <w:rFonts w:ascii="Times New Roman" w:eastAsia="Times New Roman" w:hAnsi="Times New Roman" w:cs="Times New Roman"/>
          <w:b/>
          <w:bCs/>
          <w:color w:val="0F1115"/>
          <w:kern w:val="0"/>
          <w:sz w:val="33"/>
          <w:szCs w:val="33"/>
          <w14:ligatures w14:val="none"/>
        </w:rPr>
        <w:t>7. References</w:t>
      </w:r>
    </w:p>
    <w:p w14:paraId="6B8AEF63"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178A2">
        <w:rPr>
          <w:rFonts w:ascii="Times New Roman" w:eastAsia="Times New Roman" w:hAnsi="Times New Roman" w:cs="Times New Roman"/>
          <w:color w:val="0F1115"/>
          <w:kern w:val="0"/>
          <w14:ligatures w14:val="none"/>
        </w:rPr>
        <w:t>Atabati</w:t>
      </w:r>
      <w:proofErr w:type="spellEnd"/>
      <w:r w:rsidRPr="00B178A2">
        <w:rPr>
          <w:rFonts w:ascii="Times New Roman" w:eastAsia="Times New Roman" w:hAnsi="Times New Roman" w:cs="Times New Roman"/>
          <w:color w:val="0F1115"/>
          <w:kern w:val="0"/>
          <w14:ligatures w14:val="none"/>
        </w:rPr>
        <w:t xml:space="preserve">, H., </w:t>
      </w:r>
      <w:proofErr w:type="spellStart"/>
      <w:r w:rsidRPr="00B178A2">
        <w:rPr>
          <w:rFonts w:ascii="Times New Roman" w:eastAsia="Times New Roman" w:hAnsi="Times New Roman" w:cs="Times New Roman"/>
          <w:color w:val="0F1115"/>
          <w:kern w:val="0"/>
          <w14:ligatures w14:val="none"/>
        </w:rPr>
        <w:t>Kassiri</w:t>
      </w:r>
      <w:proofErr w:type="spellEnd"/>
      <w:r w:rsidRPr="00B178A2">
        <w:rPr>
          <w:rFonts w:ascii="Times New Roman" w:eastAsia="Times New Roman" w:hAnsi="Times New Roman" w:cs="Times New Roman"/>
          <w:color w:val="0F1115"/>
          <w:kern w:val="0"/>
          <w14:ligatures w14:val="none"/>
        </w:rPr>
        <w:t xml:space="preserve">, H., Shamloo, E., Akbari, M., </w:t>
      </w:r>
      <w:proofErr w:type="spellStart"/>
      <w:r w:rsidRPr="00B178A2">
        <w:rPr>
          <w:rFonts w:ascii="Times New Roman" w:eastAsia="Times New Roman" w:hAnsi="Times New Roman" w:cs="Times New Roman"/>
          <w:color w:val="0F1115"/>
          <w:kern w:val="0"/>
          <w14:ligatures w14:val="none"/>
        </w:rPr>
        <w:t>Atamaleki</w:t>
      </w:r>
      <w:proofErr w:type="spellEnd"/>
      <w:r w:rsidRPr="00B178A2">
        <w:rPr>
          <w:rFonts w:ascii="Times New Roman" w:eastAsia="Times New Roman" w:hAnsi="Times New Roman" w:cs="Times New Roman"/>
          <w:color w:val="0F1115"/>
          <w:kern w:val="0"/>
          <w14:ligatures w14:val="none"/>
        </w:rPr>
        <w:t xml:space="preserve">, A., </w:t>
      </w:r>
      <w:proofErr w:type="spellStart"/>
      <w:r w:rsidRPr="00B178A2">
        <w:rPr>
          <w:rFonts w:ascii="Times New Roman" w:eastAsia="Times New Roman" w:hAnsi="Times New Roman" w:cs="Times New Roman"/>
          <w:color w:val="0F1115"/>
          <w:kern w:val="0"/>
          <w14:ligatures w14:val="none"/>
        </w:rPr>
        <w:t>Sahlabadi</w:t>
      </w:r>
      <w:proofErr w:type="spellEnd"/>
      <w:r w:rsidRPr="00B178A2">
        <w:rPr>
          <w:rFonts w:ascii="Times New Roman" w:eastAsia="Times New Roman" w:hAnsi="Times New Roman" w:cs="Times New Roman"/>
          <w:color w:val="0F1115"/>
          <w:kern w:val="0"/>
          <w14:ligatures w14:val="none"/>
        </w:rPr>
        <w:t xml:space="preserve">, F., ... &amp; Mousavi Khaneghah, A. (2020). The association between the lack of safe drinking water and sanitation facilities with intestinal Entamoeba </w:t>
      </w:r>
      <w:proofErr w:type="spellStart"/>
      <w:r w:rsidRPr="00B178A2">
        <w:rPr>
          <w:rFonts w:ascii="Times New Roman" w:eastAsia="Times New Roman" w:hAnsi="Times New Roman" w:cs="Times New Roman"/>
          <w:color w:val="0F1115"/>
          <w:kern w:val="0"/>
          <w14:ligatures w14:val="none"/>
        </w:rPr>
        <w:t>spp</w:t>
      </w:r>
      <w:proofErr w:type="spellEnd"/>
      <w:r w:rsidRPr="00B178A2">
        <w:rPr>
          <w:rFonts w:ascii="Times New Roman" w:eastAsia="Times New Roman" w:hAnsi="Times New Roman" w:cs="Times New Roman"/>
          <w:color w:val="0F1115"/>
          <w:kern w:val="0"/>
          <w14:ligatures w14:val="none"/>
        </w:rPr>
        <w:t xml:space="preserve"> infection risk: A systematic review and meta-analysis. </w:t>
      </w:r>
      <w:proofErr w:type="spellStart"/>
      <w:r w:rsidRPr="00B178A2">
        <w:rPr>
          <w:rFonts w:ascii="Times New Roman" w:eastAsia="Times New Roman" w:hAnsi="Times New Roman" w:cs="Times New Roman"/>
          <w:i/>
          <w:iCs/>
          <w:color w:val="0F1115"/>
          <w:kern w:val="0"/>
          <w14:ligatures w14:val="none"/>
        </w:rPr>
        <w:t>PLoS</w:t>
      </w:r>
      <w:proofErr w:type="spellEnd"/>
      <w:r w:rsidRPr="00B178A2">
        <w:rPr>
          <w:rFonts w:ascii="Times New Roman" w:eastAsia="Times New Roman" w:hAnsi="Times New Roman" w:cs="Times New Roman"/>
          <w:i/>
          <w:iCs/>
          <w:color w:val="0F1115"/>
          <w:kern w:val="0"/>
          <w14:ligatures w14:val="none"/>
        </w:rPr>
        <w:t xml:space="preserve"> One</w:t>
      </w:r>
      <w:r w:rsidRPr="00B178A2">
        <w:rPr>
          <w:rFonts w:ascii="Times New Roman" w:eastAsia="Times New Roman" w:hAnsi="Times New Roman" w:cs="Times New Roman"/>
          <w:color w:val="0F1115"/>
          <w:kern w:val="0"/>
          <w14:ligatures w14:val="none"/>
        </w:rPr>
        <w:t>, 15(11), e0237102.</w:t>
      </w:r>
    </w:p>
    <w:p w14:paraId="4C0EA6C5"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Cairncross, S., &amp; </w:t>
      </w:r>
      <w:proofErr w:type="spellStart"/>
      <w:r w:rsidRPr="00B178A2">
        <w:rPr>
          <w:rFonts w:ascii="Times New Roman" w:eastAsia="Times New Roman" w:hAnsi="Times New Roman" w:cs="Times New Roman"/>
          <w:color w:val="0F1115"/>
          <w:kern w:val="0"/>
          <w14:ligatures w14:val="none"/>
        </w:rPr>
        <w:t>Feachem</w:t>
      </w:r>
      <w:proofErr w:type="spellEnd"/>
      <w:r w:rsidRPr="00B178A2">
        <w:rPr>
          <w:rFonts w:ascii="Times New Roman" w:eastAsia="Times New Roman" w:hAnsi="Times New Roman" w:cs="Times New Roman"/>
          <w:color w:val="0F1115"/>
          <w:kern w:val="0"/>
          <w14:ligatures w14:val="none"/>
        </w:rPr>
        <w:t>, R. (1993). </w:t>
      </w:r>
      <w:r w:rsidRPr="00B178A2">
        <w:rPr>
          <w:rFonts w:ascii="Times New Roman" w:eastAsia="Times New Roman" w:hAnsi="Times New Roman" w:cs="Times New Roman"/>
          <w:i/>
          <w:iCs/>
          <w:color w:val="0F1115"/>
          <w:kern w:val="0"/>
          <w14:ligatures w14:val="none"/>
        </w:rPr>
        <w:t>Environmental health engineering in the tropics: An introductory text</w:t>
      </w:r>
      <w:r w:rsidRPr="00B178A2">
        <w:rPr>
          <w:rFonts w:ascii="Times New Roman" w:eastAsia="Times New Roman" w:hAnsi="Times New Roman" w:cs="Times New Roman"/>
          <w:color w:val="0F1115"/>
          <w:kern w:val="0"/>
          <w14:ligatures w14:val="none"/>
        </w:rPr>
        <w:t>. John Wiley &amp; Sons.</w:t>
      </w:r>
    </w:p>
    <w:p w14:paraId="6920AC81"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Cheesbrough, M. (2006). </w:t>
      </w:r>
      <w:r w:rsidRPr="00B178A2">
        <w:rPr>
          <w:rFonts w:ascii="Times New Roman" w:eastAsia="Times New Roman" w:hAnsi="Times New Roman" w:cs="Times New Roman"/>
          <w:i/>
          <w:iCs/>
          <w:color w:val="0F1115"/>
          <w:kern w:val="0"/>
          <w14:ligatures w14:val="none"/>
        </w:rPr>
        <w:t>District laboratory practice in tropical countries, part 1</w:t>
      </w:r>
      <w:r w:rsidRPr="00B178A2">
        <w:rPr>
          <w:rFonts w:ascii="Times New Roman" w:eastAsia="Times New Roman" w:hAnsi="Times New Roman" w:cs="Times New Roman"/>
          <w:color w:val="0F1115"/>
          <w:kern w:val="0"/>
          <w14:ligatures w14:val="none"/>
        </w:rPr>
        <w:t>. Cambridge University Press.</w:t>
      </w:r>
    </w:p>
    <w:p w14:paraId="2586C202"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Gebru, T., &amp; Asmelash, D. (2014). Assessment of the prevalence of intestinal parasitosis and associated risk factors among primary school children in </w:t>
      </w:r>
      <w:proofErr w:type="spellStart"/>
      <w:r w:rsidRPr="00B178A2">
        <w:rPr>
          <w:rFonts w:ascii="Times New Roman" w:eastAsia="Times New Roman" w:hAnsi="Times New Roman" w:cs="Times New Roman"/>
          <w:color w:val="0F1115"/>
          <w:kern w:val="0"/>
          <w14:ligatures w14:val="none"/>
        </w:rPr>
        <w:t>Chencha</w:t>
      </w:r>
      <w:proofErr w:type="spellEnd"/>
      <w:r w:rsidRPr="00B178A2">
        <w:rPr>
          <w:rFonts w:ascii="Times New Roman" w:eastAsia="Times New Roman" w:hAnsi="Times New Roman" w:cs="Times New Roman"/>
          <w:color w:val="0F1115"/>
          <w:kern w:val="0"/>
          <w14:ligatures w14:val="none"/>
        </w:rPr>
        <w:t xml:space="preserve"> town, Southern Ethiopia. </w:t>
      </w:r>
      <w:r w:rsidRPr="00B178A2">
        <w:rPr>
          <w:rFonts w:ascii="Times New Roman" w:eastAsia="Times New Roman" w:hAnsi="Times New Roman" w:cs="Times New Roman"/>
          <w:i/>
          <w:iCs/>
          <w:color w:val="0F1115"/>
          <w:kern w:val="0"/>
          <w14:ligatures w14:val="none"/>
        </w:rPr>
        <w:t>BMC Public Health</w:t>
      </w:r>
      <w:r w:rsidRPr="00B178A2">
        <w:rPr>
          <w:rFonts w:ascii="Times New Roman" w:eastAsia="Times New Roman" w:hAnsi="Times New Roman" w:cs="Times New Roman"/>
          <w:color w:val="0F1115"/>
          <w:kern w:val="0"/>
          <w14:ligatures w14:val="none"/>
        </w:rPr>
        <w:t>, 14, 166.</w:t>
      </w:r>
    </w:p>
    <w:p w14:paraId="3DCD84D8"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Hind, A. J., &amp; colleagues. (2023). Waterborne diseases and wastewater treatment in Iraq. </w:t>
      </w:r>
      <w:r w:rsidRPr="00B178A2">
        <w:rPr>
          <w:rFonts w:ascii="Times New Roman" w:eastAsia="Times New Roman" w:hAnsi="Times New Roman" w:cs="Times New Roman"/>
          <w:i/>
          <w:iCs/>
          <w:color w:val="0F1115"/>
          <w:kern w:val="0"/>
          <w14:ligatures w14:val="none"/>
        </w:rPr>
        <w:t>ScienceDirect Review Article</w:t>
      </w:r>
      <w:r w:rsidRPr="00B178A2">
        <w:rPr>
          <w:rFonts w:ascii="Times New Roman" w:eastAsia="Times New Roman" w:hAnsi="Times New Roman" w:cs="Times New Roman"/>
          <w:color w:val="0F1115"/>
          <w:kern w:val="0"/>
          <w14:ligatures w14:val="none"/>
        </w:rPr>
        <w:t>.</w:t>
      </w:r>
    </w:p>
    <w:p w14:paraId="106E1C34"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lastRenderedPageBreak/>
        <w:t xml:space="preserve">Kabemba, A., &amp; Mulumba, P. (2021). </w:t>
      </w:r>
      <w:proofErr w:type="spellStart"/>
      <w:r w:rsidRPr="00B178A2">
        <w:rPr>
          <w:rFonts w:ascii="Times New Roman" w:eastAsia="Times New Roman" w:hAnsi="Times New Roman" w:cs="Times New Roman"/>
          <w:color w:val="0F1115"/>
          <w:kern w:val="0"/>
          <w14:ligatures w14:val="none"/>
        </w:rPr>
        <w:t>Prévalence</w:t>
      </w:r>
      <w:proofErr w:type="spellEnd"/>
      <w:r w:rsidRPr="00B178A2">
        <w:rPr>
          <w:rFonts w:ascii="Times New Roman" w:eastAsia="Times New Roman" w:hAnsi="Times New Roman" w:cs="Times New Roman"/>
          <w:color w:val="0F1115"/>
          <w:kern w:val="0"/>
          <w14:ligatures w14:val="none"/>
        </w:rPr>
        <w:t xml:space="preserve"> des </w:t>
      </w:r>
      <w:proofErr w:type="spellStart"/>
      <w:r w:rsidRPr="00B178A2">
        <w:rPr>
          <w:rFonts w:ascii="Times New Roman" w:eastAsia="Times New Roman" w:hAnsi="Times New Roman" w:cs="Times New Roman"/>
          <w:color w:val="0F1115"/>
          <w:kern w:val="0"/>
          <w14:ligatures w14:val="none"/>
        </w:rPr>
        <w:t>parasitoses</w:t>
      </w:r>
      <w:proofErr w:type="spellEnd"/>
      <w:r w:rsidRPr="00B178A2">
        <w:rPr>
          <w:rFonts w:ascii="Times New Roman" w:eastAsia="Times New Roman" w:hAnsi="Times New Roman" w:cs="Times New Roman"/>
          <w:color w:val="0F1115"/>
          <w:kern w:val="0"/>
          <w14:ligatures w14:val="none"/>
        </w:rPr>
        <w:t xml:space="preserve"> </w:t>
      </w:r>
      <w:proofErr w:type="spellStart"/>
      <w:r w:rsidRPr="00B178A2">
        <w:rPr>
          <w:rFonts w:ascii="Times New Roman" w:eastAsia="Times New Roman" w:hAnsi="Times New Roman" w:cs="Times New Roman"/>
          <w:color w:val="0F1115"/>
          <w:kern w:val="0"/>
          <w14:ligatures w14:val="none"/>
        </w:rPr>
        <w:t>intestinales</w:t>
      </w:r>
      <w:proofErr w:type="spellEnd"/>
      <w:r w:rsidRPr="00B178A2">
        <w:rPr>
          <w:rFonts w:ascii="Times New Roman" w:eastAsia="Times New Roman" w:hAnsi="Times New Roman" w:cs="Times New Roman"/>
          <w:color w:val="0F1115"/>
          <w:kern w:val="0"/>
          <w14:ligatures w14:val="none"/>
        </w:rPr>
        <w:t xml:space="preserve"> chez les enfants de la </w:t>
      </w:r>
      <w:proofErr w:type="spellStart"/>
      <w:r w:rsidRPr="00B178A2">
        <w:rPr>
          <w:rFonts w:ascii="Times New Roman" w:eastAsia="Times New Roman" w:hAnsi="Times New Roman" w:cs="Times New Roman"/>
          <w:color w:val="0F1115"/>
          <w:kern w:val="0"/>
          <w14:ligatures w14:val="none"/>
        </w:rPr>
        <w:t>ville</w:t>
      </w:r>
      <w:proofErr w:type="spellEnd"/>
      <w:r w:rsidRPr="00B178A2">
        <w:rPr>
          <w:rFonts w:ascii="Times New Roman" w:eastAsia="Times New Roman" w:hAnsi="Times New Roman" w:cs="Times New Roman"/>
          <w:color w:val="0F1115"/>
          <w:kern w:val="0"/>
          <w14:ligatures w14:val="none"/>
        </w:rPr>
        <w:t xml:space="preserve"> de Kisangani. </w:t>
      </w:r>
      <w:r w:rsidRPr="00B178A2">
        <w:rPr>
          <w:rFonts w:ascii="Times New Roman" w:eastAsia="Times New Roman" w:hAnsi="Times New Roman" w:cs="Times New Roman"/>
          <w:i/>
          <w:iCs/>
          <w:color w:val="0F1115"/>
          <w:kern w:val="0"/>
          <w14:ligatures w14:val="none"/>
        </w:rPr>
        <w:t xml:space="preserve">Revue </w:t>
      </w:r>
      <w:proofErr w:type="spellStart"/>
      <w:r w:rsidRPr="00B178A2">
        <w:rPr>
          <w:rFonts w:ascii="Times New Roman" w:eastAsia="Times New Roman" w:hAnsi="Times New Roman" w:cs="Times New Roman"/>
          <w:i/>
          <w:iCs/>
          <w:color w:val="0F1115"/>
          <w:kern w:val="0"/>
          <w14:ligatures w14:val="none"/>
        </w:rPr>
        <w:t>Médicale</w:t>
      </w:r>
      <w:proofErr w:type="spellEnd"/>
      <w:r w:rsidRPr="00B178A2">
        <w:rPr>
          <w:rFonts w:ascii="Times New Roman" w:eastAsia="Times New Roman" w:hAnsi="Times New Roman" w:cs="Times New Roman"/>
          <w:i/>
          <w:iCs/>
          <w:color w:val="0F1115"/>
          <w:kern w:val="0"/>
          <w14:ligatures w14:val="none"/>
        </w:rPr>
        <w:t xml:space="preserve"> des Grands Lacs</w:t>
      </w:r>
      <w:r w:rsidRPr="00B178A2">
        <w:rPr>
          <w:rFonts w:ascii="Times New Roman" w:eastAsia="Times New Roman" w:hAnsi="Times New Roman" w:cs="Times New Roman"/>
          <w:color w:val="0F1115"/>
          <w:kern w:val="0"/>
          <w14:ligatures w14:val="none"/>
        </w:rPr>
        <w:t>, 8(2), 45–53.</w:t>
      </w:r>
    </w:p>
    <w:p w14:paraId="6B3CA02C"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Ministère de la Santé </w:t>
      </w:r>
      <w:proofErr w:type="spellStart"/>
      <w:r w:rsidRPr="00B178A2">
        <w:rPr>
          <w:rFonts w:ascii="Times New Roman" w:eastAsia="Times New Roman" w:hAnsi="Times New Roman" w:cs="Times New Roman"/>
          <w:color w:val="0F1115"/>
          <w:kern w:val="0"/>
          <w14:ligatures w14:val="none"/>
        </w:rPr>
        <w:t>Publique</w:t>
      </w:r>
      <w:proofErr w:type="spellEnd"/>
      <w:r w:rsidRPr="00B178A2">
        <w:rPr>
          <w:rFonts w:ascii="Times New Roman" w:eastAsia="Times New Roman" w:hAnsi="Times New Roman" w:cs="Times New Roman"/>
          <w:color w:val="0F1115"/>
          <w:kern w:val="0"/>
          <w14:ligatures w14:val="none"/>
        </w:rPr>
        <w:t>, RDC. (2022). </w:t>
      </w:r>
      <w:r w:rsidRPr="00B178A2">
        <w:rPr>
          <w:rFonts w:ascii="Times New Roman" w:eastAsia="Times New Roman" w:hAnsi="Times New Roman" w:cs="Times New Roman"/>
          <w:i/>
          <w:iCs/>
          <w:color w:val="0F1115"/>
          <w:kern w:val="0"/>
          <w14:ligatures w14:val="none"/>
        </w:rPr>
        <w:t xml:space="preserve">Rapport </w:t>
      </w:r>
      <w:proofErr w:type="spellStart"/>
      <w:r w:rsidRPr="00B178A2">
        <w:rPr>
          <w:rFonts w:ascii="Times New Roman" w:eastAsia="Times New Roman" w:hAnsi="Times New Roman" w:cs="Times New Roman"/>
          <w:i/>
          <w:iCs/>
          <w:color w:val="0F1115"/>
          <w:kern w:val="0"/>
          <w14:ligatures w14:val="none"/>
        </w:rPr>
        <w:t>annuel</w:t>
      </w:r>
      <w:proofErr w:type="spellEnd"/>
      <w:r w:rsidRPr="00B178A2">
        <w:rPr>
          <w:rFonts w:ascii="Times New Roman" w:eastAsia="Times New Roman" w:hAnsi="Times New Roman" w:cs="Times New Roman"/>
          <w:i/>
          <w:iCs/>
          <w:color w:val="0F1115"/>
          <w:kern w:val="0"/>
          <w14:ligatures w14:val="none"/>
        </w:rPr>
        <w:t xml:space="preserve"> de la Direction Nationale de </w:t>
      </w:r>
      <w:proofErr w:type="spellStart"/>
      <w:r w:rsidRPr="00B178A2">
        <w:rPr>
          <w:rFonts w:ascii="Times New Roman" w:eastAsia="Times New Roman" w:hAnsi="Times New Roman" w:cs="Times New Roman"/>
          <w:i/>
          <w:iCs/>
          <w:color w:val="0F1115"/>
          <w:kern w:val="0"/>
          <w14:ligatures w14:val="none"/>
        </w:rPr>
        <w:t>l'Hygiène</w:t>
      </w:r>
      <w:proofErr w:type="spellEnd"/>
      <w:r w:rsidRPr="00B178A2">
        <w:rPr>
          <w:rFonts w:ascii="Times New Roman" w:eastAsia="Times New Roman" w:hAnsi="Times New Roman" w:cs="Times New Roman"/>
          <w:color w:val="0F1115"/>
          <w:kern w:val="0"/>
          <w14:ligatures w14:val="none"/>
        </w:rPr>
        <w:t>. Kinshasa.</w:t>
      </w:r>
    </w:p>
    <w:p w14:paraId="0FD9BB69"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178A2">
        <w:rPr>
          <w:rFonts w:ascii="Times New Roman" w:eastAsia="Times New Roman" w:hAnsi="Times New Roman" w:cs="Times New Roman"/>
          <w:color w:val="0F1115"/>
          <w:kern w:val="0"/>
          <w14:ligatures w14:val="none"/>
        </w:rPr>
        <w:t>Organisation</w:t>
      </w:r>
      <w:proofErr w:type="spellEnd"/>
      <w:r w:rsidRPr="00B178A2">
        <w:rPr>
          <w:rFonts w:ascii="Times New Roman" w:eastAsia="Times New Roman" w:hAnsi="Times New Roman" w:cs="Times New Roman"/>
          <w:color w:val="0F1115"/>
          <w:kern w:val="0"/>
          <w14:ligatures w14:val="none"/>
        </w:rPr>
        <w:t xml:space="preserve"> Mondiale de la Santé. (2019). </w:t>
      </w:r>
      <w:r w:rsidRPr="00B178A2">
        <w:rPr>
          <w:rFonts w:ascii="Times New Roman" w:eastAsia="Times New Roman" w:hAnsi="Times New Roman" w:cs="Times New Roman"/>
          <w:i/>
          <w:iCs/>
          <w:color w:val="0F1115"/>
          <w:kern w:val="0"/>
          <w14:ligatures w14:val="none"/>
        </w:rPr>
        <w:t>Guidelines for drinking-water quality</w:t>
      </w:r>
      <w:r w:rsidRPr="00B178A2">
        <w:rPr>
          <w:rFonts w:ascii="Times New Roman" w:eastAsia="Times New Roman" w:hAnsi="Times New Roman" w:cs="Times New Roman"/>
          <w:color w:val="0F1115"/>
          <w:kern w:val="0"/>
          <w14:ligatures w14:val="none"/>
        </w:rPr>
        <w:t> (4th ed.). Geneva: WHO.</w:t>
      </w:r>
    </w:p>
    <w:p w14:paraId="2EF7758D"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 xml:space="preserve">Tadesse, G., Tadesse, G., Worku, Y., &amp; Ayele, W. (2018). Childhood intestinal parasitic infection and sanitation predictors in rural </w:t>
      </w:r>
      <w:proofErr w:type="spellStart"/>
      <w:r w:rsidRPr="00B178A2">
        <w:rPr>
          <w:rFonts w:ascii="Times New Roman" w:eastAsia="Times New Roman" w:hAnsi="Times New Roman" w:cs="Times New Roman"/>
          <w:color w:val="0F1115"/>
          <w:kern w:val="0"/>
          <w14:ligatures w14:val="none"/>
        </w:rPr>
        <w:t>Dembiya</w:t>
      </w:r>
      <w:proofErr w:type="spellEnd"/>
      <w:r w:rsidRPr="00B178A2">
        <w:rPr>
          <w:rFonts w:ascii="Times New Roman" w:eastAsia="Times New Roman" w:hAnsi="Times New Roman" w:cs="Times New Roman"/>
          <w:color w:val="0F1115"/>
          <w:kern w:val="0"/>
          <w14:ligatures w14:val="none"/>
        </w:rPr>
        <w:t>, northwest Ethiopia. </w:t>
      </w:r>
      <w:r w:rsidRPr="00B178A2">
        <w:rPr>
          <w:rFonts w:ascii="Times New Roman" w:eastAsia="Times New Roman" w:hAnsi="Times New Roman" w:cs="Times New Roman"/>
          <w:i/>
          <w:iCs/>
          <w:color w:val="0F1115"/>
          <w:kern w:val="0"/>
          <w14:ligatures w14:val="none"/>
        </w:rPr>
        <w:t>Environmental Health and Preventive Medicine</w:t>
      </w:r>
      <w:r w:rsidRPr="00B178A2">
        <w:rPr>
          <w:rFonts w:ascii="Times New Roman" w:eastAsia="Times New Roman" w:hAnsi="Times New Roman" w:cs="Times New Roman"/>
          <w:color w:val="0F1115"/>
          <w:kern w:val="0"/>
          <w14:ligatures w14:val="none"/>
        </w:rPr>
        <w:t>, 23, 26.</w:t>
      </w:r>
    </w:p>
    <w:p w14:paraId="666563DC"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World Health Organization. (2023). </w:t>
      </w:r>
      <w:r w:rsidRPr="00B178A2">
        <w:rPr>
          <w:rFonts w:ascii="Times New Roman" w:eastAsia="Times New Roman" w:hAnsi="Times New Roman" w:cs="Times New Roman"/>
          <w:i/>
          <w:iCs/>
          <w:color w:val="0F1115"/>
          <w:kern w:val="0"/>
          <w14:ligatures w14:val="none"/>
        </w:rPr>
        <w:t>Drinking-water fact sheet</w:t>
      </w:r>
      <w:r w:rsidRPr="00B178A2">
        <w:rPr>
          <w:rFonts w:ascii="Times New Roman" w:eastAsia="Times New Roman" w:hAnsi="Times New Roman" w:cs="Times New Roman"/>
          <w:color w:val="0F1115"/>
          <w:kern w:val="0"/>
          <w14:ligatures w14:val="none"/>
        </w:rPr>
        <w:t>. Geneva: WHO.</w:t>
      </w:r>
    </w:p>
    <w:p w14:paraId="5AB4CD41"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color w:val="0F1115"/>
          <w:kern w:val="0"/>
          <w14:ligatures w14:val="none"/>
        </w:rPr>
        <w:t>World Health Organization. (2024). </w:t>
      </w:r>
      <w:r w:rsidRPr="00B178A2">
        <w:rPr>
          <w:rFonts w:ascii="Times New Roman" w:eastAsia="Times New Roman" w:hAnsi="Times New Roman" w:cs="Times New Roman"/>
          <w:i/>
          <w:iCs/>
          <w:color w:val="0F1115"/>
          <w:kern w:val="0"/>
          <w14:ligatures w14:val="none"/>
        </w:rPr>
        <w:t>Drinking-water fact sheet</w:t>
      </w:r>
      <w:r w:rsidRPr="00B178A2">
        <w:rPr>
          <w:rFonts w:ascii="Times New Roman" w:eastAsia="Times New Roman" w:hAnsi="Times New Roman" w:cs="Times New Roman"/>
          <w:color w:val="0F1115"/>
          <w:kern w:val="0"/>
          <w14:ligatures w14:val="none"/>
        </w:rPr>
        <w:t>. Geneva: WHO.</w:t>
      </w:r>
    </w:p>
    <w:p w14:paraId="76FBF66B"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Corresponding Author:</w:t>
      </w:r>
      <w:r w:rsidRPr="00B178A2">
        <w:rPr>
          <w:rFonts w:ascii="Times New Roman" w:eastAsia="Times New Roman" w:hAnsi="Times New Roman" w:cs="Times New Roman"/>
          <w:color w:val="0F1115"/>
          <w:kern w:val="0"/>
          <w14:ligatures w14:val="none"/>
        </w:rPr>
        <w:br/>
        <w:t xml:space="preserve">Ndombe </w:t>
      </w:r>
      <w:proofErr w:type="spellStart"/>
      <w:r w:rsidRPr="00B178A2">
        <w:rPr>
          <w:rFonts w:ascii="Times New Roman" w:eastAsia="Times New Roman" w:hAnsi="Times New Roman" w:cs="Times New Roman"/>
          <w:color w:val="0F1115"/>
          <w:kern w:val="0"/>
          <w14:ligatures w14:val="none"/>
        </w:rPr>
        <w:t>Mukaba</w:t>
      </w:r>
      <w:proofErr w:type="spellEnd"/>
      <w:r w:rsidRPr="00B178A2">
        <w:rPr>
          <w:rFonts w:ascii="Times New Roman" w:eastAsia="Times New Roman" w:hAnsi="Times New Roman" w:cs="Times New Roman"/>
          <w:color w:val="0F1115"/>
          <w:kern w:val="0"/>
          <w14:ligatures w14:val="none"/>
        </w:rPr>
        <w:t xml:space="preserve"> Antoinette</w:t>
      </w:r>
      <w:r w:rsidRPr="00B178A2">
        <w:rPr>
          <w:rFonts w:ascii="Times New Roman" w:eastAsia="Times New Roman" w:hAnsi="Times New Roman" w:cs="Times New Roman"/>
          <w:color w:val="0F1115"/>
          <w:kern w:val="0"/>
          <w14:ligatures w14:val="none"/>
        </w:rPr>
        <w:br/>
      </w:r>
      <w:proofErr w:type="spellStart"/>
      <w:r w:rsidRPr="00B178A2">
        <w:rPr>
          <w:rFonts w:ascii="Times New Roman" w:eastAsia="Times New Roman" w:hAnsi="Times New Roman" w:cs="Times New Roman"/>
          <w:color w:val="0F1115"/>
          <w:kern w:val="0"/>
          <w14:ligatures w14:val="none"/>
        </w:rPr>
        <w:t>Institut</w:t>
      </w:r>
      <w:proofErr w:type="spellEnd"/>
      <w:r w:rsidRPr="00B178A2">
        <w:rPr>
          <w:rFonts w:ascii="Times New Roman" w:eastAsia="Times New Roman" w:hAnsi="Times New Roman" w:cs="Times New Roman"/>
          <w:color w:val="0F1115"/>
          <w:kern w:val="0"/>
          <w14:ligatures w14:val="none"/>
        </w:rPr>
        <w:t xml:space="preserve"> Supérieur des Techniques </w:t>
      </w:r>
      <w:proofErr w:type="spellStart"/>
      <w:r w:rsidRPr="00B178A2">
        <w:rPr>
          <w:rFonts w:ascii="Times New Roman" w:eastAsia="Times New Roman" w:hAnsi="Times New Roman" w:cs="Times New Roman"/>
          <w:color w:val="0F1115"/>
          <w:kern w:val="0"/>
          <w14:ligatures w14:val="none"/>
        </w:rPr>
        <w:t>Médicales</w:t>
      </w:r>
      <w:proofErr w:type="spellEnd"/>
      <w:r w:rsidRPr="00B178A2">
        <w:rPr>
          <w:rFonts w:ascii="Times New Roman" w:eastAsia="Times New Roman" w:hAnsi="Times New Roman" w:cs="Times New Roman"/>
          <w:color w:val="0F1115"/>
          <w:kern w:val="0"/>
          <w14:ligatures w14:val="none"/>
        </w:rPr>
        <w:t xml:space="preserve"> (ISTM)</w:t>
      </w:r>
      <w:r w:rsidRPr="00B178A2">
        <w:rPr>
          <w:rFonts w:ascii="Times New Roman" w:eastAsia="Times New Roman" w:hAnsi="Times New Roman" w:cs="Times New Roman"/>
          <w:color w:val="0F1115"/>
          <w:kern w:val="0"/>
          <w14:ligatures w14:val="none"/>
        </w:rPr>
        <w:br/>
      </w:r>
      <w:proofErr w:type="spellStart"/>
      <w:r w:rsidRPr="00B178A2">
        <w:rPr>
          <w:rFonts w:ascii="Times New Roman" w:eastAsia="Times New Roman" w:hAnsi="Times New Roman" w:cs="Times New Roman"/>
          <w:color w:val="0F1115"/>
          <w:kern w:val="0"/>
          <w14:ligatures w14:val="none"/>
        </w:rPr>
        <w:t>Mbandaka</w:t>
      </w:r>
      <w:proofErr w:type="spellEnd"/>
      <w:r w:rsidRPr="00B178A2">
        <w:rPr>
          <w:rFonts w:ascii="Times New Roman" w:eastAsia="Times New Roman" w:hAnsi="Times New Roman" w:cs="Times New Roman"/>
          <w:color w:val="0F1115"/>
          <w:kern w:val="0"/>
          <w14:ligatures w14:val="none"/>
        </w:rPr>
        <w:t>, Democratic Republic of the Congo</w:t>
      </w:r>
      <w:r w:rsidRPr="00B178A2">
        <w:rPr>
          <w:rFonts w:ascii="Times New Roman" w:eastAsia="Times New Roman" w:hAnsi="Times New Roman" w:cs="Times New Roman"/>
          <w:color w:val="0F1115"/>
          <w:kern w:val="0"/>
          <w14:ligatures w14:val="none"/>
        </w:rPr>
        <w:br/>
        <w:t>Email: istm_mbka@gmail.com</w:t>
      </w:r>
    </w:p>
    <w:p w14:paraId="3A45250A"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Conflict of Interest Statement:</w:t>
      </w:r>
      <w:r w:rsidRPr="00B178A2">
        <w:rPr>
          <w:rFonts w:ascii="Times New Roman" w:eastAsia="Times New Roman" w:hAnsi="Times New Roman" w:cs="Times New Roman"/>
          <w:color w:val="0F1115"/>
          <w:kern w:val="0"/>
          <w14:ligatures w14:val="none"/>
        </w:rPr>
        <w:t> The author declares no conflict of interest.</w:t>
      </w:r>
    </w:p>
    <w:p w14:paraId="09AAB3EC" w14:textId="77777777" w:rsidR="00B76A28" w:rsidRPr="00B178A2" w:rsidRDefault="00B76A28" w:rsidP="00B76A28">
      <w:pPr>
        <w:shd w:val="clear" w:color="auto" w:fill="FFFFFF"/>
        <w:spacing w:before="240" w:after="240" w:line="420" w:lineRule="atLeast"/>
        <w:rPr>
          <w:rFonts w:ascii="Times New Roman" w:eastAsia="Times New Roman" w:hAnsi="Times New Roman" w:cs="Times New Roman"/>
          <w:color w:val="0F1115"/>
          <w:kern w:val="0"/>
          <w14:ligatures w14:val="none"/>
        </w:rPr>
      </w:pPr>
      <w:r w:rsidRPr="00B178A2">
        <w:rPr>
          <w:rFonts w:ascii="Times New Roman" w:eastAsia="Times New Roman" w:hAnsi="Times New Roman" w:cs="Times New Roman"/>
          <w:b/>
          <w:bCs/>
          <w:color w:val="0F1115"/>
          <w:kern w:val="0"/>
          <w14:ligatures w14:val="none"/>
        </w:rPr>
        <w:t>Acknowledgments:</w:t>
      </w:r>
      <w:r w:rsidRPr="00B178A2">
        <w:rPr>
          <w:rFonts w:ascii="Times New Roman" w:eastAsia="Times New Roman" w:hAnsi="Times New Roman" w:cs="Times New Roman"/>
          <w:color w:val="0F1115"/>
          <w:kern w:val="0"/>
          <w14:ligatures w14:val="none"/>
        </w:rPr>
        <w:t xml:space="preserve"> The author thanks Professor Ebengho Bokelo Max for supervision, Chef de Travaux </w:t>
      </w:r>
      <w:proofErr w:type="spellStart"/>
      <w:r w:rsidRPr="00B178A2">
        <w:rPr>
          <w:rFonts w:ascii="Times New Roman" w:eastAsia="Times New Roman" w:hAnsi="Times New Roman" w:cs="Times New Roman"/>
          <w:color w:val="0F1115"/>
          <w:kern w:val="0"/>
          <w14:ligatures w14:val="none"/>
        </w:rPr>
        <w:t>Lofandjo</w:t>
      </w:r>
      <w:proofErr w:type="spellEnd"/>
      <w:r w:rsidRPr="00B178A2">
        <w:rPr>
          <w:rFonts w:ascii="Times New Roman" w:eastAsia="Times New Roman" w:hAnsi="Times New Roman" w:cs="Times New Roman"/>
          <w:color w:val="0F1115"/>
          <w:kern w:val="0"/>
          <w14:ligatures w14:val="none"/>
        </w:rPr>
        <w:t xml:space="preserve"> Kawe Pierre for technical guidance, and all participants from the </w:t>
      </w:r>
      <w:proofErr w:type="spellStart"/>
      <w:r w:rsidRPr="00B178A2">
        <w:rPr>
          <w:rFonts w:ascii="Times New Roman" w:eastAsia="Times New Roman" w:hAnsi="Times New Roman" w:cs="Times New Roman"/>
          <w:color w:val="0F1115"/>
          <w:kern w:val="0"/>
          <w14:ligatures w14:val="none"/>
        </w:rPr>
        <w:t>Bolenge</w:t>
      </w:r>
      <w:proofErr w:type="spellEnd"/>
      <w:r w:rsidRPr="00B178A2">
        <w:rPr>
          <w:rFonts w:ascii="Times New Roman" w:eastAsia="Times New Roman" w:hAnsi="Times New Roman" w:cs="Times New Roman"/>
          <w:color w:val="0F1115"/>
          <w:kern w:val="0"/>
          <w14:ligatures w14:val="none"/>
        </w:rPr>
        <w:t xml:space="preserve"> Health Zone who contributed to this study.</w:t>
      </w:r>
    </w:p>
    <w:p w14:paraId="48E559CA" w14:textId="77777777" w:rsidR="00B76A28" w:rsidRPr="00B178A2" w:rsidRDefault="00B76A28" w:rsidP="00B76A28">
      <w:pPr>
        <w:spacing w:after="0" w:line="240" w:lineRule="auto"/>
        <w:rPr>
          <w:rFonts w:ascii="Times New Roman" w:eastAsia="Times New Roman" w:hAnsi="Times New Roman" w:cs="Times New Roman"/>
          <w:kern w:val="0"/>
          <w14:ligatures w14:val="none"/>
        </w:rPr>
      </w:pPr>
    </w:p>
    <w:p w14:paraId="3F392DCD" w14:textId="77777777" w:rsidR="00B41904" w:rsidRPr="00B178A2" w:rsidRDefault="00B41904">
      <w:pPr>
        <w:rPr>
          <w:rFonts w:ascii="Times New Roman" w:hAnsi="Times New Roman" w:cs="Times New Roman"/>
        </w:rPr>
      </w:pPr>
    </w:p>
    <w:sectPr w:rsidR="00B41904" w:rsidRPr="00B178A2">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EFDAF" w14:textId="77777777" w:rsidR="00BF5F38" w:rsidRDefault="00BF5F38" w:rsidP="00B178A2">
      <w:pPr>
        <w:spacing w:after="0" w:line="240" w:lineRule="auto"/>
      </w:pPr>
      <w:r>
        <w:separator/>
      </w:r>
    </w:p>
  </w:endnote>
  <w:endnote w:type="continuationSeparator" w:id="0">
    <w:p w14:paraId="62F115A5" w14:textId="77777777" w:rsidR="00BF5F38" w:rsidRDefault="00BF5F38" w:rsidP="00B17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7025164"/>
      <w:docPartObj>
        <w:docPartGallery w:val="Page Numbers (Bottom of Page)"/>
        <w:docPartUnique/>
      </w:docPartObj>
    </w:sdtPr>
    <w:sdtContent>
      <w:p w14:paraId="1A453536" w14:textId="4CECB2BC" w:rsidR="00B178A2" w:rsidRDefault="00B178A2" w:rsidP="009733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9303A9C" w14:textId="77777777" w:rsidR="00B178A2" w:rsidRDefault="00B178A2" w:rsidP="00B178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4567190"/>
      <w:docPartObj>
        <w:docPartGallery w:val="Page Numbers (Bottom of Page)"/>
        <w:docPartUnique/>
      </w:docPartObj>
    </w:sdtPr>
    <w:sdtContent>
      <w:p w14:paraId="0D3458B4" w14:textId="78E89FE2" w:rsidR="00B178A2" w:rsidRDefault="00B178A2" w:rsidP="009733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479A802F" w14:textId="77777777" w:rsidR="00B178A2" w:rsidRDefault="00B178A2" w:rsidP="00B178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6D9BF" w14:textId="77777777" w:rsidR="00BF5F38" w:rsidRDefault="00BF5F38" w:rsidP="00B178A2">
      <w:pPr>
        <w:spacing w:after="0" w:line="240" w:lineRule="auto"/>
      </w:pPr>
      <w:r>
        <w:separator/>
      </w:r>
    </w:p>
  </w:footnote>
  <w:footnote w:type="continuationSeparator" w:id="0">
    <w:p w14:paraId="0D7D11C3" w14:textId="77777777" w:rsidR="00BF5F38" w:rsidRDefault="00BF5F38" w:rsidP="00B17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F3551"/>
    <w:multiLevelType w:val="multilevel"/>
    <w:tmpl w:val="69C6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D3143"/>
    <w:multiLevelType w:val="multilevel"/>
    <w:tmpl w:val="44C8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53827"/>
    <w:multiLevelType w:val="multilevel"/>
    <w:tmpl w:val="EAF4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D569A"/>
    <w:multiLevelType w:val="multilevel"/>
    <w:tmpl w:val="1C786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121DA0"/>
    <w:multiLevelType w:val="multilevel"/>
    <w:tmpl w:val="5B10E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3633B3"/>
    <w:multiLevelType w:val="multilevel"/>
    <w:tmpl w:val="4404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D72910"/>
    <w:multiLevelType w:val="multilevel"/>
    <w:tmpl w:val="2B9A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2D6D14"/>
    <w:multiLevelType w:val="multilevel"/>
    <w:tmpl w:val="AE6C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329822">
    <w:abstractNumId w:val="3"/>
  </w:num>
  <w:num w:numId="2" w16cid:durableId="1710497171">
    <w:abstractNumId w:val="0"/>
  </w:num>
  <w:num w:numId="3" w16cid:durableId="1803381558">
    <w:abstractNumId w:val="7"/>
  </w:num>
  <w:num w:numId="4" w16cid:durableId="1311862883">
    <w:abstractNumId w:val="2"/>
  </w:num>
  <w:num w:numId="5" w16cid:durableId="1972402105">
    <w:abstractNumId w:val="1"/>
  </w:num>
  <w:num w:numId="6" w16cid:durableId="441534679">
    <w:abstractNumId w:val="5"/>
  </w:num>
  <w:num w:numId="7" w16cid:durableId="108427994">
    <w:abstractNumId w:val="4"/>
  </w:num>
  <w:num w:numId="8" w16cid:durableId="4700529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A28"/>
    <w:rsid w:val="002C4B73"/>
    <w:rsid w:val="003F70DD"/>
    <w:rsid w:val="008F6EA0"/>
    <w:rsid w:val="009B4868"/>
    <w:rsid w:val="00AC0C13"/>
    <w:rsid w:val="00B178A2"/>
    <w:rsid w:val="00B41904"/>
    <w:rsid w:val="00B76A28"/>
    <w:rsid w:val="00BF5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0D9C9"/>
  <w15:chartTrackingRefBased/>
  <w15:docId w15:val="{0317E647-F96E-1741-9CE4-9BE21C4BD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A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76A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76A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A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6A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6A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6A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6A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6A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A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76A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76A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A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6A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6A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A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A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A28"/>
    <w:rPr>
      <w:rFonts w:eastAsiaTheme="majorEastAsia" w:cstheme="majorBidi"/>
      <w:color w:val="272727" w:themeColor="text1" w:themeTint="D8"/>
    </w:rPr>
  </w:style>
  <w:style w:type="paragraph" w:styleId="Title">
    <w:name w:val="Title"/>
    <w:basedOn w:val="Normal"/>
    <w:next w:val="Normal"/>
    <w:link w:val="TitleChar"/>
    <w:uiPriority w:val="10"/>
    <w:qFormat/>
    <w:rsid w:val="00B76A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A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A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A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A28"/>
    <w:pPr>
      <w:spacing w:before="160"/>
      <w:jc w:val="center"/>
    </w:pPr>
    <w:rPr>
      <w:i/>
      <w:iCs/>
      <w:color w:val="404040" w:themeColor="text1" w:themeTint="BF"/>
    </w:rPr>
  </w:style>
  <w:style w:type="character" w:customStyle="1" w:styleId="QuoteChar">
    <w:name w:val="Quote Char"/>
    <w:basedOn w:val="DefaultParagraphFont"/>
    <w:link w:val="Quote"/>
    <w:uiPriority w:val="29"/>
    <w:rsid w:val="00B76A28"/>
    <w:rPr>
      <w:i/>
      <w:iCs/>
      <w:color w:val="404040" w:themeColor="text1" w:themeTint="BF"/>
    </w:rPr>
  </w:style>
  <w:style w:type="paragraph" w:styleId="ListParagraph">
    <w:name w:val="List Paragraph"/>
    <w:basedOn w:val="Normal"/>
    <w:uiPriority w:val="34"/>
    <w:qFormat/>
    <w:rsid w:val="00B76A28"/>
    <w:pPr>
      <w:ind w:left="720"/>
      <w:contextualSpacing/>
    </w:pPr>
  </w:style>
  <w:style w:type="character" w:styleId="IntenseEmphasis">
    <w:name w:val="Intense Emphasis"/>
    <w:basedOn w:val="DefaultParagraphFont"/>
    <w:uiPriority w:val="21"/>
    <w:qFormat/>
    <w:rsid w:val="00B76A28"/>
    <w:rPr>
      <w:i/>
      <w:iCs/>
      <w:color w:val="0F4761" w:themeColor="accent1" w:themeShade="BF"/>
    </w:rPr>
  </w:style>
  <w:style w:type="paragraph" w:styleId="IntenseQuote">
    <w:name w:val="Intense Quote"/>
    <w:basedOn w:val="Normal"/>
    <w:next w:val="Normal"/>
    <w:link w:val="IntenseQuoteChar"/>
    <w:uiPriority w:val="30"/>
    <w:qFormat/>
    <w:rsid w:val="00B76A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6A28"/>
    <w:rPr>
      <w:i/>
      <w:iCs/>
      <w:color w:val="0F4761" w:themeColor="accent1" w:themeShade="BF"/>
    </w:rPr>
  </w:style>
  <w:style w:type="character" w:styleId="IntenseReference">
    <w:name w:val="Intense Reference"/>
    <w:basedOn w:val="DefaultParagraphFont"/>
    <w:uiPriority w:val="32"/>
    <w:qFormat/>
    <w:rsid w:val="00B76A28"/>
    <w:rPr>
      <w:b/>
      <w:bCs/>
      <w:smallCaps/>
      <w:color w:val="0F4761" w:themeColor="accent1" w:themeShade="BF"/>
      <w:spacing w:val="5"/>
    </w:rPr>
  </w:style>
  <w:style w:type="paragraph" w:customStyle="1" w:styleId="ds-markdown-paragraph">
    <w:name w:val="ds-markdown-paragraph"/>
    <w:basedOn w:val="Normal"/>
    <w:rsid w:val="00B76A2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76A28"/>
    <w:rPr>
      <w:b/>
      <w:bCs/>
    </w:rPr>
  </w:style>
  <w:style w:type="character" w:styleId="Emphasis">
    <w:name w:val="Emphasis"/>
    <w:basedOn w:val="DefaultParagraphFont"/>
    <w:uiPriority w:val="20"/>
    <w:qFormat/>
    <w:rsid w:val="00B76A28"/>
    <w:rPr>
      <w:i/>
      <w:iCs/>
    </w:rPr>
  </w:style>
  <w:style w:type="paragraph" w:styleId="Footer">
    <w:name w:val="footer"/>
    <w:basedOn w:val="Normal"/>
    <w:link w:val="FooterChar"/>
    <w:uiPriority w:val="99"/>
    <w:unhideWhenUsed/>
    <w:rsid w:val="00B17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8A2"/>
  </w:style>
  <w:style w:type="character" w:styleId="PageNumber">
    <w:name w:val="page number"/>
    <w:basedOn w:val="DefaultParagraphFont"/>
    <w:uiPriority w:val="99"/>
    <w:semiHidden/>
    <w:unhideWhenUsed/>
    <w:rsid w:val="00B17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3629</Words>
  <Characters>20690</Characters>
  <Application>Microsoft Office Word</Application>
  <DocSecurity>0</DocSecurity>
  <Lines>172</Lines>
  <Paragraphs>48</Paragraphs>
  <ScaleCrop>false</ScaleCrop>
  <Company/>
  <LinksUpToDate>false</LinksUpToDate>
  <CharactersWithSpaces>24271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2026-05-20T09:05:00Z</dcterms:created>
  <dcterms:modified xsi:type="dcterms:W3CDTF">2026-05-20T09:13:00Z</dcterms:modified>
</cp:coreProperties>
</file>