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3BF35" w14:textId="77777777" w:rsidR="00921959" w:rsidRPr="00D8608E" w:rsidRDefault="00921959" w:rsidP="00921959">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D8608E">
        <w:rPr>
          <w:rFonts w:ascii="Times New Roman" w:eastAsia="Times New Roman" w:hAnsi="Times New Roman" w:cs="Times New Roman"/>
          <w:b/>
          <w:bCs/>
          <w:color w:val="0F1115"/>
          <w:kern w:val="36"/>
          <w:sz w:val="36"/>
          <w:szCs w:val="36"/>
          <w14:ligatures w14:val="none"/>
        </w:rPr>
        <w:t>Evaluation of Infant Mortality Causes at Basankusu General Referral Hospital, Democratic Republic of the Congo: A Retrospective Study (2019–2020)</w:t>
      </w:r>
    </w:p>
    <w:p w14:paraId="59DB4C96" w14:textId="42235DFC"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Author:</w:t>
      </w:r>
      <w:r w:rsidRPr="00D8608E">
        <w:rPr>
          <w:rFonts w:ascii="Times New Roman" w:eastAsia="Times New Roman" w:hAnsi="Times New Roman" w:cs="Times New Roman"/>
          <w:color w:val="0F1115"/>
          <w:kern w:val="0"/>
          <w14:ligatures w14:val="none"/>
        </w:rPr>
        <w:t> Ngondoa Ngondoa Antoine</w:t>
      </w:r>
      <w:r w:rsidRPr="00D8608E">
        <w:rPr>
          <w:rFonts w:ascii="Times New Roman" w:eastAsia="Times New Roman" w:hAnsi="Times New Roman" w:cs="Times New Roman"/>
          <w:color w:val="0F1115"/>
          <w:kern w:val="0"/>
          <w14:ligatures w14:val="none"/>
        </w:rPr>
        <w:br/>
      </w:r>
      <w:r w:rsidRPr="00D8608E">
        <w:rPr>
          <w:rFonts w:ascii="Times New Roman" w:eastAsia="Times New Roman" w:hAnsi="Times New Roman" w:cs="Times New Roman"/>
          <w:b/>
          <w:bCs/>
          <w:color w:val="0F1115"/>
          <w:kern w:val="0"/>
          <w14:ligatures w14:val="none"/>
        </w:rPr>
        <w:t>Affiliation:</w:t>
      </w:r>
      <w:r w:rsidRPr="00D8608E">
        <w:rPr>
          <w:rFonts w:ascii="Times New Roman" w:eastAsia="Times New Roman" w:hAnsi="Times New Roman" w:cs="Times New Roman"/>
          <w:color w:val="0F1115"/>
          <w:kern w:val="0"/>
          <w14:ligatures w14:val="none"/>
        </w:rPr>
        <w:t> Institut Supérieur des Techniques Médicales (ISTM), Mbandaka, Democratic Republic of Congo</w:t>
      </w:r>
      <w:r w:rsidRPr="00D8608E">
        <w:rPr>
          <w:rFonts w:ascii="Times New Roman" w:eastAsia="Times New Roman" w:hAnsi="Times New Roman" w:cs="Times New Roman"/>
          <w:color w:val="0F1115"/>
          <w:kern w:val="0"/>
          <w14:ligatures w14:val="none"/>
        </w:rPr>
        <w:br/>
      </w:r>
      <w:r w:rsidRPr="00D8608E">
        <w:rPr>
          <w:rFonts w:ascii="Times New Roman" w:eastAsia="Times New Roman" w:hAnsi="Times New Roman" w:cs="Times New Roman"/>
          <w:b/>
          <w:bCs/>
          <w:color w:val="0F1115"/>
          <w:kern w:val="0"/>
          <w14:ligatures w14:val="none"/>
        </w:rPr>
        <w:t>Program:</w:t>
      </w:r>
      <w:r w:rsidRPr="00D8608E">
        <w:rPr>
          <w:rFonts w:ascii="Times New Roman" w:eastAsia="Times New Roman" w:hAnsi="Times New Roman" w:cs="Times New Roman"/>
          <w:color w:val="0F1115"/>
          <w:kern w:val="0"/>
          <w14:ligatures w14:val="none"/>
        </w:rPr>
        <w:t> Master in Health Policies, Project and Health Systems Management (MPGS)</w:t>
      </w:r>
      <w:r w:rsidRPr="00D8608E">
        <w:rPr>
          <w:rFonts w:ascii="Times New Roman" w:eastAsia="Times New Roman" w:hAnsi="Times New Roman" w:cs="Times New Roman"/>
          <w:color w:val="0F1115"/>
          <w:kern w:val="0"/>
          <w14:ligatures w14:val="none"/>
        </w:rPr>
        <w:br/>
      </w:r>
      <w:r w:rsidRPr="00D8608E">
        <w:rPr>
          <w:rFonts w:ascii="Times New Roman" w:eastAsia="Times New Roman" w:hAnsi="Times New Roman" w:cs="Times New Roman"/>
          <w:b/>
          <w:bCs/>
          <w:color w:val="0F1115"/>
          <w:kern w:val="0"/>
          <w14:ligatures w14:val="none"/>
        </w:rPr>
        <w:t>Director:</w:t>
      </w:r>
      <w:r w:rsidRPr="00D8608E">
        <w:rPr>
          <w:rFonts w:ascii="Times New Roman" w:eastAsia="Times New Roman" w:hAnsi="Times New Roman" w:cs="Times New Roman"/>
          <w:color w:val="0F1115"/>
          <w:kern w:val="0"/>
          <w14:ligatures w14:val="none"/>
        </w:rPr>
        <w:t> Professor Ebengho Bokelo Max, MD, MPH, PhD</w:t>
      </w:r>
      <w:r w:rsidRPr="00D8608E">
        <w:rPr>
          <w:rFonts w:ascii="Times New Roman" w:eastAsia="Times New Roman" w:hAnsi="Times New Roman" w:cs="Times New Roman"/>
          <w:color w:val="0F1115"/>
          <w:kern w:val="0"/>
          <w14:ligatures w14:val="none"/>
        </w:rPr>
        <w:br/>
      </w:r>
      <w:r w:rsidRPr="00D8608E">
        <w:rPr>
          <w:rFonts w:ascii="Times New Roman" w:eastAsia="Times New Roman" w:hAnsi="Times New Roman" w:cs="Times New Roman"/>
          <w:b/>
          <w:bCs/>
          <w:color w:val="0F1115"/>
          <w:kern w:val="0"/>
          <w14:ligatures w14:val="none"/>
        </w:rPr>
        <w:t>Academic Year:</w:t>
      </w:r>
      <w:r w:rsidRPr="00D8608E">
        <w:rPr>
          <w:rFonts w:ascii="Times New Roman" w:eastAsia="Times New Roman" w:hAnsi="Times New Roman" w:cs="Times New Roman"/>
          <w:color w:val="0F1115"/>
          <w:kern w:val="0"/>
          <w14:ligatures w14:val="none"/>
        </w:rPr>
        <w:t> 2024–2025</w:t>
      </w:r>
    </w:p>
    <w:p w14:paraId="61CDCF37" w14:textId="77777777" w:rsidR="00921959" w:rsidRPr="00D8608E" w:rsidRDefault="00921959" w:rsidP="0092195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8608E">
        <w:rPr>
          <w:rFonts w:ascii="Times New Roman" w:eastAsia="Times New Roman" w:hAnsi="Times New Roman" w:cs="Times New Roman"/>
          <w:b/>
          <w:bCs/>
          <w:color w:val="0F1115"/>
          <w:kern w:val="0"/>
          <w:sz w:val="33"/>
          <w:szCs w:val="33"/>
          <w14:ligatures w14:val="none"/>
        </w:rPr>
        <w:t>Abstract</w:t>
      </w:r>
    </w:p>
    <w:p w14:paraId="2F936499"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Introduction:</w:t>
      </w:r>
      <w:r w:rsidRPr="00D8608E">
        <w:rPr>
          <w:rFonts w:ascii="Times New Roman" w:eastAsia="Times New Roman" w:hAnsi="Times New Roman" w:cs="Times New Roman"/>
          <w:color w:val="0F1115"/>
          <w:kern w:val="0"/>
          <w14:ligatures w14:val="none"/>
        </w:rPr>
        <w:t> Infant mortality remains a critical public health indicator reflecting the effectiveness of health systems and socioeconomic development. In the Democratic Republic of the Congo (DRC), particularly in rural areas such as Basankusu, infant mortality rates remain alarmingly high. This study aimed to evaluate the causes of infant mortality among children under five years of age at Basankusu General Referral Hospital from 2019 to 2020.</w:t>
      </w:r>
    </w:p>
    <w:p w14:paraId="4486FF79"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Methods:</w:t>
      </w:r>
      <w:r w:rsidRPr="00D8608E">
        <w:rPr>
          <w:rFonts w:ascii="Times New Roman" w:eastAsia="Times New Roman" w:hAnsi="Times New Roman" w:cs="Times New Roman"/>
          <w:color w:val="0F1115"/>
          <w:kern w:val="0"/>
          <w14:ligatures w14:val="none"/>
        </w:rPr>
        <w:t> A retrospective, descriptive, and analytical cross-sectional study was conducted using exhaustive sampling of all infant death records (children aged 0–59 months) registered at Basankusu General Referral Hospital between January 1, 2019, and December 31, 2020. A total of 100 cases were included. Data were collected using a standardized data extraction form from hospital registers and medical records. Descriptive statistics (frequencies, percentages) were computed. Chi-square tests were used to examine associations between sociodemographic factors and mortality.</w:t>
      </w:r>
    </w:p>
    <w:p w14:paraId="0A03A026"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Results:</w:t>
      </w:r>
      <w:r w:rsidRPr="00D8608E">
        <w:rPr>
          <w:rFonts w:ascii="Times New Roman" w:eastAsia="Times New Roman" w:hAnsi="Times New Roman" w:cs="Times New Roman"/>
          <w:color w:val="0F1115"/>
          <w:kern w:val="0"/>
          <w14:ligatures w14:val="none"/>
        </w:rPr>
        <w:t xml:space="preserve"> The majority of deaths occurred in infants aged 0–11 months (52%), with male predominance (58%). Rural residence accounted for 62% of deaths. The leading causes of death were cholera (30%), severe malaria (22%), acute diarrhea (18%), malnutrition (15%), and </w:t>
      </w:r>
      <w:r w:rsidRPr="00D8608E">
        <w:rPr>
          <w:rFonts w:ascii="Times New Roman" w:eastAsia="Times New Roman" w:hAnsi="Times New Roman" w:cs="Times New Roman"/>
          <w:color w:val="0F1115"/>
          <w:kern w:val="0"/>
          <w14:ligatures w14:val="none"/>
        </w:rPr>
        <w:lastRenderedPageBreak/>
        <w:t>measles (8%). Most deaths occurred during the rainy season (68%). Incomplete vaccination status was observed in 51% of cases, and 74% of children had moderate or severe malnutrition. Late hospital arrival (&gt;72 hours) was noted in 40% of cases. Significant associations were found between mortality and maternal education level (p &lt; 0.05), household income (p &lt; 0.01), access to clean water (p &lt; 0.001), and vaccination status (p &lt; 0.01).</w:t>
      </w:r>
    </w:p>
    <w:p w14:paraId="48238774"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Conclusion:</w:t>
      </w:r>
      <w:r w:rsidRPr="00D8608E">
        <w:rPr>
          <w:rFonts w:ascii="Times New Roman" w:eastAsia="Times New Roman" w:hAnsi="Times New Roman" w:cs="Times New Roman"/>
          <w:color w:val="0F1115"/>
          <w:kern w:val="0"/>
          <w14:ligatures w14:val="none"/>
        </w:rPr>
        <w:t> Infant mortality at Basankusu General Referral Hospital is predominantly caused by preventable conditions: cholera, malaria, diarrhea, malnutrition, and measles. Contributing factors include low maternal education, poverty, rural residence, lack of clean water, incomplete vaccination, and delayed healthcare seeking. Strengthening primary prevention, improving vaccine coverage, promoting early consultation, and enhancing health infrastructure are urgently needed.</w:t>
      </w:r>
    </w:p>
    <w:p w14:paraId="16104915"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Keywords:</w:t>
      </w:r>
      <w:r w:rsidRPr="00D8608E">
        <w:rPr>
          <w:rFonts w:ascii="Times New Roman" w:eastAsia="Times New Roman" w:hAnsi="Times New Roman" w:cs="Times New Roman"/>
          <w:color w:val="0F1115"/>
          <w:kern w:val="0"/>
          <w14:ligatures w14:val="none"/>
        </w:rPr>
        <w:t> Infant mortality, causes of death, under-five children, cholera, malaria, Basankusu, Democratic Republic of the Congo</w:t>
      </w:r>
    </w:p>
    <w:p w14:paraId="18FC2BE4" w14:textId="77777777" w:rsidR="00921959" w:rsidRPr="00D8608E" w:rsidRDefault="00921959" w:rsidP="0092195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8608E">
        <w:rPr>
          <w:rFonts w:ascii="Times New Roman" w:eastAsia="Times New Roman" w:hAnsi="Times New Roman" w:cs="Times New Roman"/>
          <w:b/>
          <w:bCs/>
          <w:color w:val="0F1115"/>
          <w:kern w:val="0"/>
          <w:sz w:val="33"/>
          <w:szCs w:val="33"/>
          <w14:ligatures w14:val="none"/>
        </w:rPr>
        <w:t>1. Introduction</w:t>
      </w:r>
    </w:p>
    <w:p w14:paraId="1D2C7C2F"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1.1. Background</w:t>
      </w:r>
    </w:p>
    <w:p w14:paraId="4EA4CCF2"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Infant mortality—defined as the death of a child before the first birthday—and under-five mortality remain among the most sensitive indicators of a country's health system performance, socioeconomic development, and overall population health (World Health Organization [WHO], 2023). Despite significant global progress, approximately 5 million children under five years of age died in 2021, with the vast majority of these deaths occurring in sub-Saharan Africa and South Asia (UNICEF, 2022).</w:t>
      </w:r>
    </w:p>
    <w:p w14:paraId="235750C2"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The leading causes of under-five mortality globally include neonatal conditions (prematurity, birth asphyxia, sepsis), pneumonia, diarrhea, malaria, and measles—most of which are preventable or treatable with existing, cost-effective interventions (Bhutta et al., 2017). However, in low-income countries, access to these interventions remains limited due to weak health systems, poverty, poor infrastructure, and sociocultural barriers.</w:t>
      </w:r>
    </w:p>
    <w:p w14:paraId="67C1EB14"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lastRenderedPageBreak/>
        <w:t>In the Democratic Republic of the Congo (DRC), a country with one of the highest under-five mortality rates in the world, the situation is particularly concerning. According to the Ministry of Health (2021), the under-five mortality rate is approximately 85 deaths per 1,000 live births, far above the Sustainable Development Goal (SDG) target of 25 per 1,000 by 2030. Factors contributing to this high mortality include inadequate vaccination coverage, poor maternal health services, malnutrition, malaria endemicity, and frequent disease outbreaks (cholera, measles, Ebola).</w:t>
      </w:r>
    </w:p>
    <w:p w14:paraId="15645ED8"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1.2. Problem Statement</w:t>
      </w:r>
    </w:p>
    <w:p w14:paraId="4697529E"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Basankusu, a rural health zone in Équateur Province, faces unique challenges. The Basankusu General Referral Hospital (HGR Basankusu) serves as the primary referral facility for a large, geographically dispersed population. However, limited data exist on the specific causes and contributing factors of infant mortality in this setting. Without local evidence, prevention and treatment strategies cannot be optimally targeted.</w:t>
      </w:r>
    </w:p>
    <w:p w14:paraId="3649628C"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This study therefore sought to answer the research question: </w:t>
      </w:r>
      <w:r w:rsidRPr="00D8608E">
        <w:rPr>
          <w:rFonts w:ascii="Times New Roman" w:eastAsia="Times New Roman" w:hAnsi="Times New Roman" w:cs="Times New Roman"/>
          <w:b/>
          <w:bCs/>
          <w:color w:val="0F1115"/>
          <w:kern w:val="0"/>
          <w14:ligatures w14:val="none"/>
        </w:rPr>
        <w:t>What are the leading causes of infant mortality and associated factors among children under five years admitted to Basankusu General Referral Hospital between 2019 and 2020?</w:t>
      </w:r>
    </w:p>
    <w:p w14:paraId="385664F5"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1.3. Objectives</w:t>
      </w:r>
    </w:p>
    <w:p w14:paraId="656BEB82"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General objective:</w:t>
      </w:r>
      <w:r w:rsidRPr="00D8608E">
        <w:rPr>
          <w:rFonts w:ascii="Times New Roman" w:eastAsia="Times New Roman" w:hAnsi="Times New Roman" w:cs="Times New Roman"/>
          <w:color w:val="0F1115"/>
          <w:kern w:val="0"/>
          <w14:ligatures w14:val="none"/>
        </w:rPr>
        <w:t> To evaluate the causes of infant mortality at Basankusu General Referral Hospital from 2019 to 2020 in order to propose evidence-based reduction strategies.</w:t>
      </w:r>
    </w:p>
    <w:p w14:paraId="7836D8A1"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Specific objectives:</w:t>
      </w:r>
    </w:p>
    <w:p w14:paraId="6B2182BC" w14:textId="77777777" w:rsidR="00921959" w:rsidRPr="00D8608E" w:rsidRDefault="00921959" w:rsidP="0092195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To identify the leading medical causes of death among children under five years.</w:t>
      </w:r>
    </w:p>
    <w:p w14:paraId="7FA155DD" w14:textId="77777777" w:rsidR="00921959" w:rsidRPr="00D8608E" w:rsidRDefault="00921959" w:rsidP="0092195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To determine the sociodemographic, clinical, and health system factors associated with infant mortality.</w:t>
      </w:r>
    </w:p>
    <w:p w14:paraId="6B67EAF4" w14:textId="77777777" w:rsidR="00921959" w:rsidRPr="00D8608E" w:rsidRDefault="00921959" w:rsidP="0092195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To assess the quality of care provided to children at the hospital.</w:t>
      </w:r>
    </w:p>
    <w:p w14:paraId="0CAD9398" w14:textId="77777777" w:rsidR="00921959" w:rsidRPr="00D8608E" w:rsidRDefault="00921959" w:rsidP="0092195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To propose preventive and corrective measures for reducing infant mortality.</w:t>
      </w:r>
    </w:p>
    <w:p w14:paraId="7A03F8EB"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lastRenderedPageBreak/>
        <w:t>1.4. Hypotheses</w:t>
      </w:r>
    </w:p>
    <w:p w14:paraId="05715340" w14:textId="77777777" w:rsidR="00921959" w:rsidRPr="00D8608E" w:rsidRDefault="00921959" w:rsidP="0092195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H₁:</w:t>
      </w:r>
      <w:r w:rsidRPr="00D8608E">
        <w:rPr>
          <w:rFonts w:ascii="Times New Roman" w:eastAsia="Times New Roman" w:hAnsi="Times New Roman" w:cs="Times New Roman"/>
          <w:color w:val="0F1115"/>
          <w:kern w:val="0"/>
          <w14:ligatures w14:val="none"/>
        </w:rPr>
        <w:t> The leading causes of infant mortality at HGR Basankusu are dominated by preventable infectious diseases (malaria, acute diarrhea, respiratory infections, cholera, measles).</w:t>
      </w:r>
    </w:p>
    <w:p w14:paraId="679365BC" w14:textId="77777777" w:rsidR="00921959" w:rsidRPr="00D8608E" w:rsidRDefault="00921959" w:rsidP="0092195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H₂:</w:t>
      </w:r>
      <w:r w:rsidRPr="00D8608E">
        <w:rPr>
          <w:rFonts w:ascii="Times New Roman" w:eastAsia="Times New Roman" w:hAnsi="Times New Roman" w:cs="Times New Roman"/>
          <w:color w:val="0F1115"/>
          <w:kern w:val="0"/>
          <w14:ligatures w14:val="none"/>
        </w:rPr>
        <w:t> Delayed healthcare seeking significantly increases the risk of death among children under five years.</w:t>
      </w:r>
    </w:p>
    <w:p w14:paraId="1CB2D2F0" w14:textId="77777777" w:rsidR="00921959" w:rsidRPr="00D8608E" w:rsidRDefault="00921959" w:rsidP="0092195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H₃:</w:t>
      </w:r>
      <w:r w:rsidRPr="00D8608E">
        <w:rPr>
          <w:rFonts w:ascii="Times New Roman" w:eastAsia="Times New Roman" w:hAnsi="Times New Roman" w:cs="Times New Roman"/>
          <w:color w:val="0F1115"/>
          <w:kern w:val="0"/>
          <w14:ligatures w14:val="none"/>
        </w:rPr>
        <w:t> Low socioeconomic status, poor maternal education, and lack of clean water are significantly associated with infant mortality.</w:t>
      </w:r>
    </w:p>
    <w:p w14:paraId="1352FB69" w14:textId="77777777" w:rsidR="00921959" w:rsidRPr="00D8608E" w:rsidRDefault="00921959" w:rsidP="0092195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H₄:</w:t>
      </w:r>
      <w:r w:rsidRPr="00D8608E">
        <w:rPr>
          <w:rFonts w:ascii="Times New Roman" w:eastAsia="Times New Roman" w:hAnsi="Times New Roman" w:cs="Times New Roman"/>
          <w:color w:val="0F1115"/>
          <w:kern w:val="0"/>
          <w14:ligatures w14:val="none"/>
        </w:rPr>
        <w:t> Incomplete vaccination status and malnutrition are major contributing factors to infant deaths.</w:t>
      </w:r>
    </w:p>
    <w:p w14:paraId="622F6282" w14:textId="77777777" w:rsidR="00921959" w:rsidRPr="00D8608E" w:rsidRDefault="00921959" w:rsidP="0092195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8608E">
        <w:rPr>
          <w:rFonts w:ascii="Times New Roman" w:eastAsia="Times New Roman" w:hAnsi="Times New Roman" w:cs="Times New Roman"/>
          <w:b/>
          <w:bCs/>
          <w:color w:val="0F1115"/>
          <w:kern w:val="0"/>
          <w:sz w:val="33"/>
          <w:szCs w:val="33"/>
          <w14:ligatures w14:val="none"/>
        </w:rPr>
        <w:t>2. Methods</w:t>
      </w:r>
    </w:p>
    <w:p w14:paraId="4EE3053E"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2.1. Study Design and Setting</w:t>
      </w:r>
    </w:p>
    <w:p w14:paraId="764D0A90"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A </w:t>
      </w:r>
      <w:r w:rsidRPr="00D8608E">
        <w:rPr>
          <w:rFonts w:ascii="Times New Roman" w:eastAsia="Times New Roman" w:hAnsi="Times New Roman" w:cs="Times New Roman"/>
          <w:b/>
          <w:bCs/>
          <w:color w:val="0F1115"/>
          <w:kern w:val="0"/>
          <w14:ligatures w14:val="none"/>
        </w:rPr>
        <w:t>retrospective, descriptive, and analytical cross-sectional study</w:t>
      </w:r>
      <w:r w:rsidRPr="00D8608E">
        <w:rPr>
          <w:rFonts w:ascii="Times New Roman" w:eastAsia="Times New Roman" w:hAnsi="Times New Roman" w:cs="Times New Roman"/>
          <w:color w:val="0F1115"/>
          <w:kern w:val="0"/>
          <w14:ligatures w14:val="none"/>
        </w:rPr>
        <w:t> was conducted at Basankusu General Referral Hospital (HGR Basankusu), located in Basankusu health zone, Équateur Province, Democratic Republic of the Congo. The hospital has a bed capacity of 120 beds and serves as the primary referral facility for the surrounding rural population.</w:t>
      </w:r>
    </w:p>
    <w:p w14:paraId="049B3DDD"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The study covered a two-year period from </w:t>
      </w:r>
      <w:r w:rsidRPr="00D8608E">
        <w:rPr>
          <w:rFonts w:ascii="Times New Roman" w:eastAsia="Times New Roman" w:hAnsi="Times New Roman" w:cs="Times New Roman"/>
          <w:b/>
          <w:bCs/>
          <w:color w:val="0F1115"/>
          <w:kern w:val="0"/>
          <w14:ligatures w14:val="none"/>
        </w:rPr>
        <w:t>January 1, 2019, to December 31, 2020</w:t>
      </w:r>
      <w:r w:rsidRPr="00D8608E">
        <w:rPr>
          <w:rFonts w:ascii="Times New Roman" w:eastAsia="Times New Roman" w:hAnsi="Times New Roman" w:cs="Times New Roman"/>
          <w:color w:val="0F1115"/>
          <w:kern w:val="0"/>
          <w14:ligatures w14:val="none"/>
        </w:rPr>
        <w:t>.</w:t>
      </w:r>
    </w:p>
    <w:p w14:paraId="52A0EB06"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2.2. Target Population and Sampling</w:t>
      </w:r>
    </w:p>
    <w:p w14:paraId="026537AD"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The target population comprised all children aged 0–59 months admitted to HGR Basankusu during the study period. </w:t>
      </w:r>
      <w:r w:rsidRPr="00D8608E">
        <w:rPr>
          <w:rFonts w:ascii="Times New Roman" w:eastAsia="Times New Roman" w:hAnsi="Times New Roman" w:cs="Times New Roman"/>
          <w:b/>
          <w:bCs/>
          <w:color w:val="0F1115"/>
          <w:kern w:val="0"/>
          <w14:ligatures w14:val="none"/>
        </w:rPr>
        <w:t>Exhaustive sampling</w:t>
      </w:r>
      <w:r w:rsidRPr="00D8608E">
        <w:rPr>
          <w:rFonts w:ascii="Times New Roman" w:eastAsia="Times New Roman" w:hAnsi="Times New Roman" w:cs="Times New Roman"/>
          <w:color w:val="0F1115"/>
          <w:kern w:val="0"/>
          <w14:ligatures w14:val="none"/>
        </w:rPr>
        <w:t> was used: all cases meeting the inclusion criteria were included.</w:t>
      </w:r>
    </w:p>
    <w:p w14:paraId="001589F2"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Inclusion criteria:</w:t>
      </w:r>
    </w:p>
    <w:p w14:paraId="5559AED4" w14:textId="77777777" w:rsidR="00921959" w:rsidRPr="00D8608E" w:rsidRDefault="00921959" w:rsidP="00921959">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Child aged 0–59 months at the time of admission.</w:t>
      </w:r>
    </w:p>
    <w:p w14:paraId="6C94E867" w14:textId="77777777" w:rsidR="00921959" w:rsidRPr="00D8608E" w:rsidRDefault="00921959" w:rsidP="00921959">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lastRenderedPageBreak/>
        <w:t>Death occurring during hospitalization.</w:t>
      </w:r>
    </w:p>
    <w:p w14:paraId="27A4AE2E" w14:textId="77777777" w:rsidR="00921959" w:rsidRPr="00D8608E" w:rsidRDefault="00921959" w:rsidP="00921959">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Complete and exploitable medical records.</w:t>
      </w:r>
    </w:p>
    <w:p w14:paraId="73BAF0CD"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Exclusion criteria:</w:t>
      </w:r>
    </w:p>
    <w:p w14:paraId="65B4DD5C" w14:textId="77777777" w:rsidR="00921959" w:rsidRPr="00D8608E" w:rsidRDefault="00921959" w:rsidP="00921959">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Incomplete medical records.</w:t>
      </w:r>
    </w:p>
    <w:p w14:paraId="669CFA0C" w14:textId="77777777" w:rsidR="00921959" w:rsidRPr="00D8608E" w:rsidRDefault="00921959" w:rsidP="00921959">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Children aged &gt;59 months.</w:t>
      </w:r>
    </w:p>
    <w:p w14:paraId="2F318038" w14:textId="77777777" w:rsidR="00921959" w:rsidRPr="00D8608E" w:rsidRDefault="00921959" w:rsidP="00921959">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Transfer cases without complete information.</w:t>
      </w:r>
    </w:p>
    <w:p w14:paraId="1910A05D"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A total of </w:t>
      </w:r>
      <w:r w:rsidRPr="00D8608E">
        <w:rPr>
          <w:rFonts w:ascii="Times New Roman" w:eastAsia="Times New Roman" w:hAnsi="Times New Roman" w:cs="Times New Roman"/>
          <w:b/>
          <w:bCs/>
          <w:color w:val="0F1115"/>
          <w:kern w:val="0"/>
          <w14:ligatures w14:val="none"/>
        </w:rPr>
        <w:t>100 cases</w:t>
      </w:r>
      <w:r w:rsidRPr="00D8608E">
        <w:rPr>
          <w:rFonts w:ascii="Times New Roman" w:eastAsia="Times New Roman" w:hAnsi="Times New Roman" w:cs="Times New Roman"/>
          <w:color w:val="0F1115"/>
          <w:kern w:val="0"/>
          <w14:ligatures w14:val="none"/>
        </w:rPr>
        <w:t> were included in the final analysis.</w:t>
      </w:r>
    </w:p>
    <w:p w14:paraId="2DE4D638"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2.3. Data Collection Instruments and Procedures</w:t>
      </w:r>
    </w:p>
    <w:p w14:paraId="3EFAF24B"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Data were collected using a </w:t>
      </w:r>
      <w:r w:rsidRPr="00D8608E">
        <w:rPr>
          <w:rFonts w:ascii="Times New Roman" w:eastAsia="Times New Roman" w:hAnsi="Times New Roman" w:cs="Times New Roman"/>
          <w:b/>
          <w:bCs/>
          <w:color w:val="0F1115"/>
          <w:kern w:val="0"/>
          <w14:ligatures w14:val="none"/>
        </w:rPr>
        <w:t>standardized data extraction form</w:t>
      </w:r>
      <w:r w:rsidRPr="00D8608E">
        <w:rPr>
          <w:rFonts w:ascii="Times New Roman" w:eastAsia="Times New Roman" w:hAnsi="Times New Roman" w:cs="Times New Roman"/>
          <w:color w:val="0F1115"/>
          <w:kern w:val="0"/>
          <w14:ligatures w14:val="none"/>
        </w:rPr>
        <w:t> developed for this study. Information was extracted from:</w:t>
      </w:r>
    </w:p>
    <w:p w14:paraId="3C2DF9D1" w14:textId="77777777" w:rsidR="00921959" w:rsidRPr="00D8608E" w:rsidRDefault="00921959" w:rsidP="00921959">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Hospital admission registers.</w:t>
      </w:r>
    </w:p>
    <w:p w14:paraId="4AD5A735" w14:textId="77777777" w:rsidR="00921959" w:rsidRPr="00D8608E" w:rsidRDefault="00921959" w:rsidP="00921959">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Patient medical records.</w:t>
      </w:r>
    </w:p>
    <w:p w14:paraId="017C85C2" w14:textId="77777777" w:rsidR="00921959" w:rsidRPr="00D8608E" w:rsidRDefault="00921959" w:rsidP="00921959">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Death certificates (when available).</w:t>
      </w:r>
    </w:p>
    <w:p w14:paraId="21240D5D" w14:textId="77777777" w:rsidR="00921959" w:rsidRPr="00D8608E" w:rsidRDefault="00921959" w:rsidP="00921959">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Nursing and physician notes.</w:t>
      </w:r>
    </w:p>
    <w:p w14:paraId="7F2170DD"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Variables collected included:</w:t>
      </w:r>
    </w:p>
    <w:p w14:paraId="40F3CFF3" w14:textId="77777777" w:rsidR="00921959" w:rsidRPr="00D8608E" w:rsidRDefault="00921959" w:rsidP="00921959">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Sociodemographic characteristics (age, sex, residence, maternal education, parental occupation, household income).</w:t>
      </w:r>
    </w:p>
    <w:p w14:paraId="647D7085" w14:textId="77777777" w:rsidR="00921959" w:rsidRPr="00D8608E" w:rsidRDefault="00921959" w:rsidP="00921959">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Clinical variables (diagnosis, nutritional status, vaccination status, birth weight).</w:t>
      </w:r>
    </w:p>
    <w:p w14:paraId="3B5296F4" w14:textId="77777777" w:rsidR="00921959" w:rsidRPr="00D8608E" w:rsidRDefault="00921959" w:rsidP="00921959">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Health service variables (delay to consultation, mode of admission, distance to facility, transport mode, availability of medicines, staff qualification).</w:t>
      </w:r>
    </w:p>
    <w:p w14:paraId="6A75D30C" w14:textId="77777777" w:rsidR="00921959" w:rsidRPr="00D8608E" w:rsidRDefault="00921959" w:rsidP="00921959">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Environmental variables (access to clean water, season of death).</w:t>
      </w:r>
    </w:p>
    <w:p w14:paraId="452E6D58"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2.4. Variables</w:t>
      </w:r>
    </w:p>
    <w:p w14:paraId="212597B8"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Dependent variable:</w:t>
      </w:r>
      <w:r w:rsidRPr="00D8608E">
        <w:rPr>
          <w:rFonts w:ascii="Times New Roman" w:eastAsia="Times New Roman" w:hAnsi="Times New Roman" w:cs="Times New Roman"/>
          <w:color w:val="0F1115"/>
          <w:kern w:val="0"/>
          <w14:ligatures w14:val="none"/>
        </w:rPr>
        <w:t> Infant death (all included cases were deaths).</w:t>
      </w:r>
    </w:p>
    <w:p w14:paraId="3A3A4403"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lastRenderedPageBreak/>
        <w:t>Independent variables:</w:t>
      </w:r>
    </w:p>
    <w:p w14:paraId="684FFC95" w14:textId="77777777" w:rsidR="00921959" w:rsidRPr="00D8608E" w:rsidRDefault="00921959" w:rsidP="0092195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Sociodemographic: age, sex, residence, maternal education, parental occupation, household income.</w:t>
      </w:r>
    </w:p>
    <w:p w14:paraId="5F99C3A2" w14:textId="77777777" w:rsidR="00921959" w:rsidRPr="00D8608E" w:rsidRDefault="00921959" w:rsidP="0092195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Clinical: primary diagnosis, nutritional status, vaccination status, birth weight.</w:t>
      </w:r>
    </w:p>
    <w:p w14:paraId="28F30016" w14:textId="77777777" w:rsidR="00921959" w:rsidRPr="00D8608E" w:rsidRDefault="00921959" w:rsidP="0092195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Health system: delay to consultation, distance to facility, transport mode, medicine availability, staff qualification.</w:t>
      </w:r>
    </w:p>
    <w:p w14:paraId="0D57047E" w14:textId="77777777" w:rsidR="00921959" w:rsidRPr="00D8608E" w:rsidRDefault="00921959" w:rsidP="0092195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Environmental: access to clean water, season.</w:t>
      </w:r>
    </w:p>
    <w:p w14:paraId="5E540799"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2.5. Data Analysis</w:t>
      </w:r>
    </w:p>
    <w:p w14:paraId="58B470C4"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Data were entered into Microsoft Excel and analyzed using </w:t>
      </w:r>
      <w:r w:rsidRPr="00D8608E">
        <w:rPr>
          <w:rFonts w:ascii="Times New Roman" w:eastAsia="Times New Roman" w:hAnsi="Times New Roman" w:cs="Times New Roman"/>
          <w:b/>
          <w:bCs/>
          <w:color w:val="0F1115"/>
          <w:kern w:val="0"/>
          <w14:ligatures w14:val="none"/>
        </w:rPr>
        <w:t>SPSS version 25</w:t>
      </w:r>
      <w:r w:rsidRPr="00D8608E">
        <w:rPr>
          <w:rFonts w:ascii="Times New Roman" w:eastAsia="Times New Roman" w:hAnsi="Times New Roman" w:cs="Times New Roman"/>
          <w:color w:val="0F1115"/>
          <w:kern w:val="0"/>
          <w14:ligatures w14:val="none"/>
        </w:rPr>
        <w:t>. Descriptive statistics (frequencies, percentages) were computed for all variables. Chi-square tests were used to examine associations between sociodemographic factors and mortality (though mortality was the outcome for all cases, associations were examined between factors and specific causes). Statistical significance was set at p &lt; 0.05.</w:t>
      </w:r>
    </w:p>
    <w:p w14:paraId="1D56F688"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2.6. Ethical Considerations</w:t>
      </w:r>
    </w:p>
    <w:p w14:paraId="2C3C8564"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Ethical approval was obtained from the ISTM Mbandaka research ethics committee and the hospital administration of HGR Basankusu. Patient confidentiality and anonymity were strictly maintained. Data were used exclusively for scientific purposes.</w:t>
      </w:r>
    </w:p>
    <w:p w14:paraId="28D619D5"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2.7. Limitations</w:t>
      </w:r>
    </w:p>
    <w:p w14:paraId="38A9C550" w14:textId="77777777" w:rsidR="00921959" w:rsidRPr="00D8608E" w:rsidRDefault="00921959" w:rsidP="00921959">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Retrospective design:</w:t>
      </w:r>
      <w:r w:rsidRPr="00D8608E">
        <w:rPr>
          <w:rFonts w:ascii="Times New Roman" w:eastAsia="Times New Roman" w:hAnsi="Times New Roman" w:cs="Times New Roman"/>
          <w:color w:val="0F1115"/>
          <w:kern w:val="0"/>
          <w14:ligatures w14:val="none"/>
        </w:rPr>
        <w:t> Reliance on existing records limited data completeness and accuracy.</w:t>
      </w:r>
    </w:p>
    <w:p w14:paraId="64036C18" w14:textId="77777777" w:rsidR="00921959" w:rsidRPr="00D8608E" w:rsidRDefault="00921959" w:rsidP="00921959">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Missing data:</w:t>
      </w:r>
      <w:r w:rsidRPr="00D8608E">
        <w:rPr>
          <w:rFonts w:ascii="Times New Roman" w:eastAsia="Times New Roman" w:hAnsi="Times New Roman" w:cs="Times New Roman"/>
          <w:color w:val="0F1115"/>
          <w:kern w:val="0"/>
          <w14:ligatures w14:val="none"/>
        </w:rPr>
        <w:t> Some medical records were incomplete.</w:t>
      </w:r>
    </w:p>
    <w:p w14:paraId="7256D358" w14:textId="77777777" w:rsidR="00921959" w:rsidRPr="00D8608E" w:rsidRDefault="00921959" w:rsidP="00921959">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Generalizability:</w:t>
      </w:r>
      <w:r w:rsidRPr="00D8608E">
        <w:rPr>
          <w:rFonts w:ascii="Times New Roman" w:eastAsia="Times New Roman" w:hAnsi="Times New Roman" w:cs="Times New Roman"/>
          <w:color w:val="0F1115"/>
          <w:kern w:val="0"/>
          <w14:ligatures w14:val="none"/>
        </w:rPr>
        <w:t> Findings may not be representative of all health zones in Équateur Province.</w:t>
      </w:r>
    </w:p>
    <w:p w14:paraId="07F6D620" w14:textId="77777777" w:rsidR="00921959" w:rsidRPr="00D8608E" w:rsidRDefault="00921959" w:rsidP="00921959">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Causality:</w:t>
      </w:r>
      <w:r w:rsidRPr="00D8608E">
        <w:rPr>
          <w:rFonts w:ascii="Times New Roman" w:eastAsia="Times New Roman" w:hAnsi="Times New Roman" w:cs="Times New Roman"/>
          <w:color w:val="0F1115"/>
          <w:kern w:val="0"/>
          <w14:ligatures w14:val="none"/>
        </w:rPr>
        <w:t> Cross-sectional design precludes causal inference.</w:t>
      </w:r>
    </w:p>
    <w:p w14:paraId="317C0FD3" w14:textId="77777777" w:rsidR="00921959" w:rsidRPr="00D8608E" w:rsidRDefault="00921959" w:rsidP="0092195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8608E">
        <w:rPr>
          <w:rFonts w:ascii="Times New Roman" w:eastAsia="Times New Roman" w:hAnsi="Times New Roman" w:cs="Times New Roman"/>
          <w:b/>
          <w:bCs/>
          <w:color w:val="0F1115"/>
          <w:kern w:val="0"/>
          <w:sz w:val="33"/>
          <w:szCs w:val="33"/>
          <w14:ligatures w14:val="none"/>
        </w:rPr>
        <w:lastRenderedPageBreak/>
        <w:t>3. Results</w:t>
      </w:r>
    </w:p>
    <w:p w14:paraId="7F77D682"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3.1. Sociodemographic Characteristics of Deceased Children</w:t>
      </w:r>
    </w:p>
    <w:p w14:paraId="336D36A8"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A total of 100 infant deaths were analyzed. Table 1 presents the sociodemographic characteristics.</w:t>
      </w:r>
    </w:p>
    <w:p w14:paraId="7FD6A76A"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Table 1</w:t>
      </w:r>
      <w:r w:rsidRPr="00D8608E">
        <w:rPr>
          <w:rFonts w:ascii="Times New Roman" w:eastAsia="Times New Roman" w:hAnsi="Times New Roman" w:cs="Times New Roman"/>
          <w:color w:val="0F1115"/>
          <w:kern w:val="0"/>
          <w14:ligatures w14:val="none"/>
        </w:rPr>
        <w:br/>
        <w:t>*Sociodemographic Characteristics of Deceased Children (N = 100)*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329"/>
        <w:gridCol w:w="2384"/>
        <w:gridCol w:w="710"/>
        <w:gridCol w:w="672"/>
      </w:tblGrid>
      <w:tr w:rsidR="00921959" w:rsidRPr="00D8608E" w14:paraId="244D3E46" w14:textId="77777777" w:rsidTr="00D8608E">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8E18C49"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FCFB33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E1C52D9"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FA33C4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w:t>
            </w:r>
          </w:p>
        </w:tc>
      </w:tr>
      <w:tr w:rsidR="00921959" w:rsidRPr="00D8608E" w14:paraId="0C666983" w14:textId="77777777" w:rsidTr="00D8608E">
        <w:tc>
          <w:tcPr>
            <w:tcW w:w="0" w:type="auto"/>
            <w:tcBorders>
              <w:top w:val="single" w:sz="4" w:space="0" w:color="auto"/>
            </w:tcBorders>
            <w:tcMar>
              <w:top w:w="150" w:type="dxa"/>
              <w:left w:w="0" w:type="dxa"/>
              <w:bottom w:w="150" w:type="dxa"/>
              <w:right w:w="240" w:type="dxa"/>
            </w:tcMar>
            <w:vAlign w:val="center"/>
            <w:hideMark/>
          </w:tcPr>
          <w:p w14:paraId="425AD74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Age</w:t>
            </w:r>
          </w:p>
        </w:tc>
        <w:tc>
          <w:tcPr>
            <w:tcW w:w="0" w:type="auto"/>
            <w:tcBorders>
              <w:top w:val="single" w:sz="4" w:space="0" w:color="auto"/>
            </w:tcBorders>
            <w:tcMar>
              <w:top w:w="150" w:type="dxa"/>
              <w:left w:w="240" w:type="dxa"/>
              <w:bottom w:w="150" w:type="dxa"/>
              <w:right w:w="240" w:type="dxa"/>
            </w:tcMar>
            <w:vAlign w:val="center"/>
            <w:hideMark/>
          </w:tcPr>
          <w:p w14:paraId="32017C1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0–11 months</w:t>
            </w:r>
          </w:p>
        </w:tc>
        <w:tc>
          <w:tcPr>
            <w:tcW w:w="0" w:type="auto"/>
            <w:tcBorders>
              <w:top w:val="single" w:sz="4" w:space="0" w:color="auto"/>
            </w:tcBorders>
            <w:tcMar>
              <w:top w:w="150" w:type="dxa"/>
              <w:left w:w="240" w:type="dxa"/>
              <w:bottom w:w="150" w:type="dxa"/>
              <w:right w:w="240" w:type="dxa"/>
            </w:tcMar>
            <w:vAlign w:val="center"/>
            <w:hideMark/>
          </w:tcPr>
          <w:p w14:paraId="7E0221C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52</w:t>
            </w:r>
          </w:p>
        </w:tc>
        <w:tc>
          <w:tcPr>
            <w:tcW w:w="0" w:type="auto"/>
            <w:tcBorders>
              <w:top w:val="single" w:sz="4" w:space="0" w:color="auto"/>
            </w:tcBorders>
            <w:tcMar>
              <w:top w:w="150" w:type="dxa"/>
              <w:left w:w="240" w:type="dxa"/>
              <w:bottom w:w="150" w:type="dxa"/>
              <w:right w:w="0" w:type="dxa"/>
            </w:tcMar>
            <w:vAlign w:val="center"/>
            <w:hideMark/>
          </w:tcPr>
          <w:p w14:paraId="32D765BA"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52</w:t>
            </w:r>
          </w:p>
        </w:tc>
      </w:tr>
      <w:tr w:rsidR="00921959" w:rsidRPr="00D8608E" w14:paraId="25E47156" w14:textId="77777777" w:rsidTr="00D8608E">
        <w:tc>
          <w:tcPr>
            <w:tcW w:w="0" w:type="auto"/>
            <w:tcMar>
              <w:top w:w="150" w:type="dxa"/>
              <w:left w:w="0" w:type="dxa"/>
              <w:bottom w:w="150" w:type="dxa"/>
              <w:right w:w="240" w:type="dxa"/>
            </w:tcMar>
            <w:vAlign w:val="center"/>
            <w:hideMark/>
          </w:tcPr>
          <w:p w14:paraId="4FEA915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4D7A7A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12–23 months</w:t>
            </w:r>
          </w:p>
        </w:tc>
        <w:tc>
          <w:tcPr>
            <w:tcW w:w="0" w:type="auto"/>
            <w:tcMar>
              <w:top w:w="150" w:type="dxa"/>
              <w:left w:w="240" w:type="dxa"/>
              <w:bottom w:w="150" w:type="dxa"/>
              <w:right w:w="240" w:type="dxa"/>
            </w:tcMar>
            <w:vAlign w:val="center"/>
            <w:hideMark/>
          </w:tcPr>
          <w:p w14:paraId="10469539"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24</w:t>
            </w:r>
          </w:p>
        </w:tc>
        <w:tc>
          <w:tcPr>
            <w:tcW w:w="0" w:type="auto"/>
            <w:tcMar>
              <w:top w:w="150" w:type="dxa"/>
              <w:left w:w="240" w:type="dxa"/>
              <w:bottom w:w="150" w:type="dxa"/>
              <w:right w:w="0" w:type="dxa"/>
            </w:tcMar>
            <w:vAlign w:val="center"/>
            <w:hideMark/>
          </w:tcPr>
          <w:p w14:paraId="7ED754FD"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24</w:t>
            </w:r>
          </w:p>
        </w:tc>
      </w:tr>
      <w:tr w:rsidR="00921959" w:rsidRPr="00D8608E" w14:paraId="10994EB4" w14:textId="77777777" w:rsidTr="00D8608E">
        <w:tc>
          <w:tcPr>
            <w:tcW w:w="0" w:type="auto"/>
            <w:tcMar>
              <w:top w:w="150" w:type="dxa"/>
              <w:left w:w="0" w:type="dxa"/>
              <w:bottom w:w="150" w:type="dxa"/>
              <w:right w:w="240" w:type="dxa"/>
            </w:tcMar>
            <w:vAlign w:val="center"/>
            <w:hideMark/>
          </w:tcPr>
          <w:p w14:paraId="47DCBAA5"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9F133F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24–35 months</w:t>
            </w:r>
          </w:p>
        </w:tc>
        <w:tc>
          <w:tcPr>
            <w:tcW w:w="0" w:type="auto"/>
            <w:tcMar>
              <w:top w:w="150" w:type="dxa"/>
              <w:left w:w="240" w:type="dxa"/>
              <w:bottom w:w="150" w:type="dxa"/>
              <w:right w:w="240" w:type="dxa"/>
            </w:tcMar>
            <w:vAlign w:val="center"/>
            <w:hideMark/>
          </w:tcPr>
          <w:p w14:paraId="356282E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0" w:type="dxa"/>
            </w:tcMar>
            <w:vAlign w:val="center"/>
            <w:hideMark/>
          </w:tcPr>
          <w:p w14:paraId="1F440C5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12</w:t>
            </w:r>
          </w:p>
        </w:tc>
      </w:tr>
      <w:tr w:rsidR="00921959" w:rsidRPr="00D8608E" w14:paraId="68C6AF26" w14:textId="77777777" w:rsidTr="00D8608E">
        <w:tc>
          <w:tcPr>
            <w:tcW w:w="0" w:type="auto"/>
            <w:tcMar>
              <w:top w:w="150" w:type="dxa"/>
              <w:left w:w="0" w:type="dxa"/>
              <w:bottom w:w="150" w:type="dxa"/>
              <w:right w:w="240" w:type="dxa"/>
            </w:tcMar>
            <w:vAlign w:val="center"/>
            <w:hideMark/>
          </w:tcPr>
          <w:p w14:paraId="646D099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61684A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36–47 months</w:t>
            </w:r>
          </w:p>
        </w:tc>
        <w:tc>
          <w:tcPr>
            <w:tcW w:w="0" w:type="auto"/>
            <w:tcMar>
              <w:top w:w="150" w:type="dxa"/>
              <w:left w:w="240" w:type="dxa"/>
              <w:bottom w:w="150" w:type="dxa"/>
              <w:right w:w="240" w:type="dxa"/>
            </w:tcMar>
            <w:vAlign w:val="center"/>
            <w:hideMark/>
          </w:tcPr>
          <w:p w14:paraId="68ECED5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0" w:type="dxa"/>
            </w:tcMar>
            <w:vAlign w:val="center"/>
            <w:hideMark/>
          </w:tcPr>
          <w:p w14:paraId="6459EC2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7</w:t>
            </w:r>
          </w:p>
        </w:tc>
      </w:tr>
      <w:tr w:rsidR="00921959" w:rsidRPr="00D8608E" w14:paraId="405C6DDD" w14:textId="77777777" w:rsidTr="00D8608E">
        <w:tc>
          <w:tcPr>
            <w:tcW w:w="0" w:type="auto"/>
            <w:tcMar>
              <w:top w:w="150" w:type="dxa"/>
              <w:left w:w="0" w:type="dxa"/>
              <w:bottom w:w="150" w:type="dxa"/>
              <w:right w:w="240" w:type="dxa"/>
            </w:tcMar>
            <w:vAlign w:val="center"/>
            <w:hideMark/>
          </w:tcPr>
          <w:p w14:paraId="293A2A1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76E3DD4"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48–59 months</w:t>
            </w:r>
          </w:p>
        </w:tc>
        <w:tc>
          <w:tcPr>
            <w:tcW w:w="0" w:type="auto"/>
            <w:tcMar>
              <w:top w:w="150" w:type="dxa"/>
              <w:left w:w="240" w:type="dxa"/>
              <w:bottom w:w="150" w:type="dxa"/>
              <w:right w:w="240" w:type="dxa"/>
            </w:tcMar>
            <w:vAlign w:val="center"/>
            <w:hideMark/>
          </w:tcPr>
          <w:p w14:paraId="1B46B6B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5</w:t>
            </w:r>
          </w:p>
        </w:tc>
        <w:tc>
          <w:tcPr>
            <w:tcW w:w="0" w:type="auto"/>
            <w:tcMar>
              <w:top w:w="150" w:type="dxa"/>
              <w:left w:w="240" w:type="dxa"/>
              <w:bottom w:w="150" w:type="dxa"/>
              <w:right w:w="0" w:type="dxa"/>
            </w:tcMar>
            <w:vAlign w:val="center"/>
            <w:hideMark/>
          </w:tcPr>
          <w:p w14:paraId="02DBABDA"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5</w:t>
            </w:r>
          </w:p>
        </w:tc>
      </w:tr>
      <w:tr w:rsidR="00921959" w:rsidRPr="00D8608E" w14:paraId="3E69A63B" w14:textId="77777777" w:rsidTr="00D8608E">
        <w:tc>
          <w:tcPr>
            <w:tcW w:w="0" w:type="auto"/>
            <w:tcMar>
              <w:top w:w="150" w:type="dxa"/>
              <w:left w:w="0" w:type="dxa"/>
              <w:bottom w:w="150" w:type="dxa"/>
              <w:right w:w="240" w:type="dxa"/>
            </w:tcMar>
            <w:vAlign w:val="center"/>
            <w:hideMark/>
          </w:tcPr>
          <w:p w14:paraId="34EF7C7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Sex</w:t>
            </w:r>
          </w:p>
        </w:tc>
        <w:tc>
          <w:tcPr>
            <w:tcW w:w="0" w:type="auto"/>
            <w:tcMar>
              <w:top w:w="150" w:type="dxa"/>
              <w:left w:w="240" w:type="dxa"/>
              <w:bottom w:w="150" w:type="dxa"/>
              <w:right w:w="240" w:type="dxa"/>
            </w:tcMar>
            <w:vAlign w:val="center"/>
            <w:hideMark/>
          </w:tcPr>
          <w:p w14:paraId="628604F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Male</w:t>
            </w:r>
          </w:p>
        </w:tc>
        <w:tc>
          <w:tcPr>
            <w:tcW w:w="0" w:type="auto"/>
            <w:tcMar>
              <w:top w:w="150" w:type="dxa"/>
              <w:left w:w="240" w:type="dxa"/>
              <w:bottom w:w="150" w:type="dxa"/>
              <w:right w:w="240" w:type="dxa"/>
            </w:tcMar>
            <w:vAlign w:val="center"/>
            <w:hideMark/>
          </w:tcPr>
          <w:p w14:paraId="4A7A6D79"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58</w:t>
            </w:r>
          </w:p>
        </w:tc>
        <w:tc>
          <w:tcPr>
            <w:tcW w:w="0" w:type="auto"/>
            <w:tcMar>
              <w:top w:w="150" w:type="dxa"/>
              <w:left w:w="240" w:type="dxa"/>
              <w:bottom w:w="150" w:type="dxa"/>
              <w:right w:w="0" w:type="dxa"/>
            </w:tcMar>
            <w:vAlign w:val="center"/>
            <w:hideMark/>
          </w:tcPr>
          <w:p w14:paraId="55C695B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58</w:t>
            </w:r>
          </w:p>
        </w:tc>
      </w:tr>
      <w:tr w:rsidR="00921959" w:rsidRPr="00D8608E" w14:paraId="081268F4" w14:textId="77777777" w:rsidTr="00D8608E">
        <w:tc>
          <w:tcPr>
            <w:tcW w:w="0" w:type="auto"/>
            <w:tcMar>
              <w:top w:w="150" w:type="dxa"/>
              <w:left w:w="0" w:type="dxa"/>
              <w:bottom w:w="150" w:type="dxa"/>
              <w:right w:w="240" w:type="dxa"/>
            </w:tcMar>
            <w:vAlign w:val="center"/>
            <w:hideMark/>
          </w:tcPr>
          <w:p w14:paraId="761AF3B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305460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Female</w:t>
            </w:r>
          </w:p>
        </w:tc>
        <w:tc>
          <w:tcPr>
            <w:tcW w:w="0" w:type="auto"/>
            <w:tcMar>
              <w:top w:w="150" w:type="dxa"/>
              <w:left w:w="240" w:type="dxa"/>
              <w:bottom w:w="150" w:type="dxa"/>
              <w:right w:w="240" w:type="dxa"/>
            </w:tcMar>
            <w:vAlign w:val="center"/>
            <w:hideMark/>
          </w:tcPr>
          <w:p w14:paraId="7C5BF5A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42</w:t>
            </w:r>
          </w:p>
        </w:tc>
        <w:tc>
          <w:tcPr>
            <w:tcW w:w="0" w:type="auto"/>
            <w:tcMar>
              <w:top w:w="150" w:type="dxa"/>
              <w:left w:w="240" w:type="dxa"/>
              <w:bottom w:w="150" w:type="dxa"/>
              <w:right w:w="0" w:type="dxa"/>
            </w:tcMar>
            <w:vAlign w:val="center"/>
            <w:hideMark/>
          </w:tcPr>
          <w:p w14:paraId="6EECA8B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42</w:t>
            </w:r>
          </w:p>
        </w:tc>
      </w:tr>
      <w:tr w:rsidR="00921959" w:rsidRPr="00D8608E" w14:paraId="62045961" w14:textId="77777777" w:rsidTr="00D8608E">
        <w:tc>
          <w:tcPr>
            <w:tcW w:w="0" w:type="auto"/>
            <w:tcMar>
              <w:top w:w="150" w:type="dxa"/>
              <w:left w:w="0" w:type="dxa"/>
              <w:bottom w:w="150" w:type="dxa"/>
              <w:right w:w="240" w:type="dxa"/>
            </w:tcMar>
            <w:vAlign w:val="center"/>
            <w:hideMark/>
          </w:tcPr>
          <w:p w14:paraId="455109B8"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Residence</w:t>
            </w:r>
          </w:p>
        </w:tc>
        <w:tc>
          <w:tcPr>
            <w:tcW w:w="0" w:type="auto"/>
            <w:tcMar>
              <w:top w:w="150" w:type="dxa"/>
              <w:left w:w="240" w:type="dxa"/>
              <w:bottom w:w="150" w:type="dxa"/>
              <w:right w:w="240" w:type="dxa"/>
            </w:tcMar>
            <w:vAlign w:val="center"/>
            <w:hideMark/>
          </w:tcPr>
          <w:p w14:paraId="50EEB0B5"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Urban</w:t>
            </w:r>
          </w:p>
        </w:tc>
        <w:tc>
          <w:tcPr>
            <w:tcW w:w="0" w:type="auto"/>
            <w:tcMar>
              <w:top w:w="150" w:type="dxa"/>
              <w:left w:w="240" w:type="dxa"/>
              <w:bottom w:w="150" w:type="dxa"/>
              <w:right w:w="240" w:type="dxa"/>
            </w:tcMar>
            <w:vAlign w:val="center"/>
            <w:hideMark/>
          </w:tcPr>
          <w:p w14:paraId="6FFDF9ED"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38</w:t>
            </w:r>
          </w:p>
        </w:tc>
        <w:tc>
          <w:tcPr>
            <w:tcW w:w="0" w:type="auto"/>
            <w:tcMar>
              <w:top w:w="150" w:type="dxa"/>
              <w:left w:w="240" w:type="dxa"/>
              <w:bottom w:w="150" w:type="dxa"/>
              <w:right w:w="0" w:type="dxa"/>
            </w:tcMar>
            <w:vAlign w:val="center"/>
            <w:hideMark/>
          </w:tcPr>
          <w:p w14:paraId="7D69E1B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38</w:t>
            </w:r>
          </w:p>
        </w:tc>
      </w:tr>
      <w:tr w:rsidR="00921959" w:rsidRPr="00D8608E" w14:paraId="7AD4577A" w14:textId="77777777" w:rsidTr="00D8608E">
        <w:tc>
          <w:tcPr>
            <w:tcW w:w="0" w:type="auto"/>
            <w:tcMar>
              <w:top w:w="150" w:type="dxa"/>
              <w:left w:w="0" w:type="dxa"/>
              <w:bottom w:w="150" w:type="dxa"/>
              <w:right w:w="240" w:type="dxa"/>
            </w:tcMar>
            <w:vAlign w:val="center"/>
            <w:hideMark/>
          </w:tcPr>
          <w:p w14:paraId="5BE5D7D8"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B96721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Rural</w:t>
            </w:r>
          </w:p>
        </w:tc>
        <w:tc>
          <w:tcPr>
            <w:tcW w:w="0" w:type="auto"/>
            <w:tcMar>
              <w:top w:w="150" w:type="dxa"/>
              <w:left w:w="240" w:type="dxa"/>
              <w:bottom w:w="150" w:type="dxa"/>
              <w:right w:w="240" w:type="dxa"/>
            </w:tcMar>
            <w:vAlign w:val="center"/>
            <w:hideMark/>
          </w:tcPr>
          <w:p w14:paraId="75A43A37"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62</w:t>
            </w:r>
          </w:p>
        </w:tc>
        <w:tc>
          <w:tcPr>
            <w:tcW w:w="0" w:type="auto"/>
            <w:tcMar>
              <w:top w:w="150" w:type="dxa"/>
              <w:left w:w="240" w:type="dxa"/>
              <w:bottom w:w="150" w:type="dxa"/>
              <w:right w:w="0" w:type="dxa"/>
            </w:tcMar>
            <w:vAlign w:val="center"/>
            <w:hideMark/>
          </w:tcPr>
          <w:p w14:paraId="385A49F7"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62</w:t>
            </w:r>
          </w:p>
        </w:tc>
      </w:tr>
      <w:tr w:rsidR="00921959" w:rsidRPr="00D8608E" w14:paraId="427BC004" w14:textId="77777777" w:rsidTr="00D8608E">
        <w:tc>
          <w:tcPr>
            <w:tcW w:w="0" w:type="auto"/>
            <w:tcMar>
              <w:top w:w="150" w:type="dxa"/>
              <w:left w:w="0" w:type="dxa"/>
              <w:bottom w:w="150" w:type="dxa"/>
              <w:right w:w="240" w:type="dxa"/>
            </w:tcMar>
            <w:vAlign w:val="center"/>
            <w:hideMark/>
          </w:tcPr>
          <w:p w14:paraId="3F2CDFDA"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Maternal education</w:t>
            </w:r>
          </w:p>
        </w:tc>
        <w:tc>
          <w:tcPr>
            <w:tcW w:w="0" w:type="auto"/>
            <w:tcMar>
              <w:top w:w="150" w:type="dxa"/>
              <w:left w:w="240" w:type="dxa"/>
              <w:bottom w:w="150" w:type="dxa"/>
              <w:right w:w="240" w:type="dxa"/>
            </w:tcMar>
            <w:vAlign w:val="center"/>
            <w:hideMark/>
          </w:tcPr>
          <w:p w14:paraId="379483B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No formal education</w:t>
            </w:r>
          </w:p>
        </w:tc>
        <w:tc>
          <w:tcPr>
            <w:tcW w:w="0" w:type="auto"/>
            <w:tcMar>
              <w:top w:w="150" w:type="dxa"/>
              <w:left w:w="240" w:type="dxa"/>
              <w:bottom w:w="150" w:type="dxa"/>
              <w:right w:w="240" w:type="dxa"/>
            </w:tcMar>
            <w:vAlign w:val="center"/>
            <w:hideMark/>
          </w:tcPr>
          <w:p w14:paraId="578CDA7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28</w:t>
            </w:r>
          </w:p>
        </w:tc>
        <w:tc>
          <w:tcPr>
            <w:tcW w:w="0" w:type="auto"/>
            <w:tcMar>
              <w:top w:w="150" w:type="dxa"/>
              <w:left w:w="240" w:type="dxa"/>
              <w:bottom w:w="150" w:type="dxa"/>
              <w:right w:w="0" w:type="dxa"/>
            </w:tcMar>
            <w:vAlign w:val="center"/>
            <w:hideMark/>
          </w:tcPr>
          <w:p w14:paraId="51A50348"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28</w:t>
            </w:r>
          </w:p>
        </w:tc>
      </w:tr>
      <w:tr w:rsidR="00921959" w:rsidRPr="00D8608E" w14:paraId="1250D9D0" w14:textId="77777777" w:rsidTr="00D8608E">
        <w:tc>
          <w:tcPr>
            <w:tcW w:w="0" w:type="auto"/>
            <w:tcMar>
              <w:top w:w="150" w:type="dxa"/>
              <w:left w:w="0" w:type="dxa"/>
              <w:bottom w:w="150" w:type="dxa"/>
              <w:right w:w="240" w:type="dxa"/>
            </w:tcMar>
            <w:vAlign w:val="center"/>
            <w:hideMark/>
          </w:tcPr>
          <w:p w14:paraId="208231A5"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DB758C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Primary</w:t>
            </w:r>
          </w:p>
        </w:tc>
        <w:tc>
          <w:tcPr>
            <w:tcW w:w="0" w:type="auto"/>
            <w:tcMar>
              <w:top w:w="150" w:type="dxa"/>
              <w:left w:w="240" w:type="dxa"/>
              <w:bottom w:w="150" w:type="dxa"/>
              <w:right w:w="240" w:type="dxa"/>
            </w:tcMar>
            <w:vAlign w:val="center"/>
            <w:hideMark/>
          </w:tcPr>
          <w:p w14:paraId="3DD5182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41</w:t>
            </w:r>
          </w:p>
        </w:tc>
        <w:tc>
          <w:tcPr>
            <w:tcW w:w="0" w:type="auto"/>
            <w:tcMar>
              <w:top w:w="150" w:type="dxa"/>
              <w:left w:w="240" w:type="dxa"/>
              <w:bottom w:w="150" w:type="dxa"/>
              <w:right w:w="0" w:type="dxa"/>
            </w:tcMar>
            <w:vAlign w:val="center"/>
            <w:hideMark/>
          </w:tcPr>
          <w:p w14:paraId="330CEF9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41</w:t>
            </w:r>
          </w:p>
        </w:tc>
      </w:tr>
      <w:tr w:rsidR="00921959" w:rsidRPr="00D8608E" w14:paraId="26BB55D7" w14:textId="77777777" w:rsidTr="00D8608E">
        <w:tc>
          <w:tcPr>
            <w:tcW w:w="0" w:type="auto"/>
            <w:tcMar>
              <w:top w:w="150" w:type="dxa"/>
              <w:left w:w="0" w:type="dxa"/>
              <w:bottom w:w="150" w:type="dxa"/>
              <w:right w:w="240" w:type="dxa"/>
            </w:tcMar>
            <w:vAlign w:val="center"/>
            <w:hideMark/>
          </w:tcPr>
          <w:p w14:paraId="42C0C57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865772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Secondary</w:t>
            </w:r>
          </w:p>
        </w:tc>
        <w:tc>
          <w:tcPr>
            <w:tcW w:w="0" w:type="auto"/>
            <w:tcMar>
              <w:top w:w="150" w:type="dxa"/>
              <w:left w:w="240" w:type="dxa"/>
              <w:bottom w:w="150" w:type="dxa"/>
              <w:right w:w="240" w:type="dxa"/>
            </w:tcMar>
            <w:vAlign w:val="center"/>
            <w:hideMark/>
          </w:tcPr>
          <w:p w14:paraId="6799AB3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24</w:t>
            </w:r>
          </w:p>
        </w:tc>
        <w:tc>
          <w:tcPr>
            <w:tcW w:w="0" w:type="auto"/>
            <w:tcMar>
              <w:top w:w="150" w:type="dxa"/>
              <w:left w:w="240" w:type="dxa"/>
              <w:bottom w:w="150" w:type="dxa"/>
              <w:right w:w="0" w:type="dxa"/>
            </w:tcMar>
            <w:vAlign w:val="center"/>
            <w:hideMark/>
          </w:tcPr>
          <w:p w14:paraId="0D4B8F0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24</w:t>
            </w:r>
          </w:p>
        </w:tc>
      </w:tr>
      <w:tr w:rsidR="00921959" w:rsidRPr="00D8608E" w14:paraId="52174854" w14:textId="77777777" w:rsidTr="00D8608E">
        <w:tc>
          <w:tcPr>
            <w:tcW w:w="0" w:type="auto"/>
            <w:tcMar>
              <w:top w:w="150" w:type="dxa"/>
              <w:left w:w="0" w:type="dxa"/>
              <w:bottom w:w="150" w:type="dxa"/>
              <w:right w:w="240" w:type="dxa"/>
            </w:tcMar>
            <w:vAlign w:val="center"/>
            <w:hideMark/>
          </w:tcPr>
          <w:p w14:paraId="7BD8DF7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A01A13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Higher</w:t>
            </w:r>
          </w:p>
        </w:tc>
        <w:tc>
          <w:tcPr>
            <w:tcW w:w="0" w:type="auto"/>
            <w:tcMar>
              <w:top w:w="150" w:type="dxa"/>
              <w:left w:w="240" w:type="dxa"/>
              <w:bottom w:w="150" w:type="dxa"/>
              <w:right w:w="240" w:type="dxa"/>
            </w:tcMar>
            <w:vAlign w:val="center"/>
            <w:hideMark/>
          </w:tcPr>
          <w:p w14:paraId="3B926B4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0" w:type="dxa"/>
            </w:tcMar>
            <w:vAlign w:val="center"/>
            <w:hideMark/>
          </w:tcPr>
          <w:p w14:paraId="7B2B959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7</w:t>
            </w:r>
          </w:p>
        </w:tc>
      </w:tr>
      <w:tr w:rsidR="00921959" w:rsidRPr="00D8608E" w14:paraId="1A97D09B" w14:textId="77777777" w:rsidTr="00D8608E">
        <w:tc>
          <w:tcPr>
            <w:tcW w:w="0" w:type="auto"/>
            <w:tcMar>
              <w:top w:w="150" w:type="dxa"/>
              <w:left w:w="0" w:type="dxa"/>
              <w:bottom w:w="150" w:type="dxa"/>
              <w:right w:w="240" w:type="dxa"/>
            </w:tcMar>
            <w:vAlign w:val="center"/>
            <w:hideMark/>
          </w:tcPr>
          <w:p w14:paraId="623EA37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Parental occupation</w:t>
            </w:r>
          </w:p>
        </w:tc>
        <w:tc>
          <w:tcPr>
            <w:tcW w:w="0" w:type="auto"/>
            <w:tcMar>
              <w:top w:w="150" w:type="dxa"/>
              <w:left w:w="240" w:type="dxa"/>
              <w:bottom w:w="150" w:type="dxa"/>
              <w:right w:w="240" w:type="dxa"/>
            </w:tcMar>
            <w:vAlign w:val="center"/>
            <w:hideMark/>
          </w:tcPr>
          <w:p w14:paraId="18111998"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Farmer</w:t>
            </w:r>
          </w:p>
        </w:tc>
        <w:tc>
          <w:tcPr>
            <w:tcW w:w="0" w:type="auto"/>
            <w:tcMar>
              <w:top w:w="150" w:type="dxa"/>
              <w:left w:w="240" w:type="dxa"/>
              <w:bottom w:w="150" w:type="dxa"/>
              <w:right w:w="240" w:type="dxa"/>
            </w:tcMar>
            <w:vAlign w:val="center"/>
            <w:hideMark/>
          </w:tcPr>
          <w:p w14:paraId="630F9324"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35</w:t>
            </w:r>
          </w:p>
        </w:tc>
        <w:tc>
          <w:tcPr>
            <w:tcW w:w="0" w:type="auto"/>
            <w:tcMar>
              <w:top w:w="150" w:type="dxa"/>
              <w:left w:w="240" w:type="dxa"/>
              <w:bottom w:w="150" w:type="dxa"/>
              <w:right w:w="0" w:type="dxa"/>
            </w:tcMar>
            <w:vAlign w:val="center"/>
            <w:hideMark/>
          </w:tcPr>
          <w:p w14:paraId="678CAB6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35</w:t>
            </w:r>
          </w:p>
        </w:tc>
      </w:tr>
      <w:tr w:rsidR="00921959" w:rsidRPr="00D8608E" w14:paraId="1F5FF779" w14:textId="77777777" w:rsidTr="00D8608E">
        <w:tc>
          <w:tcPr>
            <w:tcW w:w="0" w:type="auto"/>
            <w:tcMar>
              <w:top w:w="150" w:type="dxa"/>
              <w:left w:w="0" w:type="dxa"/>
              <w:bottom w:w="150" w:type="dxa"/>
              <w:right w:w="240" w:type="dxa"/>
            </w:tcMar>
            <w:vAlign w:val="center"/>
            <w:hideMark/>
          </w:tcPr>
          <w:p w14:paraId="4D2A8367"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2FFEFFD"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Trader</w:t>
            </w:r>
          </w:p>
        </w:tc>
        <w:tc>
          <w:tcPr>
            <w:tcW w:w="0" w:type="auto"/>
            <w:tcMar>
              <w:top w:w="150" w:type="dxa"/>
              <w:left w:w="240" w:type="dxa"/>
              <w:bottom w:w="150" w:type="dxa"/>
              <w:right w:w="240" w:type="dxa"/>
            </w:tcMar>
            <w:vAlign w:val="center"/>
            <w:hideMark/>
          </w:tcPr>
          <w:p w14:paraId="5FA6BA7D"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27</w:t>
            </w:r>
          </w:p>
        </w:tc>
        <w:tc>
          <w:tcPr>
            <w:tcW w:w="0" w:type="auto"/>
            <w:tcMar>
              <w:top w:w="150" w:type="dxa"/>
              <w:left w:w="240" w:type="dxa"/>
              <w:bottom w:w="150" w:type="dxa"/>
              <w:right w:w="0" w:type="dxa"/>
            </w:tcMar>
            <w:vAlign w:val="center"/>
            <w:hideMark/>
          </w:tcPr>
          <w:p w14:paraId="1A4D37B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27</w:t>
            </w:r>
          </w:p>
        </w:tc>
      </w:tr>
      <w:tr w:rsidR="00921959" w:rsidRPr="00D8608E" w14:paraId="1754FF7B" w14:textId="77777777" w:rsidTr="00D8608E">
        <w:tc>
          <w:tcPr>
            <w:tcW w:w="0" w:type="auto"/>
            <w:tcMar>
              <w:top w:w="150" w:type="dxa"/>
              <w:left w:w="0" w:type="dxa"/>
              <w:bottom w:w="150" w:type="dxa"/>
              <w:right w:w="240" w:type="dxa"/>
            </w:tcMar>
            <w:vAlign w:val="center"/>
            <w:hideMark/>
          </w:tcPr>
          <w:p w14:paraId="3FA59E1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FADEC75"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Civil servant</w:t>
            </w:r>
          </w:p>
        </w:tc>
        <w:tc>
          <w:tcPr>
            <w:tcW w:w="0" w:type="auto"/>
            <w:tcMar>
              <w:top w:w="150" w:type="dxa"/>
              <w:left w:w="240" w:type="dxa"/>
              <w:bottom w:w="150" w:type="dxa"/>
              <w:right w:w="240" w:type="dxa"/>
            </w:tcMar>
            <w:vAlign w:val="center"/>
            <w:hideMark/>
          </w:tcPr>
          <w:p w14:paraId="5E552F2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0" w:type="dxa"/>
            </w:tcMar>
            <w:vAlign w:val="center"/>
            <w:hideMark/>
          </w:tcPr>
          <w:p w14:paraId="04FDCAAD"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18</w:t>
            </w:r>
          </w:p>
        </w:tc>
      </w:tr>
      <w:tr w:rsidR="00921959" w:rsidRPr="00D8608E" w14:paraId="4D002166" w14:textId="77777777" w:rsidTr="00D8608E">
        <w:tc>
          <w:tcPr>
            <w:tcW w:w="0" w:type="auto"/>
            <w:tcMar>
              <w:top w:w="150" w:type="dxa"/>
              <w:left w:w="0" w:type="dxa"/>
              <w:bottom w:w="150" w:type="dxa"/>
              <w:right w:w="240" w:type="dxa"/>
            </w:tcMar>
            <w:vAlign w:val="center"/>
            <w:hideMark/>
          </w:tcPr>
          <w:p w14:paraId="32D9C0BD"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6C3EF3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Unemployed</w:t>
            </w:r>
          </w:p>
        </w:tc>
        <w:tc>
          <w:tcPr>
            <w:tcW w:w="0" w:type="auto"/>
            <w:tcMar>
              <w:top w:w="150" w:type="dxa"/>
              <w:left w:w="240" w:type="dxa"/>
              <w:bottom w:w="150" w:type="dxa"/>
              <w:right w:w="240" w:type="dxa"/>
            </w:tcMar>
            <w:vAlign w:val="center"/>
            <w:hideMark/>
          </w:tcPr>
          <w:p w14:paraId="05BC3785"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20AAA17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20</w:t>
            </w:r>
          </w:p>
        </w:tc>
      </w:tr>
      <w:tr w:rsidR="00921959" w:rsidRPr="00D8608E" w14:paraId="045ED1A6" w14:textId="77777777" w:rsidTr="00D8608E">
        <w:tc>
          <w:tcPr>
            <w:tcW w:w="0" w:type="auto"/>
            <w:tcMar>
              <w:top w:w="150" w:type="dxa"/>
              <w:left w:w="0" w:type="dxa"/>
              <w:bottom w:w="150" w:type="dxa"/>
              <w:right w:w="240" w:type="dxa"/>
            </w:tcMar>
            <w:vAlign w:val="center"/>
            <w:hideMark/>
          </w:tcPr>
          <w:p w14:paraId="190E2C7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Household income</w:t>
            </w:r>
          </w:p>
        </w:tc>
        <w:tc>
          <w:tcPr>
            <w:tcW w:w="0" w:type="auto"/>
            <w:tcMar>
              <w:top w:w="150" w:type="dxa"/>
              <w:left w:w="240" w:type="dxa"/>
              <w:bottom w:w="150" w:type="dxa"/>
              <w:right w:w="240" w:type="dxa"/>
            </w:tcMar>
            <w:vAlign w:val="center"/>
            <w:hideMark/>
          </w:tcPr>
          <w:p w14:paraId="4FCD502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Low</w:t>
            </w:r>
          </w:p>
        </w:tc>
        <w:tc>
          <w:tcPr>
            <w:tcW w:w="0" w:type="auto"/>
            <w:tcMar>
              <w:top w:w="150" w:type="dxa"/>
              <w:left w:w="240" w:type="dxa"/>
              <w:bottom w:w="150" w:type="dxa"/>
              <w:right w:w="240" w:type="dxa"/>
            </w:tcMar>
            <w:vAlign w:val="center"/>
            <w:hideMark/>
          </w:tcPr>
          <w:p w14:paraId="1288264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61</w:t>
            </w:r>
          </w:p>
        </w:tc>
        <w:tc>
          <w:tcPr>
            <w:tcW w:w="0" w:type="auto"/>
            <w:tcMar>
              <w:top w:w="150" w:type="dxa"/>
              <w:left w:w="240" w:type="dxa"/>
              <w:bottom w:w="150" w:type="dxa"/>
              <w:right w:w="0" w:type="dxa"/>
            </w:tcMar>
            <w:vAlign w:val="center"/>
            <w:hideMark/>
          </w:tcPr>
          <w:p w14:paraId="0C326524"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61</w:t>
            </w:r>
          </w:p>
        </w:tc>
      </w:tr>
      <w:tr w:rsidR="00921959" w:rsidRPr="00D8608E" w14:paraId="1CC90F5D" w14:textId="77777777" w:rsidTr="00D8608E">
        <w:tc>
          <w:tcPr>
            <w:tcW w:w="0" w:type="auto"/>
            <w:tcMar>
              <w:top w:w="150" w:type="dxa"/>
              <w:left w:w="0" w:type="dxa"/>
              <w:bottom w:w="150" w:type="dxa"/>
              <w:right w:w="240" w:type="dxa"/>
            </w:tcMar>
            <w:vAlign w:val="center"/>
            <w:hideMark/>
          </w:tcPr>
          <w:p w14:paraId="449D904A"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BB54F8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Middle</w:t>
            </w:r>
          </w:p>
        </w:tc>
        <w:tc>
          <w:tcPr>
            <w:tcW w:w="0" w:type="auto"/>
            <w:tcMar>
              <w:top w:w="150" w:type="dxa"/>
              <w:left w:w="240" w:type="dxa"/>
              <w:bottom w:w="150" w:type="dxa"/>
              <w:right w:w="240" w:type="dxa"/>
            </w:tcMar>
            <w:vAlign w:val="center"/>
            <w:hideMark/>
          </w:tcPr>
          <w:p w14:paraId="25B9F14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28</w:t>
            </w:r>
          </w:p>
        </w:tc>
        <w:tc>
          <w:tcPr>
            <w:tcW w:w="0" w:type="auto"/>
            <w:tcMar>
              <w:top w:w="150" w:type="dxa"/>
              <w:left w:w="240" w:type="dxa"/>
              <w:bottom w:w="150" w:type="dxa"/>
              <w:right w:w="0" w:type="dxa"/>
            </w:tcMar>
            <w:vAlign w:val="center"/>
            <w:hideMark/>
          </w:tcPr>
          <w:p w14:paraId="6969D97A"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28</w:t>
            </w:r>
          </w:p>
        </w:tc>
      </w:tr>
      <w:tr w:rsidR="00921959" w:rsidRPr="00D8608E" w14:paraId="58CF4CBE" w14:textId="77777777" w:rsidTr="00D8608E">
        <w:tc>
          <w:tcPr>
            <w:tcW w:w="0" w:type="auto"/>
            <w:tcMar>
              <w:top w:w="150" w:type="dxa"/>
              <w:left w:w="0" w:type="dxa"/>
              <w:bottom w:w="150" w:type="dxa"/>
              <w:right w:w="240" w:type="dxa"/>
            </w:tcMar>
            <w:vAlign w:val="center"/>
            <w:hideMark/>
          </w:tcPr>
          <w:p w14:paraId="685F27C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5867BC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High</w:t>
            </w:r>
          </w:p>
        </w:tc>
        <w:tc>
          <w:tcPr>
            <w:tcW w:w="0" w:type="auto"/>
            <w:tcMar>
              <w:top w:w="150" w:type="dxa"/>
              <w:left w:w="240" w:type="dxa"/>
              <w:bottom w:w="150" w:type="dxa"/>
              <w:right w:w="240" w:type="dxa"/>
            </w:tcMar>
            <w:vAlign w:val="center"/>
            <w:hideMark/>
          </w:tcPr>
          <w:p w14:paraId="334648E5"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11</w:t>
            </w:r>
          </w:p>
        </w:tc>
        <w:tc>
          <w:tcPr>
            <w:tcW w:w="0" w:type="auto"/>
            <w:tcMar>
              <w:top w:w="150" w:type="dxa"/>
              <w:left w:w="240" w:type="dxa"/>
              <w:bottom w:w="150" w:type="dxa"/>
              <w:right w:w="0" w:type="dxa"/>
            </w:tcMar>
            <w:vAlign w:val="center"/>
            <w:hideMark/>
          </w:tcPr>
          <w:p w14:paraId="2A67525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11</w:t>
            </w:r>
          </w:p>
        </w:tc>
      </w:tr>
      <w:tr w:rsidR="00921959" w:rsidRPr="00D8608E" w14:paraId="72CDE2A2" w14:textId="77777777" w:rsidTr="00D8608E">
        <w:tc>
          <w:tcPr>
            <w:tcW w:w="0" w:type="auto"/>
            <w:tcMar>
              <w:top w:w="150" w:type="dxa"/>
              <w:left w:w="0" w:type="dxa"/>
              <w:bottom w:w="150" w:type="dxa"/>
              <w:right w:w="240" w:type="dxa"/>
            </w:tcMar>
            <w:vAlign w:val="center"/>
            <w:hideMark/>
          </w:tcPr>
          <w:p w14:paraId="23BFED24"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Access to clean water</w:t>
            </w:r>
          </w:p>
        </w:tc>
        <w:tc>
          <w:tcPr>
            <w:tcW w:w="0" w:type="auto"/>
            <w:tcMar>
              <w:top w:w="150" w:type="dxa"/>
              <w:left w:w="240" w:type="dxa"/>
              <w:bottom w:w="150" w:type="dxa"/>
              <w:right w:w="240" w:type="dxa"/>
            </w:tcMar>
            <w:vAlign w:val="center"/>
            <w:hideMark/>
          </w:tcPr>
          <w:p w14:paraId="14F948E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3A6FBDE9"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36</w:t>
            </w:r>
          </w:p>
        </w:tc>
        <w:tc>
          <w:tcPr>
            <w:tcW w:w="0" w:type="auto"/>
            <w:tcMar>
              <w:top w:w="150" w:type="dxa"/>
              <w:left w:w="240" w:type="dxa"/>
              <w:bottom w:w="150" w:type="dxa"/>
              <w:right w:w="0" w:type="dxa"/>
            </w:tcMar>
            <w:vAlign w:val="center"/>
            <w:hideMark/>
          </w:tcPr>
          <w:p w14:paraId="6BD5594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36</w:t>
            </w:r>
          </w:p>
        </w:tc>
      </w:tr>
      <w:tr w:rsidR="00921959" w:rsidRPr="00D8608E" w14:paraId="01751FDC" w14:textId="77777777" w:rsidTr="00D8608E">
        <w:tc>
          <w:tcPr>
            <w:tcW w:w="0" w:type="auto"/>
            <w:tcMar>
              <w:top w:w="150" w:type="dxa"/>
              <w:left w:w="0" w:type="dxa"/>
              <w:bottom w:w="150" w:type="dxa"/>
              <w:right w:w="240" w:type="dxa"/>
            </w:tcMar>
            <w:vAlign w:val="center"/>
            <w:hideMark/>
          </w:tcPr>
          <w:p w14:paraId="5F7C60C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198A85A"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187F4F2D"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64</w:t>
            </w:r>
          </w:p>
        </w:tc>
        <w:tc>
          <w:tcPr>
            <w:tcW w:w="0" w:type="auto"/>
            <w:tcMar>
              <w:top w:w="150" w:type="dxa"/>
              <w:left w:w="240" w:type="dxa"/>
              <w:bottom w:w="150" w:type="dxa"/>
              <w:right w:w="0" w:type="dxa"/>
            </w:tcMar>
            <w:vAlign w:val="center"/>
            <w:hideMark/>
          </w:tcPr>
          <w:p w14:paraId="670D39F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64</w:t>
            </w:r>
          </w:p>
        </w:tc>
      </w:tr>
    </w:tbl>
    <w:p w14:paraId="0553E2B6"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Interpretation:</w:t>
      </w:r>
      <w:r w:rsidRPr="00D8608E">
        <w:rPr>
          <w:rFonts w:ascii="Times New Roman" w:eastAsia="Times New Roman" w:hAnsi="Times New Roman" w:cs="Times New Roman"/>
          <w:color w:val="0F1115"/>
          <w:kern w:val="0"/>
          <w14:ligatures w14:val="none"/>
        </w:rPr>
        <w:t> The majority of deaths occurred in infants aged 0–11 months (52%), indicating neonatal and early infancy vulnerability. Male children were disproportionately affected (58%). Rural residence accounted for 62% of deaths, reflecting geographic barriers to care. Maternal education was low (69% had primary or no education), and 64% of households lacked access to clean water. Low household income was reported in 61% of cases.</w:t>
      </w:r>
    </w:p>
    <w:p w14:paraId="7E2D24E6"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3.2. Leading Causes of Death</w:t>
      </w:r>
    </w:p>
    <w:p w14:paraId="24ED8D85"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Table 2 presents the primary causes of death identified from medical records.</w:t>
      </w:r>
    </w:p>
    <w:p w14:paraId="485AF012"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Table 2</w:t>
      </w:r>
      <w:r w:rsidRPr="00D8608E">
        <w:rPr>
          <w:rFonts w:ascii="Times New Roman" w:eastAsia="Times New Roman" w:hAnsi="Times New Roman" w:cs="Times New Roman"/>
          <w:color w:val="0F1115"/>
          <w:kern w:val="0"/>
          <w14:ligatures w14:val="none"/>
        </w:rPr>
        <w:br/>
        <w:t>*Leading Causes of Infant Death (N = 100)*</w:t>
      </w:r>
    </w:p>
    <w:tbl>
      <w:tblPr>
        <w:tblW w:w="2268"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403"/>
        <w:gridCol w:w="710"/>
        <w:gridCol w:w="672"/>
      </w:tblGrid>
      <w:tr w:rsidR="00921959" w:rsidRPr="00D8608E" w14:paraId="61D78839" w14:textId="77777777" w:rsidTr="00D8608E">
        <w:trPr>
          <w:tblHeader/>
        </w:trPr>
        <w:tc>
          <w:tcPr>
            <w:tcW w:w="1518" w:type="dxa"/>
            <w:tcBorders>
              <w:top w:val="single" w:sz="4" w:space="0" w:color="auto"/>
              <w:bottom w:val="single" w:sz="4" w:space="0" w:color="auto"/>
            </w:tcBorders>
            <w:tcMar>
              <w:top w:w="150" w:type="dxa"/>
              <w:left w:w="0" w:type="dxa"/>
              <w:bottom w:w="150" w:type="dxa"/>
              <w:right w:w="240" w:type="dxa"/>
            </w:tcMar>
            <w:vAlign w:val="center"/>
            <w:hideMark/>
          </w:tcPr>
          <w:p w14:paraId="63B8CAB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Cause</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4344AE3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n</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3CDC1327"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w:t>
            </w:r>
          </w:p>
        </w:tc>
      </w:tr>
      <w:tr w:rsidR="00921959" w:rsidRPr="00D8608E" w14:paraId="446B94AD" w14:textId="77777777" w:rsidTr="00D8608E">
        <w:tc>
          <w:tcPr>
            <w:tcW w:w="1518" w:type="dxa"/>
            <w:tcBorders>
              <w:top w:val="single" w:sz="4" w:space="0" w:color="auto"/>
            </w:tcBorders>
            <w:tcMar>
              <w:top w:w="150" w:type="dxa"/>
              <w:left w:w="0" w:type="dxa"/>
              <w:bottom w:w="150" w:type="dxa"/>
              <w:right w:w="240" w:type="dxa"/>
            </w:tcMar>
            <w:vAlign w:val="center"/>
            <w:hideMark/>
          </w:tcPr>
          <w:p w14:paraId="2491D05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Cholera</w:t>
            </w:r>
          </w:p>
        </w:tc>
        <w:tc>
          <w:tcPr>
            <w:tcW w:w="375" w:type="dxa"/>
            <w:tcBorders>
              <w:top w:val="single" w:sz="4" w:space="0" w:color="auto"/>
            </w:tcBorders>
            <w:tcMar>
              <w:top w:w="150" w:type="dxa"/>
              <w:left w:w="240" w:type="dxa"/>
              <w:bottom w:w="150" w:type="dxa"/>
              <w:right w:w="240" w:type="dxa"/>
            </w:tcMar>
            <w:vAlign w:val="center"/>
            <w:hideMark/>
          </w:tcPr>
          <w:p w14:paraId="08F381F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30</w:t>
            </w:r>
          </w:p>
        </w:tc>
        <w:tc>
          <w:tcPr>
            <w:tcW w:w="375" w:type="dxa"/>
            <w:tcBorders>
              <w:top w:val="single" w:sz="4" w:space="0" w:color="auto"/>
            </w:tcBorders>
            <w:tcMar>
              <w:top w:w="150" w:type="dxa"/>
              <w:left w:w="240" w:type="dxa"/>
              <w:bottom w:w="150" w:type="dxa"/>
              <w:right w:w="0" w:type="dxa"/>
            </w:tcMar>
            <w:vAlign w:val="center"/>
            <w:hideMark/>
          </w:tcPr>
          <w:p w14:paraId="00CC9B39"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30</w:t>
            </w:r>
          </w:p>
        </w:tc>
      </w:tr>
      <w:tr w:rsidR="00921959" w:rsidRPr="00D8608E" w14:paraId="6639E53D" w14:textId="77777777" w:rsidTr="00D8608E">
        <w:tc>
          <w:tcPr>
            <w:tcW w:w="1518" w:type="dxa"/>
            <w:tcMar>
              <w:top w:w="150" w:type="dxa"/>
              <w:left w:w="0" w:type="dxa"/>
              <w:bottom w:w="150" w:type="dxa"/>
              <w:right w:w="240" w:type="dxa"/>
            </w:tcMar>
            <w:vAlign w:val="center"/>
            <w:hideMark/>
          </w:tcPr>
          <w:p w14:paraId="6E3388D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Severe malaria</w:t>
            </w:r>
          </w:p>
        </w:tc>
        <w:tc>
          <w:tcPr>
            <w:tcW w:w="375" w:type="dxa"/>
            <w:tcMar>
              <w:top w:w="150" w:type="dxa"/>
              <w:left w:w="240" w:type="dxa"/>
              <w:bottom w:w="150" w:type="dxa"/>
              <w:right w:w="240" w:type="dxa"/>
            </w:tcMar>
            <w:vAlign w:val="center"/>
            <w:hideMark/>
          </w:tcPr>
          <w:p w14:paraId="4A14824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22</w:t>
            </w:r>
          </w:p>
        </w:tc>
        <w:tc>
          <w:tcPr>
            <w:tcW w:w="375" w:type="dxa"/>
            <w:tcMar>
              <w:top w:w="150" w:type="dxa"/>
              <w:left w:w="240" w:type="dxa"/>
              <w:bottom w:w="150" w:type="dxa"/>
              <w:right w:w="0" w:type="dxa"/>
            </w:tcMar>
            <w:vAlign w:val="center"/>
            <w:hideMark/>
          </w:tcPr>
          <w:p w14:paraId="0FD7D60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22</w:t>
            </w:r>
          </w:p>
        </w:tc>
      </w:tr>
      <w:tr w:rsidR="00921959" w:rsidRPr="00D8608E" w14:paraId="0ED5D267" w14:textId="77777777" w:rsidTr="00D8608E">
        <w:tc>
          <w:tcPr>
            <w:tcW w:w="1518" w:type="dxa"/>
            <w:tcMar>
              <w:top w:w="150" w:type="dxa"/>
              <w:left w:w="0" w:type="dxa"/>
              <w:bottom w:w="150" w:type="dxa"/>
              <w:right w:w="240" w:type="dxa"/>
            </w:tcMar>
            <w:vAlign w:val="center"/>
            <w:hideMark/>
          </w:tcPr>
          <w:p w14:paraId="561C3F2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Acute diarrhea</w:t>
            </w:r>
          </w:p>
        </w:tc>
        <w:tc>
          <w:tcPr>
            <w:tcW w:w="375" w:type="dxa"/>
            <w:tcMar>
              <w:top w:w="150" w:type="dxa"/>
              <w:left w:w="240" w:type="dxa"/>
              <w:bottom w:w="150" w:type="dxa"/>
              <w:right w:w="240" w:type="dxa"/>
            </w:tcMar>
            <w:vAlign w:val="center"/>
            <w:hideMark/>
          </w:tcPr>
          <w:p w14:paraId="14B0C8B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18</w:t>
            </w:r>
          </w:p>
        </w:tc>
        <w:tc>
          <w:tcPr>
            <w:tcW w:w="375" w:type="dxa"/>
            <w:tcMar>
              <w:top w:w="150" w:type="dxa"/>
              <w:left w:w="240" w:type="dxa"/>
              <w:bottom w:w="150" w:type="dxa"/>
              <w:right w:w="0" w:type="dxa"/>
            </w:tcMar>
            <w:vAlign w:val="center"/>
            <w:hideMark/>
          </w:tcPr>
          <w:p w14:paraId="5D11CC4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18</w:t>
            </w:r>
          </w:p>
        </w:tc>
      </w:tr>
      <w:tr w:rsidR="00921959" w:rsidRPr="00D8608E" w14:paraId="71FAEFCB" w14:textId="77777777" w:rsidTr="00D8608E">
        <w:tc>
          <w:tcPr>
            <w:tcW w:w="1518" w:type="dxa"/>
            <w:tcMar>
              <w:top w:w="150" w:type="dxa"/>
              <w:left w:w="0" w:type="dxa"/>
              <w:bottom w:w="150" w:type="dxa"/>
              <w:right w:w="240" w:type="dxa"/>
            </w:tcMar>
            <w:vAlign w:val="center"/>
            <w:hideMark/>
          </w:tcPr>
          <w:p w14:paraId="3BF56567"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lastRenderedPageBreak/>
              <w:t>Malnutrition</w:t>
            </w:r>
          </w:p>
        </w:tc>
        <w:tc>
          <w:tcPr>
            <w:tcW w:w="375" w:type="dxa"/>
            <w:tcMar>
              <w:top w:w="150" w:type="dxa"/>
              <w:left w:w="240" w:type="dxa"/>
              <w:bottom w:w="150" w:type="dxa"/>
              <w:right w:w="240" w:type="dxa"/>
            </w:tcMar>
            <w:vAlign w:val="center"/>
            <w:hideMark/>
          </w:tcPr>
          <w:p w14:paraId="503FEBC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15</w:t>
            </w:r>
          </w:p>
        </w:tc>
        <w:tc>
          <w:tcPr>
            <w:tcW w:w="375" w:type="dxa"/>
            <w:tcMar>
              <w:top w:w="150" w:type="dxa"/>
              <w:left w:w="240" w:type="dxa"/>
              <w:bottom w:w="150" w:type="dxa"/>
              <w:right w:w="0" w:type="dxa"/>
            </w:tcMar>
            <w:vAlign w:val="center"/>
            <w:hideMark/>
          </w:tcPr>
          <w:p w14:paraId="3F45C09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15</w:t>
            </w:r>
          </w:p>
        </w:tc>
      </w:tr>
      <w:tr w:rsidR="00921959" w:rsidRPr="00D8608E" w14:paraId="3D53A4C6" w14:textId="77777777" w:rsidTr="00D8608E">
        <w:tc>
          <w:tcPr>
            <w:tcW w:w="1518" w:type="dxa"/>
            <w:tcMar>
              <w:top w:w="150" w:type="dxa"/>
              <w:left w:w="0" w:type="dxa"/>
              <w:bottom w:w="150" w:type="dxa"/>
              <w:right w:w="240" w:type="dxa"/>
            </w:tcMar>
            <w:vAlign w:val="center"/>
            <w:hideMark/>
          </w:tcPr>
          <w:p w14:paraId="42CE37C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Measles</w:t>
            </w:r>
          </w:p>
        </w:tc>
        <w:tc>
          <w:tcPr>
            <w:tcW w:w="375" w:type="dxa"/>
            <w:tcMar>
              <w:top w:w="150" w:type="dxa"/>
              <w:left w:w="240" w:type="dxa"/>
              <w:bottom w:w="150" w:type="dxa"/>
              <w:right w:w="240" w:type="dxa"/>
            </w:tcMar>
            <w:vAlign w:val="center"/>
            <w:hideMark/>
          </w:tcPr>
          <w:p w14:paraId="7C3DCE7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8</w:t>
            </w:r>
          </w:p>
        </w:tc>
        <w:tc>
          <w:tcPr>
            <w:tcW w:w="375" w:type="dxa"/>
            <w:tcMar>
              <w:top w:w="150" w:type="dxa"/>
              <w:left w:w="240" w:type="dxa"/>
              <w:bottom w:w="150" w:type="dxa"/>
              <w:right w:w="0" w:type="dxa"/>
            </w:tcMar>
            <w:vAlign w:val="center"/>
            <w:hideMark/>
          </w:tcPr>
          <w:p w14:paraId="6A258B08"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8</w:t>
            </w:r>
          </w:p>
        </w:tc>
      </w:tr>
      <w:tr w:rsidR="00921959" w:rsidRPr="00D8608E" w14:paraId="33FC3BE1" w14:textId="77777777" w:rsidTr="00D8608E">
        <w:tc>
          <w:tcPr>
            <w:tcW w:w="1518" w:type="dxa"/>
            <w:tcMar>
              <w:top w:w="150" w:type="dxa"/>
              <w:left w:w="0" w:type="dxa"/>
              <w:bottom w:w="150" w:type="dxa"/>
              <w:right w:w="240" w:type="dxa"/>
            </w:tcMar>
            <w:vAlign w:val="center"/>
            <w:hideMark/>
          </w:tcPr>
          <w:p w14:paraId="4CE504DD"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Other</w:t>
            </w:r>
          </w:p>
        </w:tc>
        <w:tc>
          <w:tcPr>
            <w:tcW w:w="375" w:type="dxa"/>
            <w:tcMar>
              <w:top w:w="150" w:type="dxa"/>
              <w:left w:w="240" w:type="dxa"/>
              <w:bottom w:w="150" w:type="dxa"/>
              <w:right w:w="240" w:type="dxa"/>
            </w:tcMar>
            <w:vAlign w:val="center"/>
            <w:hideMark/>
          </w:tcPr>
          <w:p w14:paraId="08F8705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7</w:t>
            </w:r>
          </w:p>
        </w:tc>
        <w:tc>
          <w:tcPr>
            <w:tcW w:w="375" w:type="dxa"/>
            <w:tcMar>
              <w:top w:w="150" w:type="dxa"/>
              <w:left w:w="240" w:type="dxa"/>
              <w:bottom w:w="150" w:type="dxa"/>
              <w:right w:w="0" w:type="dxa"/>
            </w:tcMar>
            <w:vAlign w:val="center"/>
            <w:hideMark/>
          </w:tcPr>
          <w:p w14:paraId="3DF9D20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7</w:t>
            </w:r>
          </w:p>
        </w:tc>
      </w:tr>
    </w:tbl>
    <w:p w14:paraId="6E91E394"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Interpretation:</w:t>
      </w:r>
      <w:r w:rsidRPr="00D8608E">
        <w:rPr>
          <w:rFonts w:ascii="Times New Roman" w:eastAsia="Times New Roman" w:hAnsi="Times New Roman" w:cs="Times New Roman"/>
          <w:color w:val="0F1115"/>
          <w:kern w:val="0"/>
          <w14:ligatures w14:val="none"/>
        </w:rPr>
        <w:t> Cholera was the leading cause of death (30%), followed by severe malaria (22%) and acute diarrhea (18%). Together, these three causes accounted for 70% of all infant deaths. Malnutrition (15%) and measles (8%) were also significant contributors.</w:t>
      </w:r>
    </w:p>
    <w:p w14:paraId="6DD4917C"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3.3. Seasonal Variation in Mortality</w:t>
      </w:r>
    </w:p>
    <w:p w14:paraId="0EDE3178"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Table 3</w:t>
      </w:r>
      <w:r w:rsidRPr="00D8608E">
        <w:rPr>
          <w:rFonts w:ascii="Times New Roman" w:eastAsia="Times New Roman" w:hAnsi="Times New Roman" w:cs="Times New Roman"/>
          <w:color w:val="0F1115"/>
          <w:kern w:val="0"/>
          <w14:ligatures w14:val="none"/>
        </w:rPr>
        <w:br/>
        <w:t>*Seasonal Distribution of Deaths (N = 100)*</w:t>
      </w:r>
    </w:p>
    <w:tbl>
      <w:tblPr>
        <w:tblW w:w="2116"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892"/>
        <w:gridCol w:w="710"/>
        <w:gridCol w:w="672"/>
      </w:tblGrid>
      <w:tr w:rsidR="00921959" w:rsidRPr="00D8608E" w14:paraId="4F00027F" w14:textId="77777777" w:rsidTr="00D8608E">
        <w:trPr>
          <w:tblHeader/>
        </w:trPr>
        <w:tc>
          <w:tcPr>
            <w:tcW w:w="1366" w:type="dxa"/>
            <w:tcBorders>
              <w:top w:val="single" w:sz="4" w:space="0" w:color="auto"/>
              <w:bottom w:val="single" w:sz="4" w:space="0" w:color="auto"/>
            </w:tcBorders>
            <w:tcMar>
              <w:top w:w="150" w:type="dxa"/>
              <w:left w:w="0" w:type="dxa"/>
              <w:bottom w:w="150" w:type="dxa"/>
              <w:right w:w="240" w:type="dxa"/>
            </w:tcMar>
            <w:vAlign w:val="center"/>
            <w:hideMark/>
          </w:tcPr>
          <w:p w14:paraId="7D1C7FF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Season</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4966097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n</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6A86C35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w:t>
            </w:r>
          </w:p>
        </w:tc>
      </w:tr>
      <w:tr w:rsidR="00921959" w:rsidRPr="00D8608E" w14:paraId="11BF08E3" w14:textId="77777777" w:rsidTr="00D8608E">
        <w:tc>
          <w:tcPr>
            <w:tcW w:w="1366" w:type="dxa"/>
            <w:tcBorders>
              <w:top w:val="single" w:sz="4" w:space="0" w:color="auto"/>
            </w:tcBorders>
            <w:tcMar>
              <w:top w:w="150" w:type="dxa"/>
              <w:left w:w="0" w:type="dxa"/>
              <w:bottom w:w="150" w:type="dxa"/>
              <w:right w:w="240" w:type="dxa"/>
            </w:tcMar>
            <w:vAlign w:val="center"/>
            <w:hideMark/>
          </w:tcPr>
          <w:p w14:paraId="4E6C9695"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Rainy season</w:t>
            </w:r>
          </w:p>
        </w:tc>
        <w:tc>
          <w:tcPr>
            <w:tcW w:w="375" w:type="dxa"/>
            <w:tcBorders>
              <w:top w:val="single" w:sz="4" w:space="0" w:color="auto"/>
            </w:tcBorders>
            <w:tcMar>
              <w:top w:w="150" w:type="dxa"/>
              <w:left w:w="240" w:type="dxa"/>
              <w:bottom w:w="150" w:type="dxa"/>
              <w:right w:w="240" w:type="dxa"/>
            </w:tcMar>
            <w:vAlign w:val="center"/>
            <w:hideMark/>
          </w:tcPr>
          <w:p w14:paraId="36D9A0C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68</w:t>
            </w:r>
          </w:p>
        </w:tc>
        <w:tc>
          <w:tcPr>
            <w:tcW w:w="375" w:type="dxa"/>
            <w:tcBorders>
              <w:top w:val="single" w:sz="4" w:space="0" w:color="auto"/>
            </w:tcBorders>
            <w:tcMar>
              <w:top w:w="150" w:type="dxa"/>
              <w:left w:w="240" w:type="dxa"/>
              <w:bottom w:w="150" w:type="dxa"/>
              <w:right w:w="0" w:type="dxa"/>
            </w:tcMar>
            <w:vAlign w:val="center"/>
            <w:hideMark/>
          </w:tcPr>
          <w:p w14:paraId="55FACE09"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68</w:t>
            </w:r>
          </w:p>
        </w:tc>
      </w:tr>
      <w:tr w:rsidR="00921959" w:rsidRPr="00D8608E" w14:paraId="37927C73" w14:textId="77777777" w:rsidTr="00D8608E">
        <w:tc>
          <w:tcPr>
            <w:tcW w:w="1366" w:type="dxa"/>
            <w:tcMar>
              <w:top w:w="150" w:type="dxa"/>
              <w:left w:w="0" w:type="dxa"/>
              <w:bottom w:w="150" w:type="dxa"/>
              <w:right w:w="240" w:type="dxa"/>
            </w:tcMar>
            <w:vAlign w:val="center"/>
            <w:hideMark/>
          </w:tcPr>
          <w:p w14:paraId="68C4A93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Dry season</w:t>
            </w:r>
          </w:p>
        </w:tc>
        <w:tc>
          <w:tcPr>
            <w:tcW w:w="375" w:type="dxa"/>
            <w:tcMar>
              <w:top w:w="150" w:type="dxa"/>
              <w:left w:w="240" w:type="dxa"/>
              <w:bottom w:w="150" w:type="dxa"/>
              <w:right w:w="240" w:type="dxa"/>
            </w:tcMar>
            <w:vAlign w:val="center"/>
            <w:hideMark/>
          </w:tcPr>
          <w:p w14:paraId="5B9D222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32</w:t>
            </w:r>
          </w:p>
        </w:tc>
        <w:tc>
          <w:tcPr>
            <w:tcW w:w="375" w:type="dxa"/>
            <w:tcMar>
              <w:top w:w="150" w:type="dxa"/>
              <w:left w:w="240" w:type="dxa"/>
              <w:bottom w:w="150" w:type="dxa"/>
              <w:right w:w="0" w:type="dxa"/>
            </w:tcMar>
            <w:vAlign w:val="center"/>
            <w:hideMark/>
          </w:tcPr>
          <w:p w14:paraId="3635588A"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32</w:t>
            </w:r>
          </w:p>
        </w:tc>
      </w:tr>
    </w:tbl>
    <w:p w14:paraId="09BD2B36"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Interpretation:</w:t>
      </w:r>
      <w:r w:rsidRPr="00D8608E">
        <w:rPr>
          <w:rFonts w:ascii="Times New Roman" w:eastAsia="Times New Roman" w:hAnsi="Times New Roman" w:cs="Times New Roman"/>
          <w:color w:val="0F1115"/>
          <w:kern w:val="0"/>
          <w14:ligatures w14:val="none"/>
        </w:rPr>
        <w:t> The majority of deaths (68%) occurred during the rainy season, likely due to increased transmission of waterborne diseases (cholera, diarrhea) and vector-borne diseases (malaria).</w:t>
      </w:r>
    </w:p>
    <w:p w14:paraId="392F6B84"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3.4. Vaccination Status</w:t>
      </w:r>
    </w:p>
    <w:p w14:paraId="6B3C89EE"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Table 4</w:t>
      </w:r>
      <w:r w:rsidRPr="00D8608E">
        <w:rPr>
          <w:rFonts w:ascii="Times New Roman" w:eastAsia="Times New Roman" w:hAnsi="Times New Roman" w:cs="Times New Roman"/>
          <w:color w:val="0F1115"/>
          <w:kern w:val="0"/>
          <w14:ligatures w14:val="none"/>
        </w:rPr>
        <w:br/>
        <w:t>*Vaccination Status of Deceased Children (N = 100)*</w:t>
      </w:r>
    </w:p>
    <w:tbl>
      <w:tblPr>
        <w:tblW w:w="2716"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352"/>
        <w:gridCol w:w="710"/>
        <w:gridCol w:w="672"/>
      </w:tblGrid>
      <w:tr w:rsidR="00921959" w:rsidRPr="00D8608E" w14:paraId="3411C472" w14:textId="77777777" w:rsidTr="00D8608E">
        <w:trPr>
          <w:tblHeader/>
        </w:trPr>
        <w:tc>
          <w:tcPr>
            <w:tcW w:w="1966" w:type="dxa"/>
            <w:tcBorders>
              <w:top w:val="single" w:sz="4" w:space="0" w:color="auto"/>
              <w:bottom w:val="single" w:sz="4" w:space="0" w:color="auto"/>
            </w:tcBorders>
            <w:tcMar>
              <w:top w:w="150" w:type="dxa"/>
              <w:left w:w="0" w:type="dxa"/>
              <w:bottom w:w="150" w:type="dxa"/>
              <w:right w:w="240" w:type="dxa"/>
            </w:tcMar>
            <w:vAlign w:val="center"/>
            <w:hideMark/>
          </w:tcPr>
          <w:p w14:paraId="0C846DA5"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lastRenderedPageBreak/>
              <w:t>Vaccination status</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4F6F01E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n</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70A9904D"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w:t>
            </w:r>
          </w:p>
        </w:tc>
      </w:tr>
      <w:tr w:rsidR="00921959" w:rsidRPr="00D8608E" w14:paraId="66E7DFA1" w14:textId="77777777" w:rsidTr="00D8608E">
        <w:tc>
          <w:tcPr>
            <w:tcW w:w="1966" w:type="dxa"/>
            <w:tcBorders>
              <w:top w:val="single" w:sz="4" w:space="0" w:color="auto"/>
            </w:tcBorders>
            <w:tcMar>
              <w:top w:w="150" w:type="dxa"/>
              <w:left w:w="0" w:type="dxa"/>
              <w:bottom w:w="150" w:type="dxa"/>
              <w:right w:w="240" w:type="dxa"/>
            </w:tcMar>
            <w:vAlign w:val="center"/>
            <w:hideMark/>
          </w:tcPr>
          <w:p w14:paraId="28AA279A"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Fully vaccinated</w:t>
            </w:r>
          </w:p>
        </w:tc>
        <w:tc>
          <w:tcPr>
            <w:tcW w:w="375" w:type="dxa"/>
            <w:tcBorders>
              <w:top w:val="single" w:sz="4" w:space="0" w:color="auto"/>
            </w:tcBorders>
            <w:tcMar>
              <w:top w:w="150" w:type="dxa"/>
              <w:left w:w="240" w:type="dxa"/>
              <w:bottom w:w="150" w:type="dxa"/>
              <w:right w:w="240" w:type="dxa"/>
            </w:tcMar>
            <w:vAlign w:val="center"/>
            <w:hideMark/>
          </w:tcPr>
          <w:p w14:paraId="22BDFEC9"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29</w:t>
            </w:r>
          </w:p>
        </w:tc>
        <w:tc>
          <w:tcPr>
            <w:tcW w:w="375" w:type="dxa"/>
            <w:tcBorders>
              <w:top w:val="single" w:sz="4" w:space="0" w:color="auto"/>
            </w:tcBorders>
            <w:tcMar>
              <w:top w:w="150" w:type="dxa"/>
              <w:left w:w="240" w:type="dxa"/>
              <w:bottom w:w="150" w:type="dxa"/>
              <w:right w:w="0" w:type="dxa"/>
            </w:tcMar>
            <w:vAlign w:val="center"/>
            <w:hideMark/>
          </w:tcPr>
          <w:p w14:paraId="6DE4359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29</w:t>
            </w:r>
          </w:p>
        </w:tc>
      </w:tr>
      <w:tr w:rsidR="00921959" w:rsidRPr="00D8608E" w14:paraId="3BD34E47" w14:textId="77777777" w:rsidTr="00D8608E">
        <w:tc>
          <w:tcPr>
            <w:tcW w:w="1966" w:type="dxa"/>
            <w:tcMar>
              <w:top w:w="150" w:type="dxa"/>
              <w:left w:w="0" w:type="dxa"/>
              <w:bottom w:w="150" w:type="dxa"/>
              <w:right w:w="240" w:type="dxa"/>
            </w:tcMar>
            <w:vAlign w:val="center"/>
            <w:hideMark/>
          </w:tcPr>
          <w:p w14:paraId="687B092A"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Partially vaccinated</w:t>
            </w:r>
          </w:p>
        </w:tc>
        <w:tc>
          <w:tcPr>
            <w:tcW w:w="375" w:type="dxa"/>
            <w:tcMar>
              <w:top w:w="150" w:type="dxa"/>
              <w:left w:w="240" w:type="dxa"/>
              <w:bottom w:w="150" w:type="dxa"/>
              <w:right w:w="240" w:type="dxa"/>
            </w:tcMar>
            <w:vAlign w:val="center"/>
            <w:hideMark/>
          </w:tcPr>
          <w:p w14:paraId="531B7CC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51</w:t>
            </w:r>
          </w:p>
        </w:tc>
        <w:tc>
          <w:tcPr>
            <w:tcW w:w="375" w:type="dxa"/>
            <w:tcMar>
              <w:top w:w="150" w:type="dxa"/>
              <w:left w:w="240" w:type="dxa"/>
              <w:bottom w:w="150" w:type="dxa"/>
              <w:right w:w="0" w:type="dxa"/>
            </w:tcMar>
            <w:vAlign w:val="center"/>
            <w:hideMark/>
          </w:tcPr>
          <w:p w14:paraId="608DD28D"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51</w:t>
            </w:r>
          </w:p>
        </w:tc>
      </w:tr>
      <w:tr w:rsidR="00921959" w:rsidRPr="00D8608E" w14:paraId="51E09B25" w14:textId="77777777" w:rsidTr="00D8608E">
        <w:tc>
          <w:tcPr>
            <w:tcW w:w="1966" w:type="dxa"/>
            <w:tcMar>
              <w:top w:w="150" w:type="dxa"/>
              <w:left w:w="0" w:type="dxa"/>
              <w:bottom w:w="150" w:type="dxa"/>
              <w:right w:w="240" w:type="dxa"/>
            </w:tcMar>
            <w:vAlign w:val="center"/>
            <w:hideMark/>
          </w:tcPr>
          <w:p w14:paraId="346ED894"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Not vaccinated</w:t>
            </w:r>
          </w:p>
        </w:tc>
        <w:tc>
          <w:tcPr>
            <w:tcW w:w="375" w:type="dxa"/>
            <w:tcMar>
              <w:top w:w="150" w:type="dxa"/>
              <w:left w:w="240" w:type="dxa"/>
              <w:bottom w:w="150" w:type="dxa"/>
              <w:right w:w="240" w:type="dxa"/>
            </w:tcMar>
            <w:vAlign w:val="center"/>
            <w:hideMark/>
          </w:tcPr>
          <w:p w14:paraId="1B7776F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20</w:t>
            </w:r>
          </w:p>
        </w:tc>
        <w:tc>
          <w:tcPr>
            <w:tcW w:w="375" w:type="dxa"/>
            <w:tcMar>
              <w:top w:w="150" w:type="dxa"/>
              <w:left w:w="240" w:type="dxa"/>
              <w:bottom w:w="150" w:type="dxa"/>
              <w:right w:w="0" w:type="dxa"/>
            </w:tcMar>
            <w:vAlign w:val="center"/>
            <w:hideMark/>
          </w:tcPr>
          <w:p w14:paraId="511C9DDA"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20</w:t>
            </w:r>
          </w:p>
        </w:tc>
      </w:tr>
    </w:tbl>
    <w:p w14:paraId="30ACCA50"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Interpretation:</w:t>
      </w:r>
      <w:r w:rsidRPr="00D8608E">
        <w:rPr>
          <w:rFonts w:ascii="Times New Roman" w:eastAsia="Times New Roman" w:hAnsi="Times New Roman" w:cs="Times New Roman"/>
          <w:color w:val="0F1115"/>
          <w:kern w:val="0"/>
          <w14:ligatures w14:val="none"/>
        </w:rPr>
        <w:t> Only 29% of deceased children had completed the recommended vaccination schedule. The majority (71%) were either partially vaccinated or completely unvaccinated, indicating a major gap in preventive services.</w:t>
      </w:r>
    </w:p>
    <w:p w14:paraId="6FDA19CE"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3.5. Nutritional Status</w:t>
      </w:r>
    </w:p>
    <w:p w14:paraId="1D1CDD43"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Table 5</w:t>
      </w:r>
      <w:r w:rsidRPr="00D8608E">
        <w:rPr>
          <w:rFonts w:ascii="Times New Roman" w:eastAsia="Times New Roman" w:hAnsi="Times New Roman" w:cs="Times New Roman"/>
          <w:color w:val="0F1115"/>
          <w:kern w:val="0"/>
          <w14:ligatures w14:val="none"/>
        </w:rPr>
        <w:br/>
        <w:t>*Nutritional Status of Deceased Children (N = 100)*</w:t>
      </w:r>
    </w:p>
    <w:tbl>
      <w:tblPr>
        <w:tblW w:w="2971"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89"/>
        <w:gridCol w:w="710"/>
        <w:gridCol w:w="672"/>
      </w:tblGrid>
      <w:tr w:rsidR="00921959" w:rsidRPr="00D8608E" w14:paraId="25B420E4" w14:textId="77777777" w:rsidTr="00D8608E">
        <w:trPr>
          <w:tblHeader/>
        </w:trPr>
        <w:tc>
          <w:tcPr>
            <w:tcW w:w="2221" w:type="dxa"/>
            <w:tcBorders>
              <w:top w:val="single" w:sz="4" w:space="0" w:color="auto"/>
              <w:bottom w:val="single" w:sz="4" w:space="0" w:color="auto"/>
            </w:tcBorders>
            <w:tcMar>
              <w:top w:w="150" w:type="dxa"/>
              <w:left w:w="0" w:type="dxa"/>
              <w:bottom w:w="150" w:type="dxa"/>
              <w:right w:w="240" w:type="dxa"/>
            </w:tcMar>
            <w:vAlign w:val="center"/>
            <w:hideMark/>
          </w:tcPr>
          <w:p w14:paraId="77611CB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Nutritional status</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6396ABD5"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n</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264AFC0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w:t>
            </w:r>
          </w:p>
        </w:tc>
      </w:tr>
      <w:tr w:rsidR="00921959" w:rsidRPr="00D8608E" w14:paraId="1561792D" w14:textId="77777777" w:rsidTr="00D8608E">
        <w:tc>
          <w:tcPr>
            <w:tcW w:w="2221" w:type="dxa"/>
            <w:tcBorders>
              <w:top w:val="single" w:sz="4" w:space="0" w:color="auto"/>
            </w:tcBorders>
            <w:tcMar>
              <w:top w:w="150" w:type="dxa"/>
              <w:left w:w="0" w:type="dxa"/>
              <w:bottom w:w="150" w:type="dxa"/>
              <w:right w:w="240" w:type="dxa"/>
            </w:tcMar>
            <w:vAlign w:val="center"/>
            <w:hideMark/>
          </w:tcPr>
          <w:p w14:paraId="0A5E9E14"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Normal</w:t>
            </w:r>
          </w:p>
        </w:tc>
        <w:tc>
          <w:tcPr>
            <w:tcW w:w="375" w:type="dxa"/>
            <w:tcBorders>
              <w:top w:val="single" w:sz="4" w:space="0" w:color="auto"/>
            </w:tcBorders>
            <w:tcMar>
              <w:top w:w="150" w:type="dxa"/>
              <w:left w:w="240" w:type="dxa"/>
              <w:bottom w:w="150" w:type="dxa"/>
              <w:right w:w="240" w:type="dxa"/>
            </w:tcMar>
            <w:vAlign w:val="center"/>
            <w:hideMark/>
          </w:tcPr>
          <w:p w14:paraId="6AE3112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26</w:t>
            </w:r>
          </w:p>
        </w:tc>
        <w:tc>
          <w:tcPr>
            <w:tcW w:w="375" w:type="dxa"/>
            <w:tcBorders>
              <w:top w:val="single" w:sz="4" w:space="0" w:color="auto"/>
            </w:tcBorders>
            <w:tcMar>
              <w:top w:w="150" w:type="dxa"/>
              <w:left w:w="240" w:type="dxa"/>
              <w:bottom w:w="150" w:type="dxa"/>
              <w:right w:w="0" w:type="dxa"/>
            </w:tcMar>
            <w:vAlign w:val="center"/>
            <w:hideMark/>
          </w:tcPr>
          <w:p w14:paraId="2416AFC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26</w:t>
            </w:r>
          </w:p>
        </w:tc>
      </w:tr>
      <w:tr w:rsidR="00921959" w:rsidRPr="00D8608E" w14:paraId="5A41DA91" w14:textId="77777777" w:rsidTr="00D8608E">
        <w:tc>
          <w:tcPr>
            <w:tcW w:w="2221" w:type="dxa"/>
            <w:tcMar>
              <w:top w:w="150" w:type="dxa"/>
              <w:left w:w="0" w:type="dxa"/>
              <w:bottom w:w="150" w:type="dxa"/>
              <w:right w:w="240" w:type="dxa"/>
            </w:tcMar>
            <w:vAlign w:val="center"/>
            <w:hideMark/>
          </w:tcPr>
          <w:p w14:paraId="577262B4"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Moderate malnutrition</w:t>
            </w:r>
          </w:p>
        </w:tc>
        <w:tc>
          <w:tcPr>
            <w:tcW w:w="375" w:type="dxa"/>
            <w:tcMar>
              <w:top w:w="150" w:type="dxa"/>
              <w:left w:w="240" w:type="dxa"/>
              <w:bottom w:w="150" w:type="dxa"/>
              <w:right w:w="240" w:type="dxa"/>
            </w:tcMar>
            <w:vAlign w:val="center"/>
            <w:hideMark/>
          </w:tcPr>
          <w:p w14:paraId="5A41657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39</w:t>
            </w:r>
          </w:p>
        </w:tc>
        <w:tc>
          <w:tcPr>
            <w:tcW w:w="375" w:type="dxa"/>
            <w:tcMar>
              <w:top w:w="150" w:type="dxa"/>
              <w:left w:w="240" w:type="dxa"/>
              <w:bottom w:w="150" w:type="dxa"/>
              <w:right w:w="0" w:type="dxa"/>
            </w:tcMar>
            <w:vAlign w:val="center"/>
            <w:hideMark/>
          </w:tcPr>
          <w:p w14:paraId="19DD4F8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39</w:t>
            </w:r>
          </w:p>
        </w:tc>
      </w:tr>
      <w:tr w:rsidR="00921959" w:rsidRPr="00D8608E" w14:paraId="682F92F1" w14:textId="77777777" w:rsidTr="00D8608E">
        <w:tc>
          <w:tcPr>
            <w:tcW w:w="2221" w:type="dxa"/>
            <w:tcMar>
              <w:top w:w="150" w:type="dxa"/>
              <w:left w:w="0" w:type="dxa"/>
              <w:bottom w:w="150" w:type="dxa"/>
              <w:right w:w="240" w:type="dxa"/>
            </w:tcMar>
            <w:vAlign w:val="center"/>
            <w:hideMark/>
          </w:tcPr>
          <w:p w14:paraId="2B6AE0A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Severe malnutrition</w:t>
            </w:r>
          </w:p>
        </w:tc>
        <w:tc>
          <w:tcPr>
            <w:tcW w:w="375" w:type="dxa"/>
            <w:tcMar>
              <w:top w:w="150" w:type="dxa"/>
              <w:left w:w="240" w:type="dxa"/>
              <w:bottom w:w="150" w:type="dxa"/>
              <w:right w:w="240" w:type="dxa"/>
            </w:tcMar>
            <w:vAlign w:val="center"/>
            <w:hideMark/>
          </w:tcPr>
          <w:p w14:paraId="3E39BA7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35</w:t>
            </w:r>
          </w:p>
        </w:tc>
        <w:tc>
          <w:tcPr>
            <w:tcW w:w="375" w:type="dxa"/>
            <w:tcMar>
              <w:top w:w="150" w:type="dxa"/>
              <w:left w:w="240" w:type="dxa"/>
              <w:bottom w:w="150" w:type="dxa"/>
              <w:right w:w="0" w:type="dxa"/>
            </w:tcMar>
            <w:vAlign w:val="center"/>
            <w:hideMark/>
          </w:tcPr>
          <w:p w14:paraId="47B43A5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35</w:t>
            </w:r>
          </w:p>
        </w:tc>
      </w:tr>
    </w:tbl>
    <w:p w14:paraId="0425183F"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Interpretation:</w:t>
      </w:r>
      <w:r w:rsidRPr="00D8608E">
        <w:rPr>
          <w:rFonts w:ascii="Times New Roman" w:eastAsia="Times New Roman" w:hAnsi="Times New Roman" w:cs="Times New Roman"/>
          <w:color w:val="0F1115"/>
          <w:kern w:val="0"/>
          <w14:ligatures w14:val="none"/>
        </w:rPr>
        <w:t> Malnutrition was widespread, with 74% of deceased children having either moderate (39%) or severe (35%) malnutrition. This represents a significant underlying risk factor for mortality from infectious diseases.</w:t>
      </w:r>
    </w:p>
    <w:p w14:paraId="1E1FE38F"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3.6. Delay to Hospital Arrival</w:t>
      </w:r>
    </w:p>
    <w:p w14:paraId="4869A10B"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lastRenderedPageBreak/>
        <w:t>Table 6</w:t>
      </w:r>
      <w:r w:rsidRPr="00D8608E">
        <w:rPr>
          <w:rFonts w:ascii="Times New Roman" w:eastAsia="Times New Roman" w:hAnsi="Times New Roman" w:cs="Times New Roman"/>
          <w:color w:val="0F1115"/>
          <w:kern w:val="0"/>
          <w14:ligatures w14:val="none"/>
        </w:rPr>
        <w:br/>
        <w:t>*Delay from Symptom Onset to Hospital Arrival (N = 100)*</w:t>
      </w:r>
    </w:p>
    <w:tbl>
      <w:tblPr>
        <w:tblW w:w="2039"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790"/>
        <w:gridCol w:w="710"/>
        <w:gridCol w:w="672"/>
      </w:tblGrid>
      <w:tr w:rsidR="00921959" w:rsidRPr="00D8608E" w14:paraId="313E5A1F" w14:textId="77777777" w:rsidTr="00D8608E">
        <w:trPr>
          <w:tblHeader/>
        </w:trPr>
        <w:tc>
          <w:tcPr>
            <w:tcW w:w="1289" w:type="dxa"/>
            <w:tcBorders>
              <w:top w:val="single" w:sz="4" w:space="0" w:color="auto"/>
              <w:bottom w:val="single" w:sz="4" w:space="0" w:color="auto"/>
            </w:tcBorders>
            <w:tcMar>
              <w:top w:w="150" w:type="dxa"/>
              <w:left w:w="0" w:type="dxa"/>
              <w:bottom w:w="150" w:type="dxa"/>
              <w:right w:w="240" w:type="dxa"/>
            </w:tcMar>
            <w:vAlign w:val="center"/>
            <w:hideMark/>
          </w:tcPr>
          <w:p w14:paraId="1753F06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Delay</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0A3A44E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n</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7871650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w:t>
            </w:r>
          </w:p>
        </w:tc>
      </w:tr>
      <w:tr w:rsidR="00921959" w:rsidRPr="00D8608E" w14:paraId="33AFD3BA" w14:textId="77777777" w:rsidTr="00D8608E">
        <w:tc>
          <w:tcPr>
            <w:tcW w:w="1289" w:type="dxa"/>
            <w:tcBorders>
              <w:top w:val="single" w:sz="4" w:space="0" w:color="auto"/>
            </w:tcBorders>
            <w:tcMar>
              <w:top w:w="150" w:type="dxa"/>
              <w:left w:w="0" w:type="dxa"/>
              <w:bottom w:w="150" w:type="dxa"/>
              <w:right w:w="240" w:type="dxa"/>
            </w:tcMar>
            <w:vAlign w:val="center"/>
            <w:hideMark/>
          </w:tcPr>
          <w:p w14:paraId="40142C28"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&lt;24 hours</w:t>
            </w:r>
          </w:p>
        </w:tc>
        <w:tc>
          <w:tcPr>
            <w:tcW w:w="375" w:type="dxa"/>
            <w:tcBorders>
              <w:top w:val="single" w:sz="4" w:space="0" w:color="auto"/>
            </w:tcBorders>
            <w:tcMar>
              <w:top w:w="150" w:type="dxa"/>
              <w:left w:w="240" w:type="dxa"/>
              <w:bottom w:w="150" w:type="dxa"/>
              <w:right w:w="240" w:type="dxa"/>
            </w:tcMar>
            <w:vAlign w:val="center"/>
            <w:hideMark/>
          </w:tcPr>
          <w:p w14:paraId="60EECCA7"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23</w:t>
            </w:r>
          </w:p>
        </w:tc>
        <w:tc>
          <w:tcPr>
            <w:tcW w:w="375" w:type="dxa"/>
            <w:tcBorders>
              <w:top w:val="single" w:sz="4" w:space="0" w:color="auto"/>
            </w:tcBorders>
            <w:tcMar>
              <w:top w:w="150" w:type="dxa"/>
              <w:left w:w="240" w:type="dxa"/>
              <w:bottom w:w="150" w:type="dxa"/>
              <w:right w:w="0" w:type="dxa"/>
            </w:tcMar>
            <w:vAlign w:val="center"/>
            <w:hideMark/>
          </w:tcPr>
          <w:p w14:paraId="442DFF8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23</w:t>
            </w:r>
          </w:p>
        </w:tc>
      </w:tr>
      <w:tr w:rsidR="00921959" w:rsidRPr="00D8608E" w14:paraId="33B4A59D" w14:textId="77777777" w:rsidTr="00D8608E">
        <w:tc>
          <w:tcPr>
            <w:tcW w:w="1289" w:type="dxa"/>
            <w:tcMar>
              <w:top w:w="150" w:type="dxa"/>
              <w:left w:w="0" w:type="dxa"/>
              <w:bottom w:w="150" w:type="dxa"/>
              <w:right w:w="240" w:type="dxa"/>
            </w:tcMar>
            <w:vAlign w:val="center"/>
            <w:hideMark/>
          </w:tcPr>
          <w:p w14:paraId="7B5A549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24–72 hours</w:t>
            </w:r>
          </w:p>
        </w:tc>
        <w:tc>
          <w:tcPr>
            <w:tcW w:w="375" w:type="dxa"/>
            <w:tcMar>
              <w:top w:w="150" w:type="dxa"/>
              <w:left w:w="240" w:type="dxa"/>
              <w:bottom w:w="150" w:type="dxa"/>
              <w:right w:w="240" w:type="dxa"/>
            </w:tcMar>
            <w:vAlign w:val="center"/>
            <w:hideMark/>
          </w:tcPr>
          <w:p w14:paraId="536B424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37</w:t>
            </w:r>
          </w:p>
        </w:tc>
        <w:tc>
          <w:tcPr>
            <w:tcW w:w="375" w:type="dxa"/>
            <w:tcMar>
              <w:top w:w="150" w:type="dxa"/>
              <w:left w:w="240" w:type="dxa"/>
              <w:bottom w:w="150" w:type="dxa"/>
              <w:right w:w="0" w:type="dxa"/>
            </w:tcMar>
            <w:vAlign w:val="center"/>
            <w:hideMark/>
          </w:tcPr>
          <w:p w14:paraId="54D96997"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37</w:t>
            </w:r>
          </w:p>
        </w:tc>
      </w:tr>
      <w:tr w:rsidR="00921959" w:rsidRPr="00D8608E" w14:paraId="0DEDC33F" w14:textId="77777777" w:rsidTr="00D8608E">
        <w:tc>
          <w:tcPr>
            <w:tcW w:w="1289" w:type="dxa"/>
            <w:tcMar>
              <w:top w:w="150" w:type="dxa"/>
              <w:left w:w="0" w:type="dxa"/>
              <w:bottom w:w="150" w:type="dxa"/>
              <w:right w:w="240" w:type="dxa"/>
            </w:tcMar>
            <w:vAlign w:val="center"/>
            <w:hideMark/>
          </w:tcPr>
          <w:p w14:paraId="3442571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&gt;72 hours</w:t>
            </w:r>
          </w:p>
        </w:tc>
        <w:tc>
          <w:tcPr>
            <w:tcW w:w="375" w:type="dxa"/>
            <w:tcMar>
              <w:top w:w="150" w:type="dxa"/>
              <w:left w:w="240" w:type="dxa"/>
              <w:bottom w:w="150" w:type="dxa"/>
              <w:right w:w="240" w:type="dxa"/>
            </w:tcMar>
            <w:vAlign w:val="center"/>
            <w:hideMark/>
          </w:tcPr>
          <w:p w14:paraId="701506F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40</w:t>
            </w:r>
          </w:p>
        </w:tc>
        <w:tc>
          <w:tcPr>
            <w:tcW w:w="375" w:type="dxa"/>
            <w:tcMar>
              <w:top w:w="150" w:type="dxa"/>
              <w:left w:w="240" w:type="dxa"/>
              <w:bottom w:w="150" w:type="dxa"/>
              <w:right w:w="0" w:type="dxa"/>
            </w:tcMar>
            <w:vAlign w:val="center"/>
            <w:hideMark/>
          </w:tcPr>
          <w:p w14:paraId="71BA2A18"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40</w:t>
            </w:r>
          </w:p>
        </w:tc>
      </w:tr>
    </w:tbl>
    <w:p w14:paraId="75680A58"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Interpretation:</w:t>
      </w:r>
      <w:r w:rsidRPr="00D8608E">
        <w:rPr>
          <w:rFonts w:ascii="Times New Roman" w:eastAsia="Times New Roman" w:hAnsi="Times New Roman" w:cs="Times New Roman"/>
          <w:color w:val="0F1115"/>
          <w:kern w:val="0"/>
          <w14:ligatures w14:val="none"/>
        </w:rPr>
        <w:t> A majority of children (77%) arrived at the hospital more than 24 hours after symptom onset, and 40% arrived after 72 hours. This delay significantly reduces the chances of survival, especially for conditions requiring urgent care (cholera, severe malaria, acute diarrhea).</w:t>
      </w:r>
    </w:p>
    <w:p w14:paraId="3361D698"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3.7. Distance to Health Facility and Transport Mode</w:t>
      </w:r>
    </w:p>
    <w:p w14:paraId="4B724C07"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Table 7</w:t>
      </w:r>
      <w:r w:rsidRPr="00D8608E">
        <w:rPr>
          <w:rFonts w:ascii="Times New Roman" w:eastAsia="Times New Roman" w:hAnsi="Times New Roman" w:cs="Times New Roman"/>
          <w:color w:val="0F1115"/>
          <w:kern w:val="0"/>
          <w14:ligatures w14:val="none"/>
        </w:rPr>
        <w:br/>
        <w:t>*Distance and Transport to Hospital (N = 100)*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44"/>
        <w:gridCol w:w="2281"/>
        <w:gridCol w:w="710"/>
        <w:gridCol w:w="672"/>
      </w:tblGrid>
      <w:tr w:rsidR="00921959" w:rsidRPr="00D8608E" w14:paraId="380F018C" w14:textId="77777777" w:rsidTr="00D8608E">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ADB74F7"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023326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1523B7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AC0231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w:t>
            </w:r>
          </w:p>
        </w:tc>
      </w:tr>
      <w:tr w:rsidR="00921959" w:rsidRPr="00D8608E" w14:paraId="756DB9B8" w14:textId="77777777" w:rsidTr="00D8608E">
        <w:tc>
          <w:tcPr>
            <w:tcW w:w="0" w:type="auto"/>
            <w:tcBorders>
              <w:top w:val="single" w:sz="4" w:space="0" w:color="auto"/>
            </w:tcBorders>
            <w:tcMar>
              <w:top w:w="150" w:type="dxa"/>
              <w:left w:w="0" w:type="dxa"/>
              <w:bottom w:w="150" w:type="dxa"/>
              <w:right w:w="240" w:type="dxa"/>
            </w:tcMar>
            <w:vAlign w:val="center"/>
            <w:hideMark/>
          </w:tcPr>
          <w:p w14:paraId="32BB29C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Distance</w:t>
            </w:r>
          </w:p>
        </w:tc>
        <w:tc>
          <w:tcPr>
            <w:tcW w:w="0" w:type="auto"/>
            <w:tcBorders>
              <w:top w:val="single" w:sz="4" w:space="0" w:color="auto"/>
            </w:tcBorders>
            <w:tcMar>
              <w:top w:w="150" w:type="dxa"/>
              <w:left w:w="240" w:type="dxa"/>
              <w:bottom w:w="150" w:type="dxa"/>
              <w:right w:w="240" w:type="dxa"/>
            </w:tcMar>
            <w:vAlign w:val="center"/>
            <w:hideMark/>
          </w:tcPr>
          <w:p w14:paraId="513DBF68"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&lt;5 km</w:t>
            </w:r>
          </w:p>
        </w:tc>
        <w:tc>
          <w:tcPr>
            <w:tcW w:w="0" w:type="auto"/>
            <w:tcBorders>
              <w:top w:val="single" w:sz="4" w:space="0" w:color="auto"/>
            </w:tcBorders>
            <w:tcMar>
              <w:top w:w="150" w:type="dxa"/>
              <w:left w:w="240" w:type="dxa"/>
              <w:bottom w:w="150" w:type="dxa"/>
              <w:right w:w="240" w:type="dxa"/>
            </w:tcMar>
            <w:vAlign w:val="center"/>
            <w:hideMark/>
          </w:tcPr>
          <w:p w14:paraId="48E4E10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29</w:t>
            </w:r>
          </w:p>
        </w:tc>
        <w:tc>
          <w:tcPr>
            <w:tcW w:w="0" w:type="auto"/>
            <w:tcBorders>
              <w:top w:val="single" w:sz="4" w:space="0" w:color="auto"/>
            </w:tcBorders>
            <w:tcMar>
              <w:top w:w="150" w:type="dxa"/>
              <w:left w:w="240" w:type="dxa"/>
              <w:bottom w:w="150" w:type="dxa"/>
              <w:right w:w="0" w:type="dxa"/>
            </w:tcMar>
            <w:vAlign w:val="center"/>
            <w:hideMark/>
          </w:tcPr>
          <w:p w14:paraId="0F98D69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29</w:t>
            </w:r>
          </w:p>
        </w:tc>
      </w:tr>
      <w:tr w:rsidR="00921959" w:rsidRPr="00D8608E" w14:paraId="03F636B0" w14:textId="77777777" w:rsidTr="00D8608E">
        <w:tc>
          <w:tcPr>
            <w:tcW w:w="0" w:type="auto"/>
            <w:tcMar>
              <w:top w:w="150" w:type="dxa"/>
              <w:left w:w="0" w:type="dxa"/>
              <w:bottom w:w="150" w:type="dxa"/>
              <w:right w:w="240" w:type="dxa"/>
            </w:tcMar>
            <w:vAlign w:val="center"/>
            <w:hideMark/>
          </w:tcPr>
          <w:p w14:paraId="0D7AB7A4"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7E3C25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5–10 km</w:t>
            </w:r>
          </w:p>
        </w:tc>
        <w:tc>
          <w:tcPr>
            <w:tcW w:w="0" w:type="auto"/>
            <w:tcMar>
              <w:top w:w="150" w:type="dxa"/>
              <w:left w:w="240" w:type="dxa"/>
              <w:bottom w:w="150" w:type="dxa"/>
              <w:right w:w="240" w:type="dxa"/>
            </w:tcMar>
            <w:vAlign w:val="center"/>
            <w:hideMark/>
          </w:tcPr>
          <w:p w14:paraId="37A3E43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33</w:t>
            </w:r>
          </w:p>
        </w:tc>
        <w:tc>
          <w:tcPr>
            <w:tcW w:w="0" w:type="auto"/>
            <w:tcMar>
              <w:top w:w="150" w:type="dxa"/>
              <w:left w:w="240" w:type="dxa"/>
              <w:bottom w:w="150" w:type="dxa"/>
              <w:right w:w="0" w:type="dxa"/>
            </w:tcMar>
            <w:vAlign w:val="center"/>
            <w:hideMark/>
          </w:tcPr>
          <w:p w14:paraId="2577E76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33</w:t>
            </w:r>
          </w:p>
        </w:tc>
      </w:tr>
      <w:tr w:rsidR="00921959" w:rsidRPr="00D8608E" w14:paraId="4A58164A" w14:textId="77777777" w:rsidTr="00D8608E">
        <w:tc>
          <w:tcPr>
            <w:tcW w:w="0" w:type="auto"/>
            <w:tcMar>
              <w:top w:w="150" w:type="dxa"/>
              <w:left w:w="0" w:type="dxa"/>
              <w:bottom w:w="150" w:type="dxa"/>
              <w:right w:w="240" w:type="dxa"/>
            </w:tcMar>
            <w:vAlign w:val="center"/>
            <w:hideMark/>
          </w:tcPr>
          <w:p w14:paraId="179CBB9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2D5EF97"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&gt;10 km</w:t>
            </w:r>
          </w:p>
        </w:tc>
        <w:tc>
          <w:tcPr>
            <w:tcW w:w="0" w:type="auto"/>
            <w:tcMar>
              <w:top w:w="150" w:type="dxa"/>
              <w:left w:w="240" w:type="dxa"/>
              <w:bottom w:w="150" w:type="dxa"/>
              <w:right w:w="240" w:type="dxa"/>
            </w:tcMar>
            <w:vAlign w:val="center"/>
            <w:hideMark/>
          </w:tcPr>
          <w:p w14:paraId="14555C3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38</w:t>
            </w:r>
          </w:p>
        </w:tc>
        <w:tc>
          <w:tcPr>
            <w:tcW w:w="0" w:type="auto"/>
            <w:tcMar>
              <w:top w:w="150" w:type="dxa"/>
              <w:left w:w="240" w:type="dxa"/>
              <w:bottom w:w="150" w:type="dxa"/>
              <w:right w:w="0" w:type="dxa"/>
            </w:tcMar>
            <w:vAlign w:val="center"/>
            <w:hideMark/>
          </w:tcPr>
          <w:p w14:paraId="29C01E5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38</w:t>
            </w:r>
          </w:p>
        </w:tc>
      </w:tr>
      <w:tr w:rsidR="00921959" w:rsidRPr="00D8608E" w14:paraId="0FDF463F" w14:textId="77777777" w:rsidTr="00D8608E">
        <w:tc>
          <w:tcPr>
            <w:tcW w:w="0" w:type="auto"/>
            <w:tcMar>
              <w:top w:w="150" w:type="dxa"/>
              <w:left w:w="0" w:type="dxa"/>
              <w:bottom w:w="150" w:type="dxa"/>
              <w:right w:w="240" w:type="dxa"/>
            </w:tcMar>
            <w:vAlign w:val="center"/>
            <w:hideMark/>
          </w:tcPr>
          <w:p w14:paraId="305C014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Transport mode</w:t>
            </w:r>
          </w:p>
        </w:tc>
        <w:tc>
          <w:tcPr>
            <w:tcW w:w="0" w:type="auto"/>
            <w:tcMar>
              <w:top w:w="150" w:type="dxa"/>
              <w:left w:w="240" w:type="dxa"/>
              <w:bottom w:w="150" w:type="dxa"/>
              <w:right w:w="240" w:type="dxa"/>
            </w:tcMar>
            <w:vAlign w:val="center"/>
            <w:hideMark/>
          </w:tcPr>
          <w:p w14:paraId="54AAE0C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Walking</w:t>
            </w:r>
          </w:p>
        </w:tc>
        <w:tc>
          <w:tcPr>
            <w:tcW w:w="0" w:type="auto"/>
            <w:tcMar>
              <w:top w:w="150" w:type="dxa"/>
              <w:left w:w="240" w:type="dxa"/>
              <w:bottom w:w="150" w:type="dxa"/>
              <w:right w:w="240" w:type="dxa"/>
            </w:tcMar>
            <w:vAlign w:val="center"/>
            <w:hideMark/>
          </w:tcPr>
          <w:p w14:paraId="3A7F260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47</w:t>
            </w:r>
          </w:p>
        </w:tc>
        <w:tc>
          <w:tcPr>
            <w:tcW w:w="0" w:type="auto"/>
            <w:tcMar>
              <w:top w:w="150" w:type="dxa"/>
              <w:left w:w="240" w:type="dxa"/>
              <w:bottom w:w="150" w:type="dxa"/>
              <w:right w:w="0" w:type="dxa"/>
            </w:tcMar>
            <w:vAlign w:val="center"/>
            <w:hideMark/>
          </w:tcPr>
          <w:p w14:paraId="3AE21F8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47</w:t>
            </w:r>
          </w:p>
        </w:tc>
      </w:tr>
      <w:tr w:rsidR="00921959" w:rsidRPr="00D8608E" w14:paraId="1B60D2EA" w14:textId="77777777" w:rsidTr="00D8608E">
        <w:tc>
          <w:tcPr>
            <w:tcW w:w="0" w:type="auto"/>
            <w:tcMar>
              <w:top w:w="150" w:type="dxa"/>
              <w:left w:w="0" w:type="dxa"/>
              <w:bottom w:w="150" w:type="dxa"/>
              <w:right w:w="240" w:type="dxa"/>
            </w:tcMar>
            <w:vAlign w:val="center"/>
            <w:hideMark/>
          </w:tcPr>
          <w:p w14:paraId="0396A31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4FACE9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Bicycle/motorcycle</w:t>
            </w:r>
          </w:p>
        </w:tc>
        <w:tc>
          <w:tcPr>
            <w:tcW w:w="0" w:type="auto"/>
            <w:tcMar>
              <w:top w:w="150" w:type="dxa"/>
              <w:left w:w="240" w:type="dxa"/>
              <w:bottom w:w="150" w:type="dxa"/>
              <w:right w:w="240" w:type="dxa"/>
            </w:tcMar>
            <w:vAlign w:val="center"/>
            <w:hideMark/>
          </w:tcPr>
          <w:p w14:paraId="64D55E8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35</w:t>
            </w:r>
          </w:p>
        </w:tc>
        <w:tc>
          <w:tcPr>
            <w:tcW w:w="0" w:type="auto"/>
            <w:tcMar>
              <w:top w:w="150" w:type="dxa"/>
              <w:left w:w="240" w:type="dxa"/>
              <w:bottom w:w="150" w:type="dxa"/>
              <w:right w:w="0" w:type="dxa"/>
            </w:tcMar>
            <w:vAlign w:val="center"/>
            <w:hideMark/>
          </w:tcPr>
          <w:p w14:paraId="68979CA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35</w:t>
            </w:r>
          </w:p>
        </w:tc>
      </w:tr>
      <w:tr w:rsidR="00921959" w:rsidRPr="00D8608E" w14:paraId="56C1221A" w14:textId="77777777" w:rsidTr="00D8608E">
        <w:tc>
          <w:tcPr>
            <w:tcW w:w="0" w:type="auto"/>
            <w:tcMar>
              <w:top w:w="150" w:type="dxa"/>
              <w:left w:w="0" w:type="dxa"/>
              <w:bottom w:w="150" w:type="dxa"/>
              <w:right w:w="240" w:type="dxa"/>
            </w:tcMar>
            <w:vAlign w:val="center"/>
            <w:hideMark/>
          </w:tcPr>
          <w:p w14:paraId="6C88093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9D745C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Vehicle</w:t>
            </w:r>
          </w:p>
        </w:tc>
        <w:tc>
          <w:tcPr>
            <w:tcW w:w="0" w:type="auto"/>
            <w:tcMar>
              <w:top w:w="150" w:type="dxa"/>
              <w:left w:w="240" w:type="dxa"/>
              <w:bottom w:w="150" w:type="dxa"/>
              <w:right w:w="240" w:type="dxa"/>
            </w:tcMar>
            <w:vAlign w:val="center"/>
            <w:hideMark/>
          </w:tcPr>
          <w:p w14:paraId="129C83E4"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0" w:type="dxa"/>
            </w:tcMar>
            <w:vAlign w:val="center"/>
            <w:hideMark/>
          </w:tcPr>
          <w:p w14:paraId="197C75D5"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18</w:t>
            </w:r>
          </w:p>
        </w:tc>
      </w:tr>
    </w:tbl>
    <w:p w14:paraId="4A46225A"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lastRenderedPageBreak/>
        <w:t>Interpretation:</w:t>
      </w:r>
      <w:r w:rsidRPr="00D8608E">
        <w:rPr>
          <w:rFonts w:ascii="Times New Roman" w:eastAsia="Times New Roman" w:hAnsi="Times New Roman" w:cs="Times New Roman"/>
          <w:color w:val="0F1115"/>
          <w:kern w:val="0"/>
          <w14:ligatures w14:val="none"/>
        </w:rPr>
        <w:t> Long distances (&gt;10 km) were reported by 38% of families, and 47% traveled by foot, contributing to delays in reaching care.</w:t>
      </w:r>
    </w:p>
    <w:p w14:paraId="7FA0A78A"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3.8. Antenatal Care Attendance</w:t>
      </w:r>
    </w:p>
    <w:p w14:paraId="514858F6"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Table 8</w:t>
      </w:r>
      <w:r w:rsidRPr="00D8608E">
        <w:rPr>
          <w:rFonts w:ascii="Times New Roman" w:eastAsia="Times New Roman" w:hAnsi="Times New Roman" w:cs="Times New Roman"/>
          <w:color w:val="0F1115"/>
          <w:kern w:val="0"/>
          <w14:ligatures w14:val="none"/>
        </w:rPr>
        <w:br/>
        <w:t>*Number of Antenatal Care Visits by Mothers (N = 100)*</w:t>
      </w:r>
    </w:p>
    <w:tbl>
      <w:tblPr>
        <w:tblW w:w="1924"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726"/>
        <w:gridCol w:w="710"/>
        <w:gridCol w:w="672"/>
      </w:tblGrid>
      <w:tr w:rsidR="00921959" w:rsidRPr="00D8608E" w14:paraId="5CF2A310" w14:textId="77777777" w:rsidTr="00D8608E">
        <w:trPr>
          <w:tblHeader/>
        </w:trPr>
        <w:tc>
          <w:tcPr>
            <w:tcW w:w="1174" w:type="dxa"/>
            <w:tcBorders>
              <w:top w:val="single" w:sz="4" w:space="0" w:color="auto"/>
              <w:bottom w:val="single" w:sz="4" w:space="0" w:color="auto"/>
            </w:tcBorders>
            <w:tcMar>
              <w:top w:w="150" w:type="dxa"/>
              <w:left w:w="0" w:type="dxa"/>
              <w:bottom w:w="150" w:type="dxa"/>
              <w:right w:w="240" w:type="dxa"/>
            </w:tcMar>
            <w:vAlign w:val="center"/>
            <w:hideMark/>
          </w:tcPr>
          <w:p w14:paraId="5F89AA8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ANC visits</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3F611DF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n</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0BC69945"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w:t>
            </w:r>
          </w:p>
        </w:tc>
      </w:tr>
      <w:tr w:rsidR="00921959" w:rsidRPr="00D8608E" w14:paraId="17010699" w14:textId="77777777" w:rsidTr="00D8608E">
        <w:tc>
          <w:tcPr>
            <w:tcW w:w="1174" w:type="dxa"/>
            <w:tcBorders>
              <w:top w:val="single" w:sz="4" w:space="0" w:color="auto"/>
            </w:tcBorders>
            <w:tcMar>
              <w:top w:w="150" w:type="dxa"/>
              <w:left w:w="0" w:type="dxa"/>
              <w:bottom w:w="150" w:type="dxa"/>
              <w:right w:w="240" w:type="dxa"/>
            </w:tcMar>
            <w:vAlign w:val="center"/>
            <w:hideMark/>
          </w:tcPr>
          <w:p w14:paraId="6366831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0–1 visits</w:t>
            </w:r>
          </w:p>
        </w:tc>
        <w:tc>
          <w:tcPr>
            <w:tcW w:w="375" w:type="dxa"/>
            <w:tcBorders>
              <w:top w:val="single" w:sz="4" w:space="0" w:color="auto"/>
            </w:tcBorders>
            <w:tcMar>
              <w:top w:w="150" w:type="dxa"/>
              <w:left w:w="240" w:type="dxa"/>
              <w:bottom w:w="150" w:type="dxa"/>
              <w:right w:w="240" w:type="dxa"/>
            </w:tcMar>
            <w:vAlign w:val="center"/>
            <w:hideMark/>
          </w:tcPr>
          <w:p w14:paraId="6EBFE0D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42</w:t>
            </w:r>
          </w:p>
        </w:tc>
        <w:tc>
          <w:tcPr>
            <w:tcW w:w="375" w:type="dxa"/>
            <w:tcBorders>
              <w:top w:val="single" w:sz="4" w:space="0" w:color="auto"/>
            </w:tcBorders>
            <w:tcMar>
              <w:top w:w="150" w:type="dxa"/>
              <w:left w:w="240" w:type="dxa"/>
              <w:bottom w:w="150" w:type="dxa"/>
              <w:right w:w="0" w:type="dxa"/>
            </w:tcMar>
            <w:vAlign w:val="center"/>
            <w:hideMark/>
          </w:tcPr>
          <w:p w14:paraId="5222AAD8"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42</w:t>
            </w:r>
          </w:p>
        </w:tc>
      </w:tr>
      <w:tr w:rsidR="00921959" w:rsidRPr="00D8608E" w14:paraId="65406AB5" w14:textId="77777777" w:rsidTr="00D8608E">
        <w:tc>
          <w:tcPr>
            <w:tcW w:w="1174" w:type="dxa"/>
            <w:tcMar>
              <w:top w:w="150" w:type="dxa"/>
              <w:left w:w="0" w:type="dxa"/>
              <w:bottom w:w="150" w:type="dxa"/>
              <w:right w:w="240" w:type="dxa"/>
            </w:tcMar>
            <w:vAlign w:val="center"/>
            <w:hideMark/>
          </w:tcPr>
          <w:p w14:paraId="1D66E52A"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2–3 visits</w:t>
            </w:r>
          </w:p>
        </w:tc>
        <w:tc>
          <w:tcPr>
            <w:tcW w:w="375" w:type="dxa"/>
            <w:tcMar>
              <w:top w:w="150" w:type="dxa"/>
              <w:left w:w="240" w:type="dxa"/>
              <w:bottom w:w="150" w:type="dxa"/>
              <w:right w:w="240" w:type="dxa"/>
            </w:tcMar>
            <w:vAlign w:val="center"/>
            <w:hideMark/>
          </w:tcPr>
          <w:p w14:paraId="0F723DF9"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38</w:t>
            </w:r>
          </w:p>
        </w:tc>
        <w:tc>
          <w:tcPr>
            <w:tcW w:w="375" w:type="dxa"/>
            <w:tcMar>
              <w:top w:w="150" w:type="dxa"/>
              <w:left w:w="240" w:type="dxa"/>
              <w:bottom w:w="150" w:type="dxa"/>
              <w:right w:w="0" w:type="dxa"/>
            </w:tcMar>
            <w:vAlign w:val="center"/>
            <w:hideMark/>
          </w:tcPr>
          <w:p w14:paraId="2CC0386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38</w:t>
            </w:r>
          </w:p>
        </w:tc>
      </w:tr>
      <w:tr w:rsidR="00921959" w:rsidRPr="00D8608E" w14:paraId="6AD7EED2" w14:textId="77777777" w:rsidTr="00D8608E">
        <w:tc>
          <w:tcPr>
            <w:tcW w:w="1174" w:type="dxa"/>
            <w:tcMar>
              <w:top w:w="150" w:type="dxa"/>
              <w:left w:w="0" w:type="dxa"/>
              <w:bottom w:w="150" w:type="dxa"/>
              <w:right w:w="240" w:type="dxa"/>
            </w:tcMar>
            <w:vAlign w:val="center"/>
            <w:hideMark/>
          </w:tcPr>
          <w:p w14:paraId="734A90C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 visits</w:t>
            </w:r>
          </w:p>
        </w:tc>
        <w:tc>
          <w:tcPr>
            <w:tcW w:w="375" w:type="dxa"/>
            <w:tcMar>
              <w:top w:w="150" w:type="dxa"/>
              <w:left w:w="240" w:type="dxa"/>
              <w:bottom w:w="150" w:type="dxa"/>
              <w:right w:w="240" w:type="dxa"/>
            </w:tcMar>
            <w:vAlign w:val="center"/>
            <w:hideMark/>
          </w:tcPr>
          <w:p w14:paraId="0EA1C34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20</w:t>
            </w:r>
          </w:p>
        </w:tc>
        <w:tc>
          <w:tcPr>
            <w:tcW w:w="375" w:type="dxa"/>
            <w:tcMar>
              <w:top w:w="150" w:type="dxa"/>
              <w:left w:w="240" w:type="dxa"/>
              <w:bottom w:w="150" w:type="dxa"/>
              <w:right w:w="0" w:type="dxa"/>
            </w:tcMar>
            <w:vAlign w:val="center"/>
            <w:hideMark/>
          </w:tcPr>
          <w:p w14:paraId="6ECDDE59"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20</w:t>
            </w:r>
          </w:p>
        </w:tc>
      </w:tr>
    </w:tbl>
    <w:p w14:paraId="78F1DD1B"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Interpretation:</w:t>
      </w:r>
      <w:r w:rsidRPr="00D8608E">
        <w:rPr>
          <w:rFonts w:ascii="Times New Roman" w:eastAsia="Times New Roman" w:hAnsi="Times New Roman" w:cs="Times New Roman"/>
          <w:color w:val="0F1115"/>
          <w:kern w:val="0"/>
          <w14:ligatures w14:val="none"/>
        </w:rPr>
        <w:t> Only 20% of mothers attended the recommended four ANC visits. Poor ANC attendance is associated with inadequate maternal health education and missed opportunities for preventive interventions.</w:t>
      </w:r>
    </w:p>
    <w:p w14:paraId="71BC4785"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3.9. Health System Factors</w:t>
      </w:r>
    </w:p>
    <w:p w14:paraId="5F10BD1D"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Table 9</w:t>
      </w:r>
      <w:r w:rsidRPr="00D8608E">
        <w:rPr>
          <w:rFonts w:ascii="Times New Roman" w:eastAsia="Times New Roman" w:hAnsi="Times New Roman" w:cs="Times New Roman"/>
          <w:color w:val="0F1115"/>
          <w:kern w:val="0"/>
          <w14:ligatures w14:val="none"/>
        </w:rPr>
        <w:br/>
        <w:t>*Health System Factors at the Time of Admission (N = 100)*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179"/>
        <w:gridCol w:w="2595"/>
        <w:gridCol w:w="710"/>
        <w:gridCol w:w="672"/>
      </w:tblGrid>
      <w:tr w:rsidR="00921959" w:rsidRPr="00D8608E" w14:paraId="1F48C404" w14:textId="77777777" w:rsidTr="00D8608E">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033EED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35F21ED"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3A536D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434F93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w:t>
            </w:r>
          </w:p>
        </w:tc>
      </w:tr>
      <w:tr w:rsidR="00921959" w:rsidRPr="00D8608E" w14:paraId="720D1E28" w14:textId="77777777" w:rsidTr="00D8608E">
        <w:tc>
          <w:tcPr>
            <w:tcW w:w="0" w:type="auto"/>
            <w:tcBorders>
              <w:top w:val="single" w:sz="4" w:space="0" w:color="auto"/>
            </w:tcBorders>
            <w:tcMar>
              <w:top w:w="150" w:type="dxa"/>
              <w:left w:w="0" w:type="dxa"/>
              <w:bottom w:w="150" w:type="dxa"/>
              <w:right w:w="240" w:type="dxa"/>
            </w:tcMar>
            <w:vAlign w:val="center"/>
            <w:hideMark/>
          </w:tcPr>
          <w:p w14:paraId="4594808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Availability of medicines</w:t>
            </w:r>
          </w:p>
        </w:tc>
        <w:tc>
          <w:tcPr>
            <w:tcW w:w="0" w:type="auto"/>
            <w:tcBorders>
              <w:top w:val="single" w:sz="4" w:space="0" w:color="auto"/>
            </w:tcBorders>
            <w:tcMar>
              <w:top w:w="150" w:type="dxa"/>
              <w:left w:w="240" w:type="dxa"/>
              <w:bottom w:w="150" w:type="dxa"/>
              <w:right w:w="240" w:type="dxa"/>
            </w:tcMar>
            <w:vAlign w:val="center"/>
            <w:hideMark/>
          </w:tcPr>
          <w:p w14:paraId="6D149CC7"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Sufficient</w:t>
            </w:r>
          </w:p>
        </w:tc>
        <w:tc>
          <w:tcPr>
            <w:tcW w:w="0" w:type="auto"/>
            <w:tcBorders>
              <w:top w:val="single" w:sz="4" w:space="0" w:color="auto"/>
            </w:tcBorders>
            <w:tcMar>
              <w:top w:w="150" w:type="dxa"/>
              <w:left w:w="240" w:type="dxa"/>
              <w:bottom w:w="150" w:type="dxa"/>
              <w:right w:w="240" w:type="dxa"/>
            </w:tcMar>
            <w:vAlign w:val="center"/>
            <w:hideMark/>
          </w:tcPr>
          <w:p w14:paraId="4ACF6C4A"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34</w:t>
            </w:r>
          </w:p>
        </w:tc>
        <w:tc>
          <w:tcPr>
            <w:tcW w:w="0" w:type="auto"/>
            <w:tcBorders>
              <w:top w:val="single" w:sz="4" w:space="0" w:color="auto"/>
            </w:tcBorders>
            <w:tcMar>
              <w:top w:w="150" w:type="dxa"/>
              <w:left w:w="240" w:type="dxa"/>
              <w:bottom w:w="150" w:type="dxa"/>
              <w:right w:w="0" w:type="dxa"/>
            </w:tcMar>
            <w:vAlign w:val="center"/>
            <w:hideMark/>
          </w:tcPr>
          <w:p w14:paraId="127A1F3D"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34</w:t>
            </w:r>
          </w:p>
        </w:tc>
      </w:tr>
      <w:tr w:rsidR="00921959" w:rsidRPr="00D8608E" w14:paraId="4D30549B" w14:textId="77777777" w:rsidTr="00D8608E">
        <w:tc>
          <w:tcPr>
            <w:tcW w:w="0" w:type="auto"/>
            <w:tcMar>
              <w:top w:w="150" w:type="dxa"/>
              <w:left w:w="0" w:type="dxa"/>
              <w:bottom w:w="150" w:type="dxa"/>
              <w:right w:w="240" w:type="dxa"/>
            </w:tcMar>
            <w:vAlign w:val="center"/>
            <w:hideMark/>
          </w:tcPr>
          <w:p w14:paraId="7C4ACAC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C533ECA"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Insufficient</w:t>
            </w:r>
          </w:p>
        </w:tc>
        <w:tc>
          <w:tcPr>
            <w:tcW w:w="0" w:type="auto"/>
            <w:tcMar>
              <w:top w:w="150" w:type="dxa"/>
              <w:left w:w="240" w:type="dxa"/>
              <w:bottom w:w="150" w:type="dxa"/>
              <w:right w:w="240" w:type="dxa"/>
            </w:tcMar>
            <w:vAlign w:val="center"/>
            <w:hideMark/>
          </w:tcPr>
          <w:p w14:paraId="009CB24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66</w:t>
            </w:r>
          </w:p>
        </w:tc>
        <w:tc>
          <w:tcPr>
            <w:tcW w:w="0" w:type="auto"/>
            <w:tcMar>
              <w:top w:w="150" w:type="dxa"/>
              <w:left w:w="240" w:type="dxa"/>
              <w:bottom w:w="150" w:type="dxa"/>
              <w:right w:w="0" w:type="dxa"/>
            </w:tcMar>
            <w:vAlign w:val="center"/>
            <w:hideMark/>
          </w:tcPr>
          <w:p w14:paraId="166F76E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66</w:t>
            </w:r>
          </w:p>
        </w:tc>
      </w:tr>
      <w:tr w:rsidR="00921959" w:rsidRPr="00D8608E" w14:paraId="3B0525F2" w14:textId="77777777" w:rsidTr="00D8608E">
        <w:tc>
          <w:tcPr>
            <w:tcW w:w="0" w:type="auto"/>
            <w:tcMar>
              <w:top w:w="150" w:type="dxa"/>
              <w:left w:w="0" w:type="dxa"/>
              <w:bottom w:w="150" w:type="dxa"/>
              <w:right w:w="240" w:type="dxa"/>
            </w:tcMar>
            <w:vAlign w:val="center"/>
            <w:hideMark/>
          </w:tcPr>
          <w:p w14:paraId="522A8C7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Staff qualification</w:t>
            </w:r>
          </w:p>
        </w:tc>
        <w:tc>
          <w:tcPr>
            <w:tcW w:w="0" w:type="auto"/>
            <w:tcMar>
              <w:top w:w="150" w:type="dxa"/>
              <w:left w:w="240" w:type="dxa"/>
              <w:bottom w:w="150" w:type="dxa"/>
              <w:right w:w="240" w:type="dxa"/>
            </w:tcMar>
            <w:vAlign w:val="center"/>
            <w:hideMark/>
          </w:tcPr>
          <w:p w14:paraId="455CBFA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Qualified</w:t>
            </w:r>
          </w:p>
        </w:tc>
        <w:tc>
          <w:tcPr>
            <w:tcW w:w="0" w:type="auto"/>
            <w:tcMar>
              <w:top w:w="150" w:type="dxa"/>
              <w:left w:w="240" w:type="dxa"/>
              <w:bottom w:w="150" w:type="dxa"/>
              <w:right w:w="240" w:type="dxa"/>
            </w:tcMar>
            <w:vAlign w:val="center"/>
            <w:hideMark/>
          </w:tcPr>
          <w:p w14:paraId="12302EA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57</w:t>
            </w:r>
          </w:p>
        </w:tc>
        <w:tc>
          <w:tcPr>
            <w:tcW w:w="0" w:type="auto"/>
            <w:tcMar>
              <w:top w:w="150" w:type="dxa"/>
              <w:left w:w="240" w:type="dxa"/>
              <w:bottom w:w="150" w:type="dxa"/>
              <w:right w:w="0" w:type="dxa"/>
            </w:tcMar>
            <w:vAlign w:val="center"/>
            <w:hideMark/>
          </w:tcPr>
          <w:p w14:paraId="5D7A61C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57</w:t>
            </w:r>
          </w:p>
        </w:tc>
      </w:tr>
      <w:tr w:rsidR="00921959" w:rsidRPr="00D8608E" w14:paraId="378F0535" w14:textId="77777777" w:rsidTr="00D8608E">
        <w:tc>
          <w:tcPr>
            <w:tcW w:w="0" w:type="auto"/>
            <w:tcMar>
              <w:top w:w="150" w:type="dxa"/>
              <w:left w:w="0" w:type="dxa"/>
              <w:bottom w:w="150" w:type="dxa"/>
              <w:right w:w="240" w:type="dxa"/>
            </w:tcMar>
            <w:vAlign w:val="center"/>
            <w:hideMark/>
          </w:tcPr>
          <w:p w14:paraId="4F8D7FE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2712D65"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Insufficiently qualified</w:t>
            </w:r>
          </w:p>
        </w:tc>
        <w:tc>
          <w:tcPr>
            <w:tcW w:w="0" w:type="auto"/>
            <w:tcMar>
              <w:top w:w="150" w:type="dxa"/>
              <w:left w:w="240" w:type="dxa"/>
              <w:bottom w:w="150" w:type="dxa"/>
              <w:right w:w="240" w:type="dxa"/>
            </w:tcMar>
            <w:vAlign w:val="center"/>
            <w:hideMark/>
          </w:tcPr>
          <w:p w14:paraId="4AE7390F"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43</w:t>
            </w:r>
          </w:p>
        </w:tc>
        <w:tc>
          <w:tcPr>
            <w:tcW w:w="0" w:type="auto"/>
            <w:tcMar>
              <w:top w:w="150" w:type="dxa"/>
              <w:left w:w="240" w:type="dxa"/>
              <w:bottom w:w="150" w:type="dxa"/>
              <w:right w:w="0" w:type="dxa"/>
            </w:tcMar>
            <w:vAlign w:val="center"/>
            <w:hideMark/>
          </w:tcPr>
          <w:p w14:paraId="2384C53A"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43</w:t>
            </w:r>
          </w:p>
        </w:tc>
      </w:tr>
      <w:tr w:rsidR="00921959" w:rsidRPr="00D8608E" w14:paraId="55AF96EE" w14:textId="77777777" w:rsidTr="00D8608E">
        <w:tc>
          <w:tcPr>
            <w:tcW w:w="0" w:type="auto"/>
            <w:tcMar>
              <w:top w:w="150" w:type="dxa"/>
              <w:left w:w="0" w:type="dxa"/>
              <w:bottom w:w="150" w:type="dxa"/>
              <w:right w:w="240" w:type="dxa"/>
            </w:tcMar>
            <w:vAlign w:val="center"/>
            <w:hideMark/>
          </w:tcPr>
          <w:p w14:paraId="04C7928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Time to death after admission</w:t>
            </w:r>
          </w:p>
        </w:tc>
        <w:tc>
          <w:tcPr>
            <w:tcW w:w="0" w:type="auto"/>
            <w:tcMar>
              <w:top w:w="150" w:type="dxa"/>
              <w:left w:w="240" w:type="dxa"/>
              <w:bottom w:w="150" w:type="dxa"/>
              <w:right w:w="240" w:type="dxa"/>
            </w:tcMar>
            <w:vAlign w:val="center"/>
            <w:hideMark/>
          </w:tcPr>
          <w:p w14:paraId="774C26F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&lt;24 hours</w:t>
            </w:r>
          </w:p>
        </w:tc>
        <w:tc>
          <w:tcPr>
            <w:tcW w:w="0" w:type="auto"/>
            <w:tcMar>
              <w:top w:w="150" w:type="dxa"/>
              <w:left w:w="240" w:type="dxa"/>
              <w:bottom w:w="150" w:type="dxa"/>
              <w:right w:w="240" w:type="dxa"/>
            </w:tcMar>
            <w:vAlign w:val="center"/>
            <w:hideMark/>
          </w:tcPr>
          <w:p w14:paraId="3F7EE1B7"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36</w:t>
            </w:r>
          </w:p>
        </w:tc>
        <w:tc>
          <w:tcPr>
            <w:tcW w:w="0" w:type="auto"/>
            <w:tcMar>
              <w:top w:w="150" w:type="dxa"/>
              <w:left w:w="240" w:type="dxa"/>
              <w:bottom w:w="150" w:type="dxa"/>
              <w:right w:w="0" w:type="dxa"/>
            </w:tcMar>
            <w:vAlign w:val="center"/>
            <w:hideMark/>
          </w:tcPr>
          <w:p w14:paraId="01A5EE3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36</w:t>
            </w:r>
          </w:p>
        </w:tc>
      </w:tr>
      <w:tr w:rsidR="00921959" w:rsidRPr="00D8608E" w14:paraId="2D163EB9" w14:textId="77777777" w:rsidTr="00D8608E">
        <w:tc>
          <w:tcPr>
            <w:tcW w:w="0" w:type="auto"/>
            <w:tcMar>
              <w:top w:w="150" w:type="dxa"/>
              <w:left w:w="0" w:type="dxa"/>
              <w:bottom w:w="150" w:type="dxa"/>
              <w:right w:w="240" w:type="dxa"/>
            </w:tcMar>
            <w:vAlign w:val="center"/>
            <w:hideMark/>
          </w:tcPr>
          <w:p w14:paraId="4C3E0D17"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3890E7D"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1–3 days</w:t>
            </w:r>
          </w:p>
        </w:tc>
        <w:tc>
          <w:tcPr>
            <w:tcW w:w="0" w:type="auto"/>
            <w:tcMar>
              <w:top w:w="150" w:type="dxa"/>
              <w:left w:w="240" w:type="dxa"/>
              <w:bottom w:w="150" w:type="dxa"/>
              <w:right w:w="240" w:type="dxa"/>
            </w:tcMar>
            <w:vAlign w:val="center"/>
            <w:hideMark/>
          </w:tcPr>
          <w:p w14:paraId="3BFD90CD"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41</w:t>
            </w:r>
          </w:p>
        </w:tc>
        <w:tc>
          <w:tcPr>
            <w:tcW w:w="0" w:type="auto"/>
            <w:tcMar>
              <w:top w:w="150" w:type="dxa"/>
              <w:left w:w="240" w:type="dxa"/>
              <w:bottom w:w="150" w:type="dxa"/>
              <w:right w:w="0" w:type="dxa"/>
            </w:tcMar>
            <w:vAlign w:val="center"/>
            <w:hideMark/>
          </w:tcPr>
          <w:p w14:paraId="09A8D594"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41</w:t>
            </w:r>
          </w:p>
        </w:tc>
      </w:tr>
      <w:tr w:rsidR="00921959" w:rsidRPr="00D8608E" w14:paraId="6CFA87CD" w14:textId="77777777" w:rsidTr="00D8608E">
        <w:tc>
          <w:tcPr>
            <w:tcW w:w="0" w:type="auto"/>
            <w:tcMar>
              <w:top w:w="150" w:type="dxa"/>
              <w:left w:w="0" w:type="dxa"/>
              <w:bottom w:w="150" w:type="dxa"/>
              <w:right w:w="240" w:type="dxa"/>
            </w:tcMar>
            <w:vAlign w:val="center"/>
            <w:hideMark/>
          </w:tcPr>
          <w:p w14:paraId="4970FC4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E8AE4B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&gt;3 days</w:t>
            </w:r>
          </w:p>
        </w:tc>
        <w:tc>
          <w:tcPr>
            <w:tcW w:w="0" w:type="auto"/>
            <w:tcMar>
              <w:top w:w="150" w:type="dxa"/>
              <w:left w:w="240" w:type="dxa"/>
              <w:bottom w:w="150" w:type="dxa"/>
              <w:right w:w="240" w:type="dxa"/>
            </w:tcMar>
            <w:vAlign w:val="center"/>
            <w:hideMark/>
          </w:tcPr>
          <w:p w14:paraId="01743D49"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23</w:t>
            </w:r>
          </w:p>
        </w:tc>
        <w:tc>
          <w:tcPr>
            <w:tcW w:w="0" w:type="auto"/>
            <w:tcMar>
              <w:top w:w="150" w:type="dxa"/>
              <w:left w:w="240" w:type="dxa"/>
              <w:bottom w:w="150" w:type="dxa"/>
              <w:right w:w="0" w:type="dxa"/>
            </w:tcMar>
            <w:vAlign w:val="center"/>
            <w:hideMark/>
          </w:tcPr>
          <w:p w14:paraId="635FCAF8"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23</w:t>
            </w:r>
          </w:p>
        </w:tc>
      </w:tr>
    </w:tbl>
    <w:p w14:paraId="6238A481"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Interpretation:</w:t>
      </w:r>
      <w:r w:rsidRPr="00D8608E">
        <w:rPr>
          <w:rFonts w:ascii="Times New Roman" w:eastAsia="Times New Roman" w:hAnsi="Times New Roman" w:cs="Times New Roman"/>
          <w:color w:val="0F1115"/>
          <w:kern w:val="0"/>
          <w14:ligatures w14:val="none"/>
        </w:rPr>
        <w:t> Insufficient medicine availability was reported in 66% of cases, compromising the quality of care. A significant proportion of deaths (41%) occurred within 1–3 days of admission, reflecting the severity of illness at presentation.</w:t>
      </w:r>
    </w:p>
    <w:p w14:paraId="320BCB65"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3.10. Factors Associated with Mortality from Specific Causes</w:t>
      </w:r>
    </w:p>
    <w:p w14:paraId="0986B610"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Chi-square analysis revealed significant associations between selected factors and mortality from specific causes (Table 10).</w:t>
      </w:r>
    </w:p>
    <w:p w14:paraId="10034B86"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Table 10</w:t>
      </w:r>
      <w:r w:rsidRPr="00D8608E">
        <w:rPr>
          <w:rFonts w:ascii="Times New Roman" w:eastAsia="Times New Roman" w:hAnsi="Times New Roman" w:cs="Times New Roman"/>
          <w:color w:val="0F1115"/>
          <w:kern w:val="0"/>
          <w14:ligatures w14:val="none"/>
        </w:rPr>
        <w:br/>
      </w:r>
      <w:r w:rsidRPr="00D8608E">
        <w:rPr>
          <w:rFonts w:ascii="Times New Roman" w:eastAsia="Times New Roman" w:hAnsi="Times New Roman" w:cs="Times New Roman"/>
          <w:i/>
          <w:iCs/>
          <w:color w:val="0F1115"/>
          <w:kern w:val="0"/>
          <w14:ligatures w14:val="none"/>
        </w:rPr>
        <w:t>Factors Associated with Mortality from Leading Causes</w:t>
      </w:r>
    </w:p>
    <w:tbl>
      <w:tblPr>
        <w:tblW w:w="5571"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91"/>
        <w:gridCol w:w="2301"/>
        <w:gridCol w:w="979"/>
      </w:tblGrid>
      <w:tr w:rsidR="00921959" w:rsidRPr="00D8608E" w14:paraId="7A165DBD" w14:textId="77777777" w:rsidTr="00D8608E">
        <w:trPr>
          <w:tblHeader/>
        </w:trPr>
        <w:tc>
          <w:tcPr>
            <w:tcW w:w="2381" w:type="dxa"/>
            <w:tcBorders>
              <w:top w:val="single" w:sz="4" w:space="0" w:color="auto"/>
              <w:bottom w:val="single" w:sz="4" w:space="0" w:color="auto"/>
            </w:tcBorders>
            <w:tcMar>
              <w:top w:w="150" w:type="dxa"/>
              <w:left w:w="0" w:type="dxa"/>
              <w:bottom w:w="150" w:type="dxa"/>
              <w:right w:w="240" w:type="dxa"/>
            </w:tcMar>
            <w:vAlign w:val="center"/>
            <w:hideMark/>
          </w:tcPr>
          <w:p w14:paraId="697500A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Factor</w:t>
            </w:r>
          </w:p>
        </w:tc>
        <w:tc>
          <w:tcPr>
            <w:tcW w:w="2355" w:type="dxa"/>
            <w:tcBorders>
              <w:top w:val="single" w:sz="4" w:space="0" w:color="auto"/>
              <w:bottom w:val="single" w:sz="4" w:space="0" w:color="auto"/>
            </w:tcBorders>
            <w:tcMar>
              <w:top w:w="150" w:type="dxa"/>
              <w:left w:w="240" w:type="dxa"/>
              <w:bottom w:w="150" w:type="dxa"/>
              <w:right w:w="240" w:type="dxa"/>
            </w:tcMar>
            <w:vAlign w:val="center"/>
            <w:hideMark/>
          </w:tcPr>
          <w:p w14:paraId="48A64674"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Associated cause</w:t>
            </w:r>
          </w:p>
        </w:tc>
        <w:tc>
          <w:tcPr>
            <w:tcW w:w="835" w:type="dxa"/>
            <w:tcBorders>
              <w:top w:val="single" w:sz="4" w:space="0" w:color="auto"/>
              <w:bottom w:val="single" w:sz="4" w:space="0" w:color="auto"/>
            </w:tcBorders>
            <w:tcMar>
              <w:top w:w="150" w:type="dxa"/>
              <w:left w:w="240" w:type="dxa"/>
              <w:bottom w:w="150" w:type="dxa"/>
              <w:right w:w="240" w:type="dxa"/>
            </w:tcMar>
            <w:vAlign w:val="center"/>
            <w:hideMark/>
          </w:tcPr>
          <w:p w14:paraId="2DE9B6C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p-value</w:t>
            </w:r>
          </w:p>
        </w:tc>
      </w:tr>
      <w:tr w:rsidR="00921959" w:rsidRPr="00D8608E" w14:paraId="176B5761" w14:textId="77777777" w:rsidTr="00D8608E">
        <w:tc>
          <w:tcPr>
            <w:tcW w:w="2381" w:type="dxa"/>
            <w:tcBorders>
              <w:top w:val="single" w:sz="4" w:space="0" w:color="auto"/>
            </w:tcBorders>
            <w:tcMar>
              <w:top w:w="150" w:type="dxa"/>
              <w:left w:w="0" w:type="dxa"/>
              <w:bottom w:w="150" w:type="dxa"/>
              <w:right w:w="240" w:type="dxa"/>
            </w:tcMar>
            <w:vAlign w:val="center"/>
            <w:hideMark/>
          </w:tcPr>
          <w:p w14:paraId="47170D4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Lack of clean water</w:t>
            </w:r>
          </w:p>
        </w:tc>
        <w:tc>
          <w:tcPr>
            <w:tcW w:w="2355" w:type="dxa"/>
            <w:tcBorders>
              <w:top w:val="single" w:sz="4" w:space="0" w:color="auto"/>
            </w:tcBorders>
            <w:tcMar>
              <w:top w:w="150" w:type="dxa"/>
              <w:left w:w="240" w:type="dxa"/>
              <w:bottom w:w="150" w:type="dxa"/>
              <w:right w:w="240" w:type="dxa"/>
            </w:tcMar>
            <w:vAlign w:val="center"/>
            <w:hideMark/>
          </w:tcPr>
          <w:p w14:paraId="5A64382D"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Cholera, diarrhea</w:t>
            </w:r>
          </w:p>
        </w:tc>
        <w:tc>
          <w:tcPr>
            <w:tcW w:w="835" w:type="dxa"/>
            <w:tcBorders>
              <w:top w:val="single" w:sz="4" w:space="0" w:color="auto"/>
            </w:tcBorders>
            <w:tcMar>
              <w:top w:w="150" w:type="dxa"/>
              <w:left w:w="240" w:type="dxa"/>
              <w:bottom w:w="150" w:type="dxa"/>
              <w:right w:w="0" w:type="dxa"/>
            </w:tcMar>
            <w:vAlign w:val="center"/>
            <w:hideMark/>
          </w:tcPr>
          <w:p w14:paraId="51CBEDB7"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&lt;0.001</w:t>
            </w:r>
          </w:p>
        </w:tc>
      </w:tr>
      <w:tr w:rsidR="00921959" w:rsidRPr="00D8608E" w14:paraId="76FDF187" w14:textId="77777777" w:rsidTr="00D8608E">
        <w:tc>
          <w:tcPr>
            <w:tcW w:w="2381" w:type="dxa"/>
            <w:tcMar>
              <w:top w:w="150" w:type="dxa"/>
              <w:left w:w="0" w:type="dxa"/>
              <w:bottom w:w="150" w:type="dxa"/>
              <w:right w:w="240" w:type="dxa"/>
            </w:tcMar>
            <w:vAlign w:val="center"/>
            <w:hideMark/>
          </w:tcPr>
          <w:p w14:paraId="0C03EC2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Incomplete vaccination</w:t>
            </w:r>
          </w:p>
        </w:tc>
        <w:tc>
          <w:tcPr>
            <w:tcW w:w="2355" w:type="dxa"/>
            <w:tcMar>
              <w:top w:w="150" w:type="dxa"/>
              <w:left w:w="240" w:type="dxa"/>
              <w:bottom w:w="150" w:type="dxa"/>
              <w:right w:w="240" w:type="dxa"/>
            </w:tcMar>
            <w:vAlign w:val="center"/>
            <w:hideMark/>
          </w:tcPr>
          <w:p w14:paraId="0D8815DA"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Measles</w:t>
            </w:r>
          </w:p>
        </w:tc>
        <w:tc>
          <w:tcPr>
            <w:tcW w:w="835" w:type="dxa"/>
            <w:tcMar>
              <w:top w:w="150" w:type="dxa"/>
              <w:left w:w="240" w:type="dxa"/>
              <w:bottom w:w="150" w:type="dxa"/>
              <w:right w:w="0" w:type="dxa"/>
            </w:tcMar>
            <w:vAlign w:val="center"/>
            <w:hideMark/>
          </w:tcPr>
          <w:p w14:paraId="38BAF2B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&lt;0.01</w:t>
            </w:r>
          </w:p>
        </w:tc>
      </w:tr>
      <w:tr w:rsidR="00921959" w:rsidRPr="00D8608E" w14:paraId="3C09C06D" w14:textId="77777777" w:rsidTr="00D8608E">
        <w:tc>
          <w:tcPr>
            <w:tcW w:w="2381" w:type="dxa"/>
            <w:tcMar>
              <w:top w:w="150" w:type="dxa"/>
              <w:left w:w="0" w:type="dxa"/>
              <w:bottom w:w="150" w:type="dxa"/>
              <w:right w:w="240" w:type="dxa"/>
            </w:tcMar>
            <w:vAlign w:val="center"/>
            <w:hideMark/>
          </w:tcPr>
          <w:p w14:paraId="0727B7D7"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Low maternal education</w:t>
            </w:r>
          </w:p>
        </w:tc>
        <w:tc>
          <w:tcPr>
            <w:tcW w:w="2355" w:type="dxa"/>
            <w:tcMar>
              <w:top w:w="150" w:type="dxa"/>
              <w:left w:w="240" w:type="dxa"/>
              <w:bottom w:w="150" w:type="dxa"/>
              <w:right w:w="240" w:type="dxa"/>
            </w:tcMar>
            <w:vAlign w:val="center"/>
            <w:hideMark/>
          </w:tcPr>
          <w:p w14:paraId="19C466E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Malnutrition, diarrhea</w:t>
            </w:r>
          </w:p>
        </w:tc>
        <w:tc>
          <w:tcPr>
            <w:tcW w:w="835" w:type="dxa"/>
            <w:tcMar>
              <w:top w:w="150" w:type="dxa"/>
              <w:left w:w="240" w:type="dxa"/>
              <w:bottom w:w="150" w:type="dxa"/>
              <w:right w:w="0" w:type="dxa"/>
            </w:tcMar>
            <w:vAlign w:val="center"/>
            <w:hideMark/>
          </w:tcPr>
          <w:p w14:paraId="1EABB349"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&lt;0.05</w:t>
            </w:r>
          </w:p>
        </w:tc>
      </w:tr>
      <w:tr w:rsidR="00921959" w:rsidRPr="00D8608E" w14:paraId="37161D6A" w14:textId="77777777" w:rsidTr="00D8608E">
        <w:tc>
          <w:tcPr>
            <w:tcW w:w="2381" w:type="dxa"/>
            <w:tcMar>
              <w:top w:w="150" w:type="dxa"/>
              <w:left w:w="0" w:type="dxa"/>
              <w:bottom w:w="150" w:type="dxa"/>
              <w:right w:w="240" w:type="dxa"/>
            </w:tcMar>
            <w:vAlign w:val="center"/>
            <w:hideMark/>
          </w:tcPr>
          <w:p w14:paraId="5D27E55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Low household income</w:t>
            </w:r>
          </w:p>
        </w:tc>
        <w:tc>
          <w:tcPr>
            <w:tcW w:w="2355" w:type="dxa"/>
            <w:tcMar>
              <w:top w:w="150" w:type="dxa"/>
              <w:left w:w="240" w:type="dxa"/>
              <w:bottom w:w="150" w:type="dxa"/>
              <w:right w:w="240" w:type="dxa"/>
            </w:tcMar>
            <w:vAlign w:val="center"/>
            <w:hideMark/>
          </w:tcPr>
          <w:p w14:paraId="5E955ED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All causes combined</w:t>
            </w:r>
          </w:p>
        </w:tc>
        <w:tc>
          <w:tcPr>
            <w:tcW w:w="835" w:type="dxa"/>
            <w:tcMar>
              <w:top w:w="150" w:type="dxa"/>
              <w:left w:w="240" w:type="dxa"/>
              <w:bottom w:w="150" w:type="dxa"/>
              <w:right w:w="0" w:type="dxa"/>
            </w:tcMar>
            <w:vAlign w:val="center"/>
            <w:hideMark/>
          </w:tcPr>
          <w:p w14:paraId="2363649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&lt;0.01</w:t>
            </w:r>
          </w:p>
        </w:tc>
      </w:tr>
      <w:tr w:rsidR="00921959" w:rsidRPr="00D8608E" w14:paraId="63D630F9" w14:textId="77777777" w:rsidTr="00D8608E">
        <w:tc>
          <w:tcPr>
            <w:tcW w:w="2381" w:type="dxa"/>
            <w:tcMar>
              <w:top w:w="150" w:type="dxa"/>
              <w:left w:w="0" w:type="dxa"/>
              <w:bottom w:w="150" w:type="dxa"/>
              <w:right w:w="240" w:type="dxa"/>
            </w:tcMar>
            <w:vAlign w:val="center"/>
            <w:hideMark/>
          </w:tcPr>
          <w:p w14:paraId="6673465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Rural residence</w:t>
            </w:r>
          </w:p>
        </w:tc>
        <w:tc>
          <w:tcPr>
            <w:tcW w:w="2355" w:type="dxa"/>
            <w:tcMar>
              <w:top w:w="150" w:type="dxa"/>
              <w:left w:w="240" w:type="dxa"/>
              <w:bottom w:w="150" w:type="dxa"/>
              <w:right w:w="240" w:type="dxa"/>
            </w:tcMar>
            <w:vAlign w:val="center"/>
            <w:hideMark/>
          </w:tcPr>
          <w:p w14:paraId="6F5D9752"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Delayed care, all causes</w:t>
            </w:r>
          </w:p>
        </w:tc>
        <w:tc>
          <w:tcPr>
            <w:tcW w:w="835" w:type="dxa"/>
            <w:tcMar>
              <w:top w:w="150" w:type="dxa"/>
              <w:left w:w="240" w:type="dxa"/>
              <w:bottom w:w="150" w:type="dxa"/>
              <w:right w:w="0" w:type="dxa"/>
            </w:tcMar>
            <w:vAlign w:val="center"/>
            <w:hideMark/>
          </w:tcPr>
          <w:p w14:paraId="74831554"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&lt;0.05</w:t>
            </w:r>
          </w:p>
        </w:tc>
      </w:tr>
      <w:tr w:rsidR="00921959" w:rsidRPr="00D8608E" w14:paraId="14636CEA" w14:textId="77777777" w:rsidTr="00D8608E">
        <w:tc>
          <w:tcPr>
            <w:tcW w:w="2381" w:type="dxa"/>
            <w:tcMar>
              <w:top w:w="150" w:type="dxa"/>
              <w:left w:w="0" w:type="dxa"/>
              <w:bottom w:w="150" w:type="dxa"/>
              <w:right w:w="240" w:type="dxa"/>
            </w:tcMar>
            <w:vAlign w:val="center"/>
            <w:hideMark/>
          </w:tcPr>
          <w:p w14:paraId="2B21AB3B"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lastRenderedPageBreak/>
              <w:t>Delay &gt;72 hours</w:t>
            </w:r>
          </w:p>
        </w:tc>
        <w:tc>
          <w:tcPr>
            <w:tcW w:w="2355" w:type="dxa"/>
            <w:tcMar>
              <w:top w:w="150" w:type="dxa"/>
              <w:left w:w="240" w:type="dxa"/>
              <w:bottom w:w="150" w:type="dxa"/>
              <w:right w:w="240" w:type="dxa"/>
            </w:tcMar>
            <w:vAlign w:val="center"/>
            <w:hideMark/>
          </w:tcPr>
          <w:p w14:paraId="45B2CA0E"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Severe malaria, cholera</w:t>
            </w:r>
          </w:p>
        </w:tc>
        <w:tc>
          <w:tcPr>
            <w:tcW w:w="835" w:type="dxa"/>
            <w:tcMar>
              <w:top w:w="150" w:type="dxa"/>
              <w:left w:w="240" w:type="dxa"/>
              <w:bottom w:w="150" w:type="dxa"/>
              <w:right w:w="0" w:type="dxa"/>
            </w:tcMar>
            <w:vAlign w:val="center"/>
            <w:hideMark/>
          </w:tcPr>
          <w:p w14:paraId="76FE49D5"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&lt;0.01</w:t>
            </w:r>
          </w:p>
        </w:tc>
      </w:tr>
    </w:tbl>
    <w:p w14:paraId="4555FC23"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Interpretation:</w:t>
      </w:r>
      <w:r w:rsidRPr="00D8608E">
        <w:rPr>
          <w:rFonts w:ascii="Times New Roman" w:eastAsia="Times New Roman" w:hAnsi="Times New Roman" w:cs="Times New Roman"/>
          <w:color w:val="0F1115"/>
          <w:kern w:val="0"/>
          <w14:ligatures w14:val="none"/>
        </w:rPr>
        <w:t> Lack of clean water was strongly associated with death from cholera and diarrhea (p &lt; 0.001). Incomplete vaccination was significantly associated with measles mortality (p &lt; 0.01). Low maternal education and poverty were associated with malnutrition and diarrhea (p &lt; 0.05 and p &lt; 0.01, respectively).</w:t>
      </w:r>
    </w:p>
    <w:p w14:paraId="11467C94" w14:textId="77777777" w:rsidR="00921959" w:rsidRPr="00D8608E" w:rsidRDefault="00921959" w:rsidP="0092195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8608E">
        <w:rPr>
          <w:rFonts w:ascii="Times New Roman" w:eastAsia="Times New Roman" w:hAnsi="Times New Roman" w:cs="Times New Roman"/>
          <w:b/>
          <w:bCs/>
          <w:color w:val="0F1115"/>
          <w:kern w:val="0"/>
          <w:sz w:val="33"/>
          <w:szCs w:val="33"/>
          <w14:ligatures w14:val="none"/>
        </w:rPr>
        <w:t>4. Discussion</w:t>
      </w:r>
    </w:p>
    <w:p w14:paraId="5825F243"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4.1. Summary of Key Findings</w:t>
      </w:r>
    </w:p>
    <w:p w14:paraId="42CBCC88"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This retrospective study of 100 infant deaths at Basankusu General Referral Hospital revealed that cholera (30%), severe malaria (22%), and acute diarrhea (18%) were the leading causes of death among children under five years. These three conditions accounted for 70% of all deaths. Malnutrition (74% of deceased children had moderate or severe malnutrition) was a pervasive underlying factor. Most deaths occurred in rural residents (62%), during the rainy season (68%), and among children with incomplete vaccination (71%). Delayed healthcare seeking (&gt;24 hours) was reported in 77% of cases, and only 34% of families had access to sufficient medicines at the hospital.</w:t>
      </w:r>
    </w:p>
    <w:p w14:paraId="1F724F3B"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4.2. Comparison with Existing Literature</w:t>
      </w:r>
    </w:p>
    <w:p w14:paraId="7F564B65"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The dominance of cholera as the leading cause of death (30%) is striking and reflects the specific epidemiological context of Basankusu. Unlike national data where neonatal conditions and malaria typically dominate (Ministry of Health, 2021; WHO, 2023), cholera outbreaks in Équateur Province have been recurrent and deadly. This finding underscores the importance of local epidemiological surveillance.</w:t>
      </w:r>
    </w:p>
    <w:p w14:paraId="2C974E0A"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lastRenderedPageBreak/>
        <w:t>The 22% mortality from severe malaria aligns with national patterns. In the DRC, malaria remains the leading cause of outpatient visits and hospitalizations among children under five (PNLP, 2020). The high proportion of deaths during the rainy season (68%) is consistent with increased vector breeding and transmission.</w:t>
      </w:r>
    </w:p>
    <w:p w14:paraId="4399A222"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The 18% mortality from acute diarrhea and the strong association with lack of clean water (p &lt; 0.001) are consistent with findings from other low-income settings (Bhutta et al., 2017). The fact that 64% of households lacked access to clean water in this study is a major structural determinant that must be addressed.</w:t>
      </w:r>
    </w:p>
    <w:p w14:paraId="77EDDDA5"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The 74% prevalence of malnutrition among deceased children is alarmingly high and comparable to studies from other food-insecure regions of sub-Saharan Africa (Tchouket &amp; Ngom, 2020). Malnutrition suppresses immunity, increases susceptibility to infections, and worsens disease outcomes.</w:t>
      </w:r>
    </w:p>
    <w:p w14:paraId="7B5D0756"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The 71% incomplete or absent vaccination coverage is a major programmatic failure. Measles outbreaks, in particular, have been linked to low coverage in the DRC (Kakoma &amp; Lumbala, 2019). The 8% measles mortality in this study is entirely preventable.</w:t>
      </w:r>
    </w:p>
    <w:p w14:paraId="3AEF6CF2"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Late healthcare seeking (77% arrived after &gt;24 hours) and long distances to facilities (38% lived &gt;10 km away, 47% traveled by foot) reflect the "three delays" model (Thaddeus &amp; Maine, 1994): delay in deciding to seek care, delay in reaching a facility, and delay in receiving care. These structural barriers are well documented in rural Africa (Mbuya &amp; Tsimanga, 2021).</w:t>
      </w:r>
    </w:p>
    <w:p w14:paraId="0E335FC0"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4.3. Interpretation of the "Three Delays"</w:t>
      </w:r>
    </w:p>
    <w:p w14:paraId="63ED0870"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First delay (decision to seek care):</w:t>
      </w:r>
      <w:r w:rsidRPr="00D8608E">
        <w:rPr>
          <w:rFonts w:ascii="Times New Roman" w:eastAsia="Times New Roman" w:hAnsi="Times New Roman" w:cs="Times New Roman"/>
          <w:color w:val="0F1115"/>
          <w:kern w:val="0"/>
          <w14:ligatures w14:val="none"/>
        </w:rPr>
        <w:t> Low maternal education (69% with primary or no education), poverty (61% low income), and malnutrition (74%) likely delayed recognition of danger signs by families.</w:t>
      </w:r>
    </w:p>
    <w:p w14:paraId="176999AA"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Second delay (reaching a facility):</w:t>
      </w:r>
      <w:r w:rsidRPr="00D8608E">
        <w:rPr>
          <w:rFonts w:ascii="Times New Roman" w:eastAsia="Times New Roman" w:hAnsi="Times New Roman" w:cs="Times New Roman"/>
          <w:color w:val="0F1115"/>
          <w:kern w:val="0"/>
          <w14:ligatures w14:val="none"/>
        </w:rPr>
        <w:t> Rural residence (62%), long distances (38% &gt;10 km), and walking as primary transport (47%) directly caused prolonged travel times.</w:t>
      </w:r>
    </w:p>
    <w:p w14:paraId="4938D497"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lastRenderedPageBreak/>
        <w:t>Third delay (receiving care at facility):</w:t>
      </w:r>
      <w:r w:rsidRPr="00D8608E">
        <w:rPr>
          <w:rFonts w:ascii="Times New Roman" w:eastAsia="Times New Roman" w:hAnsi="Times New Roman" w:cs="Times New Roman"/>
          <w:color w:val="0F1115"/>
          <w:kern w:val="0"/>
          <w14:ligatures w14:val="none"/>
        </w:rPr>
        <w:t> Insufficient medicine availability (66%) and inadequate staff qualification (43%) compromised the quality of care once children arrived.</w:t>
      </w:r>
    </w:p>
    <w:p w14:paraId="244089C9"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4.4. Strengths and Limitations</w:t>
      </w:r>
    </w:p>
    <w:p w14:paraId="5AF2B132"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Strengths:</w:t>
      </w:r>
      <w:r w:rsidRPr="00D8608E">
        <w:rPr>
          <w:rFonts w:ascii="Times New Roman" w:eastAsia="Times New Roman" w:hAnsi="Times New Roman" w:cs="Times New Roman"/>
          <w:color w:val="0F1115"/>
          <w:kern w:val="0"/>
          <w14:ligatures w14:val="none"/>
        </w:rPr>
        <w:t> First detailed study of infant mortality causes in Basankusu; exhaustive sampling of all deaths over two years; use of hospital records; identification of both medical and structural determinants.</w:t>
      </w:r>
    </w:p>
    <w:p w14:paraId="2B84A874"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Limitations:</w:t>
      </w:r>
      <w:r w:rsidRPr="00D8608E">
        <w:rPr>
          <w:rFonts w:ascii="Times New Roman" w:eastAsia="Times New Roman" w:hAnsi="Times New Roman" w:cs="Times New Roman"/>
          <w:color w:val="0F1115"/>
          <w:kern w:val="0"/>
          <w14:ligatures w14:val="none"/>
        </w:rPr>
        <w:t> Retrospective design limited data completeness; some medical records had missing information; no outpatient deaths or community deaths were included; small sample size (n=100) limits generalizability; no control group (surviving children) for comparison.</w:t>
      </w:r>
    </w:p>
    <w:p w14:paraId="1B3F2317" w14:textId="77777777" w:rsidR="00921959" w:rsidRPr="00D8608E" w:rsidRDefault="00921959" w:rsidP="0092195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D8608E">
        <w:rPr>
          <w:rFonts w:ascii="Times New Roman" w:eastAsia="Times New Roman" w:hAnsi="Times New Roman" w:cs="Times New Roman"/>
          <w:b/>
          <w:bCs/>
          <w:color w:val="0F1115"/>
          <w:kern w:val="0"/>
          <w:sz w:val="30"/>
          <w:szCs w:val="30"/>
          <w14:ligatures w14:val="none"/>
        </w:rPr>
        <w:t>4.5. Implications for Policy and Practice</w:t>
      </w:r>
    </w:p>
    <w:p w14:paraId="6031DEA1" w14:textId="77777777" w:rsidR="00921959" w:rsidRPr="00D8608E" w:rsidRDefault="00921959" w:rsidP="00921959">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Cholera prevention:</w:t>
      </w:r>
      <w:r w:rsidRPr="00D8608E">
        <w:rPr>
          <w:rFonts w:ascii="Times New Roman" w:eastAsia="Times New Roman" w:hAnsi="Times New Roman" w:cs="Times New Roman"/>
          <w:color w:val="0F1115"/>
          <w:kern w:val="0"/>
          <w14:ligatures w14:val="none"/>
        </w:rPr>
        <w:t> Urgent need for clean water infrastructure, sanitation promotion, and oral cholera vaccination campaigns in Basankusu.</w:t>
      </w:r>
    </w:p>
    <w:p w14:paraId="7436A5F2" w14:textId="77777777" w:rsidR="00921959" w:rsidRPr="00D8608E" w:rsidRDefault="00921959" w:rsidP="00921959">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Malaria control:</w:t>
      </w:r>
      <w:r w:rsidRPr="00D8608E">
        <w:rPr>
          <w:rFonts w:ascii="Times New Roman" w:eastAsia="Times New Roman" w:hAnsi="Times New Roman" w:cs="Times New Roman"/>
          <w:color w:val="0F1115"/>
          <w:kern w:val="0"/>
          <w14:ligatures w14:val="none"/>
        </w:rPr>
        <w:t> Scale up of insecticide-treated net distribution, indoor residual spraying, and prompt access to artemisinin-based combination therapy.</w:t>
      </w:r>
    </w:p>
    <w:p w14:paraId="6F891E7C" w14:textId="77777777" w:rsidR="00921959" w:rsidRPr="00D8608E" w:rsidRDefault="00921959" w:rsidP="00921959">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Nutrition programs:</w:t>
      </w:r>
      <w:r w:rsidRPr="00D8608E">
        <w:rPr>
          <w:rFonts w:ascii="Times New Roman" w:eastAsia="Times New Roman" w:hAnsi="Times New Roman" w:cs="Times New Roman"/>
          <w:color w:val="0F1115"/>
          <w:kern w:val="0"/>
          <w14:ligatures w14:val="none"/>
        </w:rPr>
        <w:t> Community-based management of acute malnutrition, promotion of exclusive breastfeeding, and food security interventions.</w:t>
      </w:r>
    </w:p>
    <w:p w14:paraId="7A6378B3" w14:textId="77777777" w:rsidR="00921959" w:rsidRPr="00D8608E" w:rsidRDefault="00921959" w:rsidP="00921959">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Vaccination coverage:</w:t>
      </w:r>
      <w:r w:rsidRPr="00D8608E">
        <w:rPr>
          <w:rFonts w:ascii="Times New Roman" w:eastAsia="Times New Roman" w:hAnsi="Times New Roman" w:cs="Times New Roman"/>
          <w:color w:val="0F1115"/>
          <w:kern w:val="0"/>
          <w14:ligatures w14:val="none"/>
        </w:rPr>
        <w:t> Strengthen routine immunization, conduct catch-up campaigns for measles, and address vaccine hesitancy.</w:t>
      </w:r>
    </w:p>
    <w:p w14:paraId="551A5C65" w14:textId="77777777" w:rsidR="00921959" w:rsidRPr="00D8608E" w:rsidRDefault="00921959" w:rsidP="00921959">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Health system strengthening:</w:t>
      </w:r>
      <w:r w:rsidRPr="00D8608E">
        <w:rPr>
          <w:rFonts w:ascii="Times New Roman" w:eastAsia="Times New Roman" w:hAnsi="Times New Roman" w:cs="Times New Roman"/>
          <w:color w:val="0F1115"/>
          <w:kern w:val="0"/>
          <w14:ligatures w14:val="none"/>
        </w:rPr>
        <w:t> Ensure consistent availability of essential medicines (oral rehydration salts, antimalarials, antibiotics), train staff in emergency pediatric care, and improve referral systems.</w:t>
      </w:r>
    </w:p>
    <w:p w14:paraId="6F5761C9" w14:textId="77777777" w:rsidR="00921959" w:rsidRPr="00D8608E" w:rsidRDefault="00921959" w:rsidP="00921959">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Community education:</w:t>
      </w:r>
      <w:r w:rsidRPr="00D8608E">
        <w:rPr>
          <w:rFonts w:ascii="Times New Roman" w:eastAsia="Times New Roman" w:hAnsi="Times New Roman" w:cs="Times New Roman"/>
          <w:color w:val="0F1115"/>
          <w:kern w:val="0"/>
          <w14:ligatures w14:val="none"/>
        </w:rPr>
        <w:t> Promote danger sign recognition, early consultation, and use of clean water and mosquito nets.</w:t>
      </w:r>
    </w:p>
    <w:p w14:paraId="7996237A" w14:textId="77777777" w:rsidR="00D8608E" w:rsidRDefault="00D8608E" w:rsidP="0092195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p>
    <w:p w14:paraId="2A58CD7F" w14:textId="1742D29A" w:rsidR="00921959" w:rsidRPr="00D8608E" w:rsidRDefault="00921959" w:rsidP="0092195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8608E">
        <w:rPr>
          <w:rFonts w:ascii="Times New Roman" w:eastAsia="Times New Roman" w:hAnsi="Times New Roman" w:cs="Times New Roman"/>
          <w:b/>
          <w:bCs/>
          <w:color w:val="0F1115"/>
          <w:kern w:val="0"/>
          <w:sz w:val="33"/>
          <w:szCs w:val="33"/>
          <w14:ligatures w14:val="none"/>
        </w:rPr>
        <w:lastRenderedPageBreak/>
        <w:t>5. Conclusion</w:t>
      </w:r>
    </w:p>
    <w:p w14:paraId="2BD05402"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Infant mortality at Basankusu General Referral Hospital is predominantly caused by preventable conditions: cholera, severe malaria, acute diarrhea, malnutrition, and measles. These deaths are not inevitable; they result from a combination of structural poverty, lack of clean water, low maternal education, incomplete vaccination, malnutrition, and delayed healthcare seeking.</w:t>
      </w:r>
    </w:p>
    <w:p w14:paraId="7233A684"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The study confirms all four hypotheses:</w:t>
      </w:r>
    </w:p>
    <w:p w14:paraId="42881555" w14:textId="77777777" w:rsidR="00921959" w:rsidRPr="00D8608E" w:rsidRDefault="00921959" w:rsidP="00921959">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H₁ (infectious diseases dominate):</w:t>
      </w:r>
      <w:r w:rsidRPr="00D8608E">
        <w:rPr>
          <w:rFonts w:ascii="Times New Roman" w:eastAsia="Times New Roman" w:hAnsi="Times New Roman" w:cs="Times New Roman"/>
          <w:color w:val="0F1115"/>
          <w:kern w:val="0"/>
          <w14:ligatures w14:val="none"/>
        </w:rPr>
        <w:t> Cholera (30%), malaria (22%), and diarrhea (18%) accounted for 70% of deaths.</w:t>
      </w:r>
    </w:p>
    <w:p w14:paraId="79A72F9F" w14:textId="77777777" w:rsidR="00921959" w:rsidRPr="00D8608E" w:rsidRDefault="00921959" w:rsidP="00921959">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H₂ (delayed care increases risk):</w:t>
      </w:r>
      <w:r w:rsidRPr="00D8608E">
        <w:rPr>
          <w:rFonts w:ascii="Times New Roman" w:eastAsia="Times New Roman" w:hAnsi="Times New Roman" w:cs="Times New Roman"/>
          <w:color w:val="0F1115"/>
          <w:kern w:val="0"/>
          <w14:ligatures w14:val="none"/>
        </w:rPr>
        <w:t> 77% arrived after &gt;24 hours.</w:t>
      </w:r>
    </w:p>
    <w:p w14:paraId="1DDAED7C" w14:textId="77777777" w:rsidR="00921959" w:rsidRPr="00D8608E" w:rsidRDefault="00921959" w:rsidP="00921959">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H₃ (socioeconomic factors):</w:t>
      </w:r>
      <w:r w:rsidRPr="00D8608E">
        <w:rPr>
          <w:rFonts w:ascii="Times New Roman" w:eastAsia="Times New Roman" w:hAnsi="Times New Roman" w:cs="Times New Roman"/>
          <w:color w:val="0F1115"/>
          <w:kern w:val="0"/>
          <w14:ligatures w14:val="none"/>
        </w:rPr>
        <w:t> Low income (61%), lack of clean water (64%), and low maternal education (69%) were strongly associated with mortality.</w:t>
      </w:r>
    </w:p>
    <w:p w14:paraId="72D57826" w14:textId="77777777" w:rsidR="00921959" w:rsidRPr="00D8608E" w:rsidRDefault="00921959" w:rsidP="00921959">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H₄ (vaccination and malnutrition):</w:t>
      </w:r>
      <w:r w:rsidRPr="00D8608E">
        <w:rPr>
          <w:rFonts w:ascii="Times New Roman" w:eastAsia="Times New Roman" w:hAnsi="Times New Roman" w:cs="Times New Roman"/>
          <w:color w:val="0F1115"/>
          <w:kern w:val="0"/>
          <w14:ligatures w14:val="none"/>
        </w:rPr>
        <w:t> 71% had incomplete vaccination; 74% had malnutrition.</w:t>
      </w:r>
    </w:p>
    <w:p w14:paraId="026F3C4D"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Achieving the SDG target of reducing under-five mortality requires a multi-sectoral approach: provision of clean water, vaccination campaigns, malaria control, nutrition programs, health system strengthening, and community education. Without urgent action, preventable infant deaths will continue to devastate families in Basankusu.</w:t>
      </w:r>
    </w:p>
    <w:p w14:paraId="56017074" w14:textId="77777777" w:rsidR="00921959" w:rsidRPr="00D8608E" w:rsidRDefault="00921959" w:rsidP="0092195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8608E">
        <w:rPr>
          <w:rFonts w:ascii="Times New Roman" w:eastAsia="Times New Roman" w:hAnsi="Times New Roman" w:cs="Times New Roman"/>
          <w:b/>
          <w:bCs/>
          <w:color w:val="0F1115"/>
          <w:kern w:val="0"/>
          <w:sz w:val="33"/>
          <w:szCs w:val="33"/>
          <w14:ligatures w14:val="none"/>
        </w:rPr>
        <w:t>6. Recommendations</w:t>
      </w:r>
    </w:p>
    <w:tbl>
      <w:tblPr>
        <w:tblW w:w="937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42"/>
        <w:gridCol w:w="7133"/>
      </w:tblGrid>
      <w:tr w:rsidR="00921959" w:rsidRPr="00D8608E" w14:paraId="1D4097B1" w14:textId="77777777" w:rsidTr="00D8608E">
        <w:trPr>
          <w:tblHeader/>
        </w:trPr>
        <w:tc>
          <w:tcPr>
            <w:tcW w:w="2242" w:type="dxa"/>
            <w:tcBorders>
              <w:top w:val="single" w:sz="4" w:space="0" w:color="auto"/>
              <w:bottom w:val="single" w:sz="4" w:space="0" w:color="auto"/>
            </w:tcBorders>
            <w:tcMar>
              <w:top w:w="150" w:type="dxa"/>
              <w:left w:w="0" w:type="dxa"/>
              <w:bottom w:w="150" w:type="dxa"/>
              <w:right w:w="240" w:type="dxa"/>
            </w:tcMar>
            <w:vAlign w:val="center"/>
            <w:hideMark/>
          </w:tcPr>
          <w:p w14:paraId="1043FF89" w14:textId="77777777" w:rsidR="00921959" w:rsidRPr="00D8608E" w:rsidRDefault="00921959" w:rsidP="00D8608E">
            <w:pPr>
              <w:spacing w:after="0" w:line="240" w:lineRule="auto"/>
              <w:jc w:val="center"/>
              <w:rPr>
                <w:rFonts w:ascii="Times New Roman" w:eastAsia="Times New Roman" w:hAnsi="Times New Roman" w:cs="Times New Roman"/>
                <w:b/>
                <w:bCs/>
                <w:kern w:val="0"/>
                <w:sz w:val="23"/>
                <w:szCs w:val="23"/>
                <w14:ligatures w14:val="none"/>
              </w:rPr>
            </w:pPr>
            <w:r w:rsidRPr="00D8608E">
              <w:rPr>
                <w:rFonts w:ascii="Times New Roman" w:eastAsia="Times New Roman" w:hAnsi="Times New Roman" w:cs="Times New Roman"/>
                <w:b/>
                <w:bCs/>
                <w:kern w:val="0"/>
                <w:sz w:val="23"/>
                <w:szCs w:val="23"/>
                <w14:ligatures w14:val="none"/>
              </w:rPr>
              <w:t>Target</w:t>
            </w:r>
          </w:p>
        </w:tc>
        <w:tc>
          <w:tcPr>
            <w:tcW w:w="7133" w:type="dxa"/>
            <w:tcBorders>
              <w:top w:val="single" w:sz="4" w:space="0" w:color="auto"/>
              <w:bottom w:val="single" w:sz="4" w:space="0" w:color="auto"/>
            </w:tcBorders>
            <w:tcMar>
              <w:top w:w="150" w:type="dxa"/>
              <w:left w:w="240" w:type="dxa"/>
              <w:bottom w:w="150" w:type="dxa"/>
              <w:right w:w="240" w:type="dxa"/>
            </w:tcMar>
            <w:vAlign w:val="center"/>
            <w:hideMark/>
          </w:tcPr>
          <w:p w14:paraId="1BAED57B" w14:textId="77777777" w:rsidR="00921959" w:rsidRPr="00D8608E" w:rsidRDefault="00921959" w:rsidP="00D8608E">
            <w:pPr>
              <w:spacing w:after="0" w:line="240" w:lineRule="auto"/>
              <w:jc w:val="center"/>
              <w:rPr>
                <w:rFonts w:ascii="Times New Roman" w:eastAsia="Times New Roman" w:hAnsi="Times New Roman" w:cs="Times New Roman"/>
                <w:b/>
                <w:bCs/>
                <w:kern w:val="0"/>
                <w:sz w:val="23"/>
                <w:szCs w:val="23"/>
                <w14:ligatures w14:val="none"/>
              </w:rPr>
            </w:pPr>
            <w:r w:rsidRPr="00D8608E">
              <w:rPr>
                <w:rFonts w:ascii="Times New Roman" w:eastAsia="Times New Roman" w:hAnsi="Times New Roman" w:cs="Times New Roman"/>
                <w:b/>
                <w:bCs/>
                <w:kern w:val="0"/>
                <w:sz w:val="23"/>
                <w:szCs w:val="23"/>
                <w14:ligatures w14:val="none"/>
              </w:rPr>
              <w:t>Recommendations</w:t>
            </w:r>
          </w:p>
        </w:tc>
      </w:tr>
      <w:tr w:rsidR="00921959" w:rsidRPr="00D8608E" w14:paraId="5D60AAF5" w14:textId="77777777" w:rsidTr="00D8608E">
        <w:tc>
          <w:tcPr>
            <w:tcW w:w="2242" w:type="dxa"/>
            <w:tcBorders>
              <w:top w:val="single" w:sz="4" w:space="0" w:color="auto"/>
            </w:tcBorders>
            <w:tcMar>
              <w:top w:w="150" w:type="dxa"/>
              <w:left w:w="0" w:type="dxa"/>
              <w:bottom w:w="150" w:type="dxa"/>
              <w:right w:w="240" w:type="dxa"/>
            </w:tcMar>
            <w:vAlign w:val="center"/>
            <w:hideMark/>
          </w:tcPr>
          <w:p w14:paraId="52082A21"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National and provincial health authorities</w:t>
            </w:r>
          </w:p>
        </w:tc>
        <w:tc>
          <w:tcPr>
            <w:tcW w:w="7133" w:type="dxa"/>
            <w:tcBorders>
              <w:top w:val="single" w:sz="4" w:space="0" w:color="auto"/>
            </w:tcBorders>
            <w:tcMar>
              <w:top w:w="150" w:type="dxa"/>
              <w:left w:w="240" w:type="dxa"/>
              <w:bottom w:w="150" w:type="dxa"/>
              <w:right w:w="0" w:type="dxa"/>
            </w:tcMar>
            <w:vAlign w:val="center"/>
            <w:hideMark/>
          </w:tcPr>
          <w:p w14:paraId="1E45231C"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Strengthen maternal and child health programs in rural areas; ensure regular supply of essential medicines (ORS, antimalarials, antibiotics, vaccines); enhance epidemiological surveillance for cholera, measles, and malaria.</w:t>
            </w:r>
          </w:p>
        </w:tc>
      </w:tr>
      <w:tr w:rsidR="00921959" w:rsidRPr="00D8608E" w14:paraId="7E33D191" w14:textId="77777777" w:rsidTr="00D8608E">
        <w:tc>
          <w:tcPr>
            <w:tcW w:w="2242" w:type="dxa"/>
            <w:tcMar>
              <w:top w:w="150" w:type="dxa"/>
              <w:left w:w="0" w:type="dxa"/>
              <w:bottom w:w="150" w:type="dxa"/>
              <w:right w:w="240" w:type="dxa"/>
            </w:tcMar>
            <w:vAlign w:val="center"/>
            <w:hideMark/>
          </w:tcPr>
          <w:p w14:paraId="608B654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Hospital administration (HGR Basankusu)</w:t>
            </w:r>
          </w:p>
        </w:tc>
        <w:tc>
          <w:tcPr>
            <w:tcW w:w="7133" w:type="dxa"/>
            <w:tcMar>
              <w:top w:w="150" w:type="dxa"/>
              <w:left w:w="240" w:type="dxa"/>
              <w:bottom w:w="150" w:type="dxa"/>
              <w:right w:w="0" w:type="dxa"/>
            </w:tcMar>
            <w:vAlign w:val="center"/>
            <w:hideMark/>
          </w:tcPr>
          <w:p w14:paraId="5EB91A53"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Improve neonatal and pediatric care quality; provide continuous training on neonatal resuscitation and pediatric emergencies; implement a rapid triage system; improve medical record keeping and archiving.</w:t>
            </w:r>
          </w:p>
        </w:tc>
      </w:tr>
      <w:tr w:rsidR="00921959" w:rsidRPr="00D8608E" w14:paraId="484291F5" w14:textId="77777777" w:rsidTr="00D8608E">
        <w:tc>
          <w:tcPr>
            <w:tcW w:w="2242" w:type="dxa"/>
            <w:tcMar>
              <w:top w:w="150" w:type="dxa"/>
              <w:left w:w="0" w:type="dxa"/>
              <w:bottom w:w="150" w:type="dxa"/>
              <w:right w:w="240" w:type="dxa"/>
            </w:tcMar>
            <w:vAlign w:val="center"/>
            <w:hideMark/>
          </w:tcPr>
          <w:p w14:paraId="24FBABB4"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lastRenderedPageBreak/>
              <w:t>Health workers</w:t>
            </w:r>
          </w:p>
        </w:tc>
        <w:tc>
          <w:tcPr>
            <w:tcW w:w="7133" w:type="dxa"/>
            <w:tcMar>
              <w:top w:w="150" w:type="dxa"/>
              <w:left w:w="240" w:type="dxa"/>
              <w:bottom w:w="150" w:type="dxa"/>
              <w:right w:w="0" w:type="dxa"/>
            </w:tcMar>
            <w:vAlign w:val="center"/>
            <w:hideMark/>
          </w:tcPr>
          <w:p w14:paraId="65F6CDD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Follow pediatric treatment protocols strictly; educate mothers on danger signs and early consultation; provide close monitoring of at-risk newborns (prematurity, low birth weight); respect hygiene measures.</w:t>
            </w:r>
          </w:p>
        </w:tc>
      </w:tr>
      <w:tr w:rsidR="00921959" w:rsidRPr="00D8608E" w14:paraId="11ECF089" w14:textId="77777777" w:rsidTr="00D8608E">
        <w:tc>
          <w:tcPr>
            <w:tcW w:w="2242" w:type="dxa"/>
            <w:tcMar>
              <w:top w:w="150" w:type="dxa"/>
              <w:left w:w="0" w:type="dxa"/>
              <w:bottom w:w="150" w:type="dxa"/>
              <w:right w:w="240" w:type="dxa"/>
            </w:tcMar>
            <w:vAlign w:val="center"/>
            <w:hideMark/>
          </w:tcPr>
          <w:p w14:paraId="3CE64556"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Mothers and community</w:t>
            </w:r>
          </w:p>
        </w:tc>
        <w:tc>
          <w:tcPr>
            <w:tcW w:w="7133" w:type="dxa"/>
            <w:tcMar>
              <w:top w:w="150" w:type="dxa"/>
              <w:left w:w="240" w:type="dxa"/>
              <w:bottom w:w="150" w:type="dxa"/>
              <w:right w:w="0" w:type="dxa"/>
            </w:tcMar>
            <w:vAlign w:val="center"/>
            <w:hideMark/>
          </w:tcPr>
          <w:p w14:paraId="68FECC35"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Attend all scheduled ANC visits (≥4); seek care immediately when a child is sick; adopt hygiene practices (clean water, handwashing); use insecticide-treated nets consistently; avoid self-medication.</w:t>
            </w:r>
          </w:p>
        </w:tc>
      </w:tr>
      <w:tr w:rsidR="00921959" w:rsidRPr="00D8608E" w14:paraId="7CAFF89D" w14:textId="77777777" w:rsidTr="00D8608E">
        <w:tc>
          <w:tcPr>
            <w:tcW w:w="2242" w:type="dxa"/>
            <w:tcMar>
              <w:top w:w="150" w:type="dxa"/>
              <w:left w:w="0" w:type="dxa"/>
              <w:bottom w:w="150" w:type="dxa"/>
              <w:right w:w="240" w:type="dxa"/>
            </w:tcMar>
            <w:vAlign w:val="center"/>
            <w:hideMark/>
          </w:tcPr>
          <w:p w14:paraId="49D48518"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b/>
                <w:bCs/>
                <w:kern w:val="0"/>
                <w:sz w:val="23"/>
                <w:szCs w:val="23"/>
                <w14:ligatures w14:val="none"/>
              </w:rPr>
              <w:t>Technical and financial partners</w:t>
            </w:r>
          </w:p>
        </w:tc>
        <w:tc>
          <w:tcPr>
            <w:tcW w:w="7133" w:type="dxa"/>
            <w:tcMar>
              <w:top w:w="150" w:type="dxa"/>
              <w:left w:w="240" w:type="dxa"/>
              <w:bottom w:w="150" w:type="dxa"/>
              <w:right w:w="0" w:type="dxa"/>
            </w:tcMar>
            <w:vAlign w:val="center"/>
            <w:hideMark/>
          </w:tcPr>
          <w:p w14:paraId="7902D4F0" w14:textId="77777777" w:rsidR="00921959" w:rsidRPr="00D8608E" w:rsidRDefault="00921959" w:rsidP="00D8608E">
            <w:pPr>
              <w:spacing w:after="0" w:line="240" w:lineRule="auto"/>
              <w:rPr>
                <w:rFonts w:ascii="Times New Roman" w:eastAsia="Times New Roman" w:hAnsi="Times New Roman" w:cs="Times New Roman"/>
                <w:kern w:val="0"/>
                <w:sz w:val="23"/>
                <w:szCs w:val="23"/>
                <w14:ligatures w14:val="none"/>
              </w:rPr>
            </w:pPr>
            <w:r w:rsidRPr="00D8608E">
              <w:rPr>
                <w:rFonts w:ascii="Times New Roman" w:eastAsia="Times New Roman" w:hAnsi="Times New Roman" w:cs="Times New Roman"/>
                <w:kern w:val="0"/>
                <w:sz w:val="23"/>
                <w:szCs w:val="23"/>
                <w14:ligatures w14:val="none"/>
              </w:rPr>
              <w:t>Support maternal and child health programs in Basankusu; fund training for medical and nursing staff; provide neonatal and pediatric equipment; support community awareness campaigns.</w:t>
            </w:r>
          </w:p>
        </w:tc>
      </w:tr>
    </w:tbl>
    <w:p w14:paraId="05E1A1CA" w14:textId="77777777" w:rsidR="00921959" w:rsidRPr="00D8608E" w:rsidRDefault="00DF5AC2" w:rsidP="00921959">
      <w:pPr>
        <w:shd w:val="clear" w:color="auto" w:fill="FFFFFF"/>
        <w:spacing w:before="480" w:after="480" w:line="420" w:lineRule="atLeast"/>
        <w:rPr>
          <w:rFonts w:ascii="Times New Roman" w:eastAsia="Times New Roman" w:hAnsi="Times New Roman" w:cs="Times New Roman"/>
          <w:color w:val="0F1115"/>
          <w:kern w:val="0"/>
          <w14:ligatures w14:val="none"/>
        </w:rPr>
      </w:pPr>
      <w:r w:rsidRPr="00DF5AC2">
        <w:rPr>
          <w:rFonts w:ascii="Times New Roman" w:eastAsia="Times New Roman" w:hAnsi="Times New Roman" w:cs="Times New Roman"/>
          <w:noProof/>
          <w:color w:val="0F1115"/>
          <w:kern w:val="0"/>
        </w:rPr>
        <w:pict w14:anchorId="05B38349">
          <v:rect id="_x0000_i1025" alt="" style="width:468pt;height:.05pt;mso-width-percent:0;mso-height-percent:0;mso-width-percent:0;mso-height-percent:0" o:hralign="center" o:hrstd="t" o:hr="t" fillcolor="#a0a0a0" stroked="f"/>
        </w:pict>
      </w:r>
    </w:p>
    <w:p w14:paraId="3C087483" w14:textId="77777777" w:rsidR="00921959" w:rsidRPr="00D8608E" w:rsidRDefault="00921959" w:rsidP="0092195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D8608E">
        <w:rPr>
          <w:rFonts w:ascii="Times New Roman" w:eastAsia="Times New Roman" w:hAnsi="Times New Roman" w:cs="Times New Roman"/>
          <w:b/>
          <w:bCs/>
          <w:color w:val="0F1115"/>
          <w:kern w:val="0"/>
          <w:sz w:val="33"/>
          <w:szCs w:val="33"/>
          <w14:ligatures w14:val="none"/>
        </w:rPr>
        <w:t>7. References</w:t>
      </w:r>
    </w:p>
    <w:p w14:paraId="2B6A8CEC"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Bhutta, Z. A., Das, J. K., Bahl, R., Lawn, J. E., Salam, R. A., Paul, V. K., &amp; Sankar, M. J. (2017). Interventions for maternal and child survival in low-income countries. </w:t>
      </w:r>
      <w:r w:rsidRPr="00D8608E">
        <w:rPr>
          <w:rFonts w:ascii="Times New Roman" w:eastAsia="Times New Roman" w:hAnsi="Times New Roman" w:cs="Times New Roman"/>
          <w:i/>
          <w:iCs/>
          <w:color w:val="0F1115"/>
          <w:kern w:val="0"/>
          <w14:ligatures w14:val="none"/>
        </w:rPr>
        <w:t>The Lancet</w:t>
      </w:r>
      <w:r w:rsidRPr="00D8608E">
        <w:rPr>
          <w:rFonts w:ascii="Times New Roman" w:eastAsia="Times New Roman" w:hAnsi="Times New Roman" w:cs="Times New Roman"/>
          <w:color w:val="0F1115"/>
          <w:kern w:val="0"/>
          <w14:ligatures w14:val="none"/>
        </w:rPr>
        <w:t>, 389(10068), 80–90.</w:t>
      </w:r>
    </w:p>
    <w:p w14:paraId="31AD1094"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Kakoma, J. B., &amp; Lumbala, F. (2019). Infections néonatales et mortalité infantile en milieu hospitalier congolais. </w:t>
      </w:r>
      <w:r w:rsidRPr="00D8608E">
        <w:rPr>
          <w:rFonts w:ascii="Times New Roman" w:eastAsia="Times New Roman" w:hAnsi="Times New Roman" w:cs="Times New Roman"/>
          <w:i/>
          <w:iCs/>
          <w:color w:val="0F1115"/>
          <w:kern w:val="0"/>
          <w14:ligatures w14:val="none"/>
        </w:rPr>
        <w:t>Revue Médicale Congolaise</w:t>
      </w:r>
      <w:r w:rsidRPr="00D8608E">
        <w:rPr>
          <w:rFonts w:ascii="Times New Roman" w:eastAsia="Times New Roman" w:hAnsi="Times New Roman" w:cs="Times New Roman"/>
          <w:color w:val="0F1115"/>
          <w:kern w:val="0"/>
          <w14:ligatures w14:val="none"/>
        </w:rPr>
        <w:t>, 8(2), 101–110.</w:t>
      </w:r>
    </w:p>
    <w:p w14:paraId="5761C53F"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Mbuya, M. N., &amp; Tsimanga, K. (2021). Paludisme et mortalité des enfants de moins de cinq ans en RDC. </w:t>
      </w:r>
      <w:r w:rsidRPr="00D8608E">
        <w:rPr>
          <w:rFonts w:ascii="Times New Roman" w:eastAsia="Times New Roman" w:hAnsi="Times New Roman" w:cs="Times New Roman"/>
          <w:i/>
          <w:iCs/>
          <w:color w:val="0F1115"/>
          <w:kern w:val="0"/>
          <w14:ligatures w14:val="none"/>
        </w:rPr>
        <w:t>Journal de Médecine Tropicale</w:t>
      </w:r>
      <w:r w:rsidRPr="00D8608E">
        <w:rPr>
          <w:rFonts w:ascii="Times New Roman" w:eastAsia="Times New Roman" w:hAnsi="Times New Roman" w:cs="Times New Roman"/>
          <w:color w:val="0F1115"/>
          <w:kern w:val="0"/>
          <w14:ligatures w14:val="none"/>
        </w:rPr>
        <w:t>, 15(1), 23–34.</w:t>
      </w:r>
    </w:p>
    <w:p w14:paraId="5CD8E6AA"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Ministère de la Santé Publique, Hygiène et Prévention de la RDC. (2021). </w:t>
      </w:r>
      <w:r w:rsidRPr="00D8608E">
        <w:rPr>
          <w:rFonts w:ascii="Times New Roman" w:eastAsia="Times New Roman" w:hAnsi="Times New Roman" w:cs="Times New Roman"/>
          <w:i/>
          <w:iCs/>
          <w:color w:val="0F1115"/>
          <w:kern w:val="0"/>
          <w14:ligatures w14:val="none"/>
        </w:rPr>
        <w:t>Annuaire statistique sanitaire</w:t>
      </w:r>
      <w:r w:rsidRPr="00D8608E">
        <w:rPr>
          <w:rFonts w:ascii="Times New Roman" w:eastAsia="Times New Roman" w:hAnsi="Times New Roman" w:cs="Times New Roman"/>
          <w:color w:val="0F1115"/>
          <w:kern w:val="0"/>
          <w14:ligatures w14:val="none"/>
        </w:rPr>
        <w:t>. Kinshasa: MSHP.</w:t>
      </w:r>
    </w:p>
    <w:p w14:paraId="0815ED5D"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Tchouket, E., &amp; Ngom, P. (2020). Facteurs associés à la mortalité infantile en Afrique subsaharienne. </w:t>
      </w:r>
      <w:r w:rsidRPr="00D8608E">
        <w:rPr>
          <w:rFonts w:ascii="Times New Roman" w:eastAsia="Times New Roman" w:hAnsi="Times New Roman" w:cs="Times New Roman"/>
          <w:i/>
          <w:iCs/>
          <w:color w:val="0F1115"/>
          <w:kern w:val="0"/>
          <w14:ligatures w14:val="none"/>
        </w:rPr>
        <w:t>Revue Africaine de Santé Publique</w:t>
      </w:r>
      <w:r w:rsidRPr="00D8608E">
        <w:rPr>
          <w:rFonts w:ascii="Times New Roman" w:eastAsia="Times New Roman" w:hAnsi="Times New Roman" w:cs="Times New Roman"/>
          <w:color w:val="0F1115"/>
          <w:kern w:val="0"/>
          <w14:ligatures w14:val="none"/>
        </w:rPr>
        <w:t>, 12(3), 45–58.</w:t>
      </w:r>
    </w:p>
    <w:p w14:paraId="4C3FC7F3"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Thaddeus, S., &amp; Maine, D. (1994). Too far to walk: Maternal mortality in context. </w:t>
      </w:r>
      <w:r w:rsidRPr="00D8608E">
        <w:rPr>
          <w:rFonts w:ascii="Times New Roman" w:eastAsia="Times New Roman" w:hAnsi="Times New Roman" w:cs="Times New Roman"/>
          <w:i/>
          <w:iCs/>
          <w:color w:val="0F1115"/>
          <w:kern w:val="0"/>
          <w14:ligatures w14:val="none"/>
        </w:rPr>
        <w:t>Social Science &amp; Medicine</w:t>
      </w:r>
      <w:r w:rsidRPr="00D8608E">
        <w:rPr>
          <w:rFonts w:ascii="Times New Roman" w:eastAsia="Times New Roman" w:hAnsi="Times New Roman" w:cs="Times New Roman"/>
          <w:color w:val="0F1115"/>
          <w:kern w:val="0"/>
          <w14:ligatures w14:val="none"/>
        </w:rPr>
        <w:t>, 38(8), 1091–1110.</w:t>
      </w:r>
    </w:p>
    <w:p w14:paraId="45E693D6"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lastRenderedPageBreak/>
        <w:t>UNICEF. (2022). </w:t>
      </w:r>
      <w:r w:rsidRPr="00D8608E">
        <w:rPr>
          <w:rFonts w:ascii="Times New Roman" w:eastAsia="Times New Roman" w:hAnsi="Times New Roman" w:cs="Times New Roman"/>
          <w:i/>
          <w:iCs/>
          <w:color w:val="0F1115"/>
          <w:kern w:val="0"/>
          <w14:ligatures w14:val="none"/>
        </w:rPr>
        <w:t>La situation des enfants dans le monde : suivi et santé de l'enfant</w:t>
      </w:r>
      <w:r w:rsidRPr="00D8608E">
        <w:rPr>
          <w:rFonts w:ascii="Times New Roman" w:eastAsia="Times New Roman" w:hAnsi="Times New Roman" w:cs="Times New Roman"/>
          <w:color w:val="0F1115"/>
          <w:kern w:val="0"/>
          <w14:ligatures w14:val="none"/>
        </w:rPr>
        <w:t>. New York: Fonds des Nations Unies pour l'Enfance.</w:t>
      </w:r>
    </w:p>
    <w:p w14:paraId="39C25B6C"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World Bank. (2022). </w:t>
      </w:r>
      <w:r w:rsidRPr="00D8608E">
        <w:rPr>
          <w:rFonts w:ascii="Times New Roman" w:eastAsia="Times New Roman" w:hAnsi="Times New Roman" w:cs="Times New Roman"/>
          <w:i/>
          <w:iCs/>
          <w:color w:val="0F1115"/>
          <w:kern w:val="0"/>
          <w14:ligatures w14:val="none"/>
        </w:rPr>
        <w:t>Indicateurs de développement dans le monde : santé infantile en Afrique subsaharienne</w:t>
      </w:r>
      <w:r w:rsidRPr="00D8608E">
        <w:rPr>
          <w:rFonts w:ascii="Times New Roman" w:eastAsia="Times New Roman" w:hAnsi="Times New Roman" w:cs="Times New Roman"/>
          <w:color w:val="0F1115"/>
          <w:kern w:val="0"/>
          <w14:ligatures w14:val="none"/>
        </w:rPr>
        <w:t>. Washington, DC: World Bank.</w:t>
      </w:r>
    </w:p>
    <w:p w14:paraId="703A208A"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color w:val="0F1115"/>
          <w:kern w:val="0"/>
          <w14:ligatures w14:val="none"/>
        </w:rPr>
        <w:t>World Health Organization. (2023). </w:t>
      </w:r>
      <w:r w:rsidRPr="00D8608E">
        <w:rPr>
          <w:rFonts w:ascii="Times New Roman" w:eastAsia="Times New Roman" w:hAnsi="Times New Roman" w:cs="Times New Roman"/>
          <w:i/>
          <w:iCs/>
          <w:color w:val="0F1115"/>
          <w:kern w:val="0"/>
          <w14:ligatures w14:val="none"/>
        </w:rPr>
        <w:t>Rapport sur la mortalité infantile dans le monde</w:t>
      </w:r>
      <w:r w:rsidRPr="00D8608E">
        <w:rPr>
          <w:rFonts w:ascii="Times New Roman" w:eastAsia="Times New Roman" w:hAnsi="Times New Roman" w:cs="Times New Roman"/>
          <w:color w:val="0F1115"/>
          <w:kern w:val="0"/>
          <w14:ligatures w14:val="none"/>
        </w:rPr>
        <w:t>. Geneva: WHO.</w:t>
      </w:r>
    </w:p>
    <w:p w14:paraId="59793883"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Corresponding Author:</w:t>
      </w:r>
      <w:r w:rsidRPr="00D8608E">
        <w:rPr>
          <w:rFonts w:ascii="Times New Roman" w:eastAsia="Times New Roman" w:hAnsi="Times New Roman" w:cs="Times New Roman"/>
          <w:color w:val="0F1115"/>
          <w:kern w:val="0"/>
          <w14:ligatures w14:val="none"/>
        </w:rPr>
        <w:br/>
        <w:t>Ngondoa Ngondoa Antoine</w:t>
      </w:r>
      <w:r w:rsidRPr="00D8608E">
        <w:rPr>
          <w:rFonts w:ascii="Times New Roman" w:eastAsia="Times New Roman" w:hAnsi="Times New Roman" w:cs="Times New Roman"/>
          <w:color w:val="0F1115"/>
          <w:kern w:val="0"/>
          <w14:ligatures w14:val="none"/>
        </w:rPr>
        <w:br/>
        <w:t>Institut Supérieur des Techniques Médicales (ISTM)</w:t>
      </w:r>
      <w:r w:rsidRPr="00D8608E">
        <w:rPr>
          <w:rFonts w:ascii="Times New Roman" w:eastAsia="Times New Roman" w:hAnsi="Times New Roman" w:cs="Times New Roman"/>
          <w:color w:val="0F1115"/>
          <w:kern w:val="0"/>
          <w14:ligatures w14:val="none"/>
        </w:rPr>
        <w:br/>
        <w:t>Mbandaka, Democratic Republic of the Congo</w:t>
      </w:r>
      <w:r w:rsidRPr="00D8608E">
        <w:rPr>
          <w:rFonts w:ascii="Times New Roman" w:eastAsia="Times New Roman" w:hAnsi="Times New Roman" w:cs="Times New Roman"/>
          <w:color w:val="0F1115"/>
          <w:kern w:val="0"/>
          <w14:ligatures w14:val="none"/>
        </w:rPr>
        <w:br/>
        <w:t>Email: istmmbaka@gmail.com</w:t>
      </w:r>
    </w:p>
    <w:p w14:paraId="4E972143"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Conflict of Interest Statement:</w:t>
      </w:r>
      <w:r w:rsidRPr="00D8608E">
        <w:rPr>
          <w:rFonts w:ascii="Times New Roman" w:eastAsia="Times New Roman" w:hAnsi="Times New Roman" w:cs="Times New Roman"/>
          <w:color w:val="0F1115"/>
          <w:kern w:val="0"/>
          <w14:ligatures w14:val="none"/>
        </w:rPr>
        <w:t> The author declares no conflict of interest.</w:t>
      </w:r>
    </w:p>
    <w:p w14:paraId="16E3D771" w14:textId="77777777" w:rsidR="00921959" w:rsidRPr="00D8608E" w:rsidRDefault="00921959" w:rsidP="00921959">
      <w:pPr>
        <w:shd w:val="clear" w:color="auto" w:fill="FFFFFF"/>
        <w:spacing w:before="240" w:after="240" w:line="420" w:lineRule="atLeast"/>
        <w:rPr>
          <w:rFonts w:ascii="Times New Roman" w:eastAsia="Times New Roman" w:hAnsi="Times New Roman" w:cs="Times New Roman"/>
          <w:color w:val="0F1115"/>
          <w:kern w:val="0"/>
          <w14:ligatures w14:val="none"/>
        </w:rPr>
      </w:pPr>
      <w:r w:rsidRPr="00D8608E">
        <w:rPr>
          <w:rFonts w:ascii="Times New Roman" w:eastAsia="Times New Roman" w:hAnsi="Times New Roman" w:cs="Times New Roman"/>
          <w:b/>
          <w:bCs/>
          <w:color w:val="0F1115"/>
          <w:kern w:val="0"/>
          <w14:ligatures w14:val="none"/>
        </w:rPr>
        <w:t>Acknowledgments:</w:t>
      </w:r>
      <w:r w:rsidRPr="00D8608E">
        <w:rPr>
          <w:rFonts w:ascii="Times New Roman" w:eastAsia="Times New Roman" w:hAnsi="Times New Roman" w:cs="Times New Roman"/>
          <w:color w:val="0F1115"/>
          <w:kern w:val="0"/>
          <w14:ligatures w14:val="none"/>
        </w:rPr>
        <w:t> The author thanks Professor Ebengho Bokelo Max for supervision, the administration of HGR Basankusu for access to records, and all who contributed to this study.</w:t>
      </w:r>
    </w:p>
    <w:p w14:paraId="738F8A34" w14:textId="77777777" w:rsidR="00921959" w:rsidRPr="00D8608E" w:rsidRDefault="00921959" w:rsidP="00921959">
      <w:pPr>
        <w:spacing w:after="0" w:line="240" w:lineRule="auto"/>
        <w:rPr>
          <w:rFonts w:ascii="Times New Roman" w:eastAsia="Times New Roman" w:hAnsi="Times New Roman" w:cs="Times New Roman"/>
          <w:kern w:val="0"/>
          <w14:ligatures w14:val="none"/>
        </w:rPr>
      </w:pPr>
    </w:p>
    <w:p w14:paraId="6055B7DC" w14:textId="77777777" w:rsidR="00B41904" w:rsidRPr="00D8608E" w:rsidRDefault="00B41904">
      <w:pPr>
        <w:rPr>
          <w:rFonts w:ascii="Times New Roman" w:hAnsi="Times New Roman" w:cs="Times New Roman"/>
        </w:rPr>
      </w:pPr>
    </w:p>
    <w:sectPr w:rsidR="00B41904" w:rsidRPr="00D86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26E91"/>
    <w:multiLevelType w:val="multilevel"/>
    <w:tmpl w:val="1C7AC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6D67AE"/>
    <w:multiLevelType w:val="multilevel"/>
    <w:tmpl w:val="A5F67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D26862"/>
    <w:multiLevelType w:val="multilevel"/>
    <w:tmpl w:val="6858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5F33AF"/>
    <w:multiLevelType w:val="multilevel"/>
    <w:tmpl w:val="064E1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CF5929"/>
    <w:multiLevelType w:val="multilevel"/>
    <w:tmpl w:val="8F4A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4B4CE1"/>
    <w:multiLevelType w:val="multilevel"/>
    <w:tmpl w:val="37E0D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6E2842"/>
    <w:multiLevelType w:val="multilevel"/>
    <w:tmpl w:val="4548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E54835"/>
    <w:multiLevelType w:val="multilevel"/>
    <w:tmpl w:val="9AB20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347F63"/>
    <w:multiLevelType w:val="multilevel"/>
    <w:tmpl w:val="7A10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020101"/>
    <w:multiLevelType w:val="multilevel"/>
    <w:tmpl w:val="69AA0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0758148">
    <w:abstractNumId w:val="0"/>
  </w:num>
  <w:num w:numId="2" w16cid:durableId="1883058062">
    <w:abstractNumId w:val="7"/>
  </w:num>
  <w:num w:numId="3" w16cid:durableId="1369184868">
    <w:abstractNumId w:val="3"/>
  </w:num>
  <w:num w:numId="4" w16cid:durableId="167332172">
    <w:abstractNumId w:val="2"/>
  </w:num>
  <w:num w:numId="5" w16cid:durableId="2040399339">
    <w:abstractNumId w:val="4"/>
  </w:num>
  <w:num w:numId="6" w16cid:durableId="2039039610">
    <w:abstractNumId w:val="5"/>
  </w:num>
  <w:num w:numId="7" w16cid:durableId="114519060">
    <w:abstractNumId w:val="8"/>
  </w:num>
  <w:num w:numId="8" w16cid:durableId="1222405119">
    <w:abstractNumId w:val="9"/>
  </w:num>
  <w:num w:numId="9" w16cid:durableId="848759516">
    <w:abstractNumId w:val="1"/>
  </w:num>
  <w:num w:numId="10" w16cid:durableId="11758779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959"/>
    <w:rsid w:val="00164B3B"/>
    <w:rsid w:val="002C4B73"/>
    <w:rsid w:val="003F70DD"/>
    <w:rsid w:val="008F6EA0"/>
    <w:rsid w:val="00921959"/>
    <w:rsid w:val="00AC0C13"/>
    <w:rsid w:val="00B41904"/>
    <w:rsid w:val="00D8608E"/>
    <w:rsid w:val="00DF5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B2064"/>
  <w15:chartTrackingRefBased/>
  <w15:docId w15:val="{DE8010AE-11B6-4841-8AFF-6A8438D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19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219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219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19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19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19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9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9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9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9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219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219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19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19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19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9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9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959"/>
    <w:rPr>
      <w:rFonts w:eastAsiaTheme="majorEastAsia" w:cstheme="majorBidi"/>
      <w:color w:val="272727" w:themeColor="text1" w:themeTint="D8"/>
    </w:rPr>
  </w:style>
  <w:style w:type="paragraph" w:styleId="Title">
    <w:name w:val="Title"/>
    <w:basedOn w:val="Normal"/>
    <w:next w:val="Normal"/>
    <w:link w:val="TitleChar"/>
    <w:uiPriority w:val="10"/>
    <w:qFormat/>
    <w:rsid w:val="009219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9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9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9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959"/>
    <w:pPr>
      <w:spacing w:before="160"/>
      <w:jc w:val="center"/>
    </w:pPr>
    <w:rPr>
      <w:i/>
      <w:iCs/>
      <w:color w:val="404040" w:themeColor="text1" w:themeTint="BF"/>
    </w:rPr>
  </w:style>
  <w:style w:type="character" w:customStyle="1" w:styleId="QuoteChar">
    <w:name w:val="Quote Char"/>
    <w:basedOn w:val="DefaultParagraphFont"/>
    <w:link w:val="Quote"/>
    <w:uiPriority w:val="29"/>
    <w:rsid w:val="00921959"/>
    <w:rPr>
      <w:i/>
      <w:iCs/>
      <w:color w:val="404040" w:themeColor="text1" w:themeTint="BF"/>
    </w:rPr>
  </w:style>
  <w:style w:type="paragraph" w:styleId="ListParagraph">
    <w:name w:val="List Paragraph"/>
    <w:basedOn w:val="Normal"/>
    <w:uiPriority w:val="34"/>
    <w:qFormat/>
    <w:rsid w:val="00921959"/>
    <w:pPr>
      <w:ind w:left="720"/>
      <w:contextualSpacing/>
    </w:pPr>
  </w:style>
  <w:style w:type="character" w:styleId="IntenseEmphasis">
    <w:name w:val="Intense Emphasis"/>
    <w:basedOn w:val="DefaultParagraphFont"/>
    <w:uiPriority w:val="21"/>
    <w:qFormat/>
    <w:rsid w:val="00921959"/>
    <w:rPr>
      <w:i/>
      <w:iCs/>
      <w:color w:val="0F4761" w:themeColor="accent1" w:themeShade="BF"/>
    </w:rPr>
  </w:style>
  <w:style w:type="paragraph" w:styleId="IntenseQuote">
    <w:name w:val="Intense Quote"/>
    <w:basedOn w:val="Normal"/>
    <w:next w:val="Normal"/>
    <w:link w:val="IntenseQuoteChar"/>
    <w:uiPriority w:val="30"/>
    <w:qFormat/>
    <w:rsid w:val="009219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1959"/>
    <w:rPr>
      <w:i/>
      <w:iCs/>
      <w:color w:val="0F4761" w:themeColor="accent1" w:themeShade="BF"/>
    </w:rPr>
  </w:style>
  <w:style w:type="character" w:styleId="IntenseReference">
    <w:name w:val="Intense Reference"/>
    <w:basedOn w:val="DefaultParagraphFont"/>
    <w:uiPriority w:val="32"/>
    <w:qFormat/>
    <w:rsid w:val="00921959"/>
    <w:rPr>
      <w:b/>
      <w:bCs/>
      <w:smallCaps/>
      <w:color w:val="0F4761" w:themeColor="accent1" w:themeShade="BF"/>
      <w:spacing w:val="5"/>
    </w:rPr>
  </w:style>
  <w:style w:type="paragraph" w:customStyle="1" w:styleId="ds-markdown-paragraph">
    <w:name w:val="ds-markdown-paragraph"/>
    <w:basedOn w:val="Normal"/>
    <w:rsid w:val="0092195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21959"/>
    <w:rPr>
      <w:b/>
      <w:bCs/>
    </w:rPr>
  </w:style>
  <w:style w:type="character" w:styleId="Emphasis">
    <w:name w:val="Emphasis"/>
    <w:basedOn w:val="DefaultParagraphFont"/>
    <w:uiPriority w:val="20"/>
    <w:qFormat/>
    <w:rsid w:val="009219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19</Pages>
  <Words>3538</Words>
  <Characters>20167</Characters>
  <Application>Microsoft Office Word</Application>
  <DocSecurity>0</DocSecurity>
  <Lines>168</Lines>
  <Paragraphs>47</Paragraphs>
  <ScaleCrop>false</ScaleCrop>
  <Company/>
  <LinksUpToDate>false</LinksUpToDate>
  <CharactersWithSpaces>23658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2026-05-19T15:21:00Z</dcterms:created>
  <dcterms:modified xsi:type="dcterms:W3CDTF">2026-05-19T15:28:00Z</dcterms:modified>
</cp:coreProperties>
</file>