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EB4CE" w14:textId="77777777" w:rsidR="009F7EE3" w:rsidRPr="009F7EE3" w:rsidRDefault="009F7EE3" w:rsidP="009F7EE3">
      <w:pPr>
        <w:shd w:val="clear" w:color="auto" w:fill="FFFFFF"/>
        <w:spacing w:before="480" w:after="240" w:line="510" w:lineRule="atLeast"/>
        <w:outlineLvl w:val="0"/>
        <w:rPr>
          <w:rFonts w:ascii="Segoe UI" w:eastAsia="Times New Roman" w:hAnsi="Segoe UI" w:cs="Segoe UI"/>
          <w:b/>
          <w:bCs/>
          <w:color w:val="0F1115"/>
          <w:kern w:val="36"/>
          <w:sz w:val="36"/>
          <w:szCs w:val="36"/>
          <w14:ligatures w14:val="none"/>
        </w:rPr>
      </w:pPr>
      <w:r w:rsidRPr="009F7EE3">
        <w:rPr>
          <w:rFonts w:ascii="Segoe UI" w:eastAsia="Times New Roman" w:hAnsi="Segoe UI" w:cs="Segoe UI"/>
          <w:b/>
          <w:bCs/>
          <w:color w:val="0F1115"/>
          <w:kern w:val="36"/>
          <w:sz w:val="36"/>
          <w:szCs w:val="36"/>
          <w14:ligatures w14:val="none"/>
        </w:rPr>
        <w:t>Perceptions and Attitudes of the Population of Mbandaka Regarding Preventable Maternal Mortality: A Cross-Sectional Study in the Democratic Republic of the Congo</w:t>
      </w:r>
    </w:p>
    <w:p w14:paraId="44CB23CB"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Author:</w:t>
      </w:r>
      <w:r w:rsidRPr="009F7EE3">
        <w:rPr>
          <w:rFonts w:ascii="Segoe UI" w:eastAsia="Times New Roman" w:hAnsi="Segoe UI" w:cs="Segoe UI"/>
          <w:color w:val="0F1115"/>
          <w:kern w:val="0"/>
          <w14:ligatures w14:val="none"/>
        </w:rPr>
        <w:t> Tolomba Batu Aminata</w:t>
      </w:r>
      <w:r w:rsidRPr="009F7EE3">
        <w:rPr>
          <w:rFonts w:ascii="Segoe UI" w:eastAsia="Times New Roman" w:hAnsi="Segoe UI" w:cs="Segoe UI"/>
          <w:color w:val="0F1115"/>
          <w:kern w:val="0"/>
          <w14:ligatures w14:val="none"/>
        </w:rPr>
        <w:br/>
      </w:r>
      <w:r w:rsidRPr="009F7EE3">
        <w:rPr>
          <w:rFonts w:ascii="Segoe UI" w:eastAsia="Times New Roman" w:hAnsi="Segoe UI" w:cs="Segoe UI"/>
          <w:b/>
          <w:bCs/>
          <w:color w:val="0F1115"/>
          <w:kern w:val="0"/>
          <w14:ligatures w14:val="none"/>
        </w:rPr>
        <w:t>Affiliation:</w:t>
      </w:r>
      <w:r w:rsidRPr="009F7EE3">
        <w:rPr>
          <w:rFonts w:ascii="Segoe UI" w:eastAsia="Times New Roman" w:hAnsi="Segoe UI" w:cs="Segoe UI"/>
          <w:color w:val="0F1115"/>
          <w:kern w:val="0"/>
          <w14:ligatures w14:val="none"/>
        </w:rPr>
        <w:t> Institut Supérieur des Techniques Médicales (ISTM), Mbandaka, Democratic Republic of the Congo</w:t>
      </w:r>
      <w:r w:rsidRPr="009F7EE3">
        <w:rPr>
          <w:rFonts w:ascii="Segoe UI" w:eastAsia="Times New Roman" w:hAnsi="Segoe UI" w:cs="Segoe UI"/>
          <w:color w:val="0F1115"/>
          <w:kern w:val="0"/>
          <w14:ligatures w14:val="none"/>
        </w:rPr>
        <w:br/>
      </w:r>
      <w:r w:rsidRPr="009F7EE3">
        <w:rPr>
          <w:rFonts w:ascii="Segoe UI" w:eastAsia="Times New Roman" w:hAnsi="Segoe UI" w:cs="Segoe UI"/>
          <w:b/>
          <w:bCs/>
          <w:color w:val="0F1115"/>
          <w:kern w:val="0"/>
          <w14:ligatures w14:val="none"/>
        </w:rPr>
        <w:t>Program:</w:t>
      </w:r>
      <w:r w:rsidRPr="009F7EE3">
        <w:rPr>
          <w:rFonts w:ascii="Segoe UI" w:eastAsia="Times New Roman" w:hAnsi="Segoe UI" w:cs="Segoe UI"/>
          <w:color w:val="0F1115"/>
          <w:kern w:val="0"/>
          <w14:ligatures w14:val="none"/>
        </w:rPr>
        <w:t> Bachelor in Community Health – Epidemiology Option</w:t>
      </w:r>
      <w:r w:rsidRPr="009F7EE3">
        <w:rPr>
          <w:rFonts w:ascii="Segoe UI" w:eastAsia="Times New Roman" w:hAnsi="Segoe UI" w:cs="Segoe UI"/>
          <w:color w:val="0F1115"/>
          <w:kern w:val="0"/>
          <w14:ligatures w14:val="none"/>
        </w:rPr>
        <w:br/>
      </w:r>
      <w:r w:rsidRPr="009F7EE3">
        <w:rPr>
          <w:rFonts w:ascii="Segoe UI" w:eastAsia="Times New Roman" w:hAnsi="Segoe UI" w:cs="Segoe UI"/>
          <w:b/>
          <w:bCs/>
          <w:color w:val="0F1115"/>
          <w:kern w:val="0"/>
          <w14:ligatures w14:val="none"/>
        </w:rPr>
        <w:t>Director:</w:t>
      </w:r>
      <w:r w:rsidRPr="009F7EE3">
        <w:rPr>
          <w:rFonts w:ascii="Segoe UI" w:eastAsia="Times New Roman" w:hAnsi="Segoe UI" w:cs="Segoe UI"/>
          <w:color w:val="0F1115"/>
          <w:kern w:val="0"/>
          <w14:ligatures w14:val="none"/>
        </w:rPr>
        <w:t> Prof. Dr. Ebengho Bokelo Max, MD, MPH, PhD</w:t>
      </w:r>
      <w:r w:rsidRPr="009F7EE3">
        <w:rPr>
          <w:rFonts w:ascii="Segoe UI" w:eastAsia="Times New Roman" w:hAnsi="Segoe UI" w:cs="Segoe UI"/>
          <w:color w:val="0F1115"/>
          <w:kern w:val="0"/>
          <w14:ligatures w14:val="none"/>
        </w:rPr>
        <w:br/>
      </w:r>
      <w:r w:rsidRPr="009F7EE3">
        <w:rPr>
          <w:rFonts w:ascii="Segoe UI" w:eastAsia="Times New Roman" w:hAnsi="Segoe UI" w:cs="Segoe UI"/>
          <w:b/>
          <w:bCs/>
          <w:color w:val="0F1115"/>
          <w:kern w:val="0"/>
          <w14:ligatures w14:val="none"/>
        </w:rPr>
        <w:t>Academic Year:</w:t>
      </w:r>
      <w:r w:rsidRPr="009F7EE3">
        <w:rPr>
          <w:rFonts w:ascii="Segoe UI" w:eastAsia="Times New Roman" w:hAnsi="Segoe UI" w:cs="Segoe UI"/>
          <w:color w:val="0F1115"/>
          <w:kern w:val="0"/>
          <w14:ligatures w14:val="none"/>
        </w:rPr>
        <w:t> 2024–2025</w:t>
      </w:r>
    </w:p>
    <w:p w14:paraId="4028FE3C" w14:textId="77777777" w:rsidR="009F7EE3" w:rsidRPr="009F7EE3" w:rsidRDefault="007F72F6" w:rsidP="009F7EE3">
      <w:pPr>
        <w:shd w:val="clear" w:color="auto" w:fill="FFFFFF"/>
        <w:spacing w:before="480" w:after="480" w:line="420" w:lineRule="atLeast"/>
        <w:rPr>
          <w:rFonts w:ascii="Segoe UI" w:eastAsia="Times New Roman" w:hAnsi="Segoe UI" w:cs="Segoe UI"/>
          <w:color w:val="0F1115"/>
          <w:kern w:val="0"/>
          <w14:ligatures w14:val="none"/>
        </w:rPr>
      </w:pPr>
      <w:r w:rsidRPr="007F72F6">
        <w:rPr>
          <w:rFonts w:ascii="Segoe UI" w:eastAsia="Times New Roman" w:hAnsi="Segoe UI" w:cs="Segoe UI"/>
          <w:noProof/>
          <w:color w:val="0F1115"/>
          <w:kern w:val="0"/>
        </w:rPr>
        <w:pict w14:anchorId="331391EE">
          <v:rect id="_x0000_i1034" alt="" style="width:468pt;height:.05pt;mso-width-percent:0;mso-height-percent:0;mso-width-percent:0;mso-height-percent:0" o:hralign="center" o:hrstd="t" o:hr="t" fillcolor="#a0a0a0" stroked="f"/>
        </w:pict>
      </w:r>
    </w:p>
    <w:p w14:paraId="7FAE1551" w14:textId="77777777" w:rsidR="009F7EE3" w:rsidRPr="009F7EE3" w:rsidRDefault="009F7EE3" w:rsidP="009F7EE3">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9F7EE3">
        <w:rPr>
          <w:rFonts w:ascii="Segoe UI" w:eastAsia="Times New Roman" w:hAnsi="Segoe UI" w:cs="Segoe UI"/>
          <w:b/>
          <w:bCs/>
          <w:color w:val="0F1115"/>
          <w:kern w:val="0"/>
          <w:sz w:val="33"/>
          <w:szCs w:val="33"/>
          <w14:ligatures w14:val="none"/>
        </w:rPr>
        <w:t>Abstract</w:t>
      </w:r>
    </w:p>
    <w:p w14:paraId="5474B63E"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Introduction:</w:t>
      </w:r>
      <w:r w:rsidRPr="009F7EE3">
        <w:rPr>
          <w:rFonts w:ascii="Segoe UI" w:eastAsia="Times New Roman" w:hAnsi="Segoe UI" w:cs="Segoe UI"/>
          <w:color w:val="0F1115"/>
          <w:kern w:val="0"/>
          <w14:ligatures w14:val="none"/>
        </w:rPr>
        <w:t> Maternal mortality remains a major public health problem in many developing countries, particularly in sub-Saharan Africa. In the Democratic Republic of the Congo (DRC), maternal mortality ratios remain alarmingly high despite national and international efforts. Community perceptions and attitudes play a crucial role in the use of maternal health services. This study aimed to analyze the perceptions and attitudes of the population of Mbandaka regarding preventable maternal mortality.</w:t>
      </w:r>
    </w:p>
    <w:p w14:paraId="1C803F11"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Methods:</w:t>
      </w:r>
      <w:r w:rsidRPr="009F7EE3">
        <w:rPr>
          <w:rFonts w:ascii="Segoe UI" w:eastAsia="Times New Roman" w:hAnsi="Segoe UI" w:cs="Segoe UI"/>
          <w:color w:val="0F1115"/>
          <w:kern w:val="0"/>
          <w14:ligatures w14:val="none"/>
        </w:rPr>
        <w:t> A community-based cross-sectional descriptive study was conducted from October to December 2025 in Mbandaka city, Équateur Province, DRC. A total of 120 adults aged 18 years and above were selected using simple random sampling. Data were collected using a structured questionnaire administered through face-to-face interviews. Descriptive statistics (frequencies and percentages) were computed for all variables.</w:t>
      </w:r>
    </w:p>
    <w:p w14:paraId="7F004125"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lastRenderedPageBreak/>
        <w:t>Results:</w:t>
      </w:r>
      <w:r w:rsidRPr="009F7EE3">
        <w:rPr>
          <w:rFonts w:ascii="Segoe UI" w:eastAsia="Times New Roman" w:hAnsi="Segoe UI" w:cs="Segoe UI"/>
          <w:color w:val="0F1115"/>
          <w:kern w:val="0"/>
          <w14:ligatures w14:val="none"/>
        </w:rPr>
        <w:t> The sample was predominantly female (56.7%) and aged 26–35 years (35%). The majority (70%) had heard of maternal mortality, with health personnel being the main information source (33.3%). Hemorrhages were perceived as the leading cause of maternal death (28.3%). While 85% recognized maternal mortality as a serious problem, 11.6% still preferred home delivery, 16.7% would consult a traditional healer in case of complications, and 10% would simply wait. Favorable attitudes toward antenatal care (ANC) were expressed by 76.7%, and 85% recognized the importance of community sensitization. Notably, 30% of respondents had no knowledge of maternal mortality at all.</w:t>
      </w:r>
    </w:p>
    <w:p w14:paraId="47D01DB4"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Conclusion:</w:t>
      </w:r>
      <w:r w:rsidRPr="009F7EE3">
        <w:rPr>
          <w:rFonts w:ascii="Segoe UI" w:eastAsia="Times New Roman" w:hAnsi="Segoe UI" w:cs="Segoe UI"/>
          <w:color w:val="0F1115"/>
          <w:kern w:val="0"/>
          <w14:ligatures w14:val="none"/>
        </w:rPr>
        <w:t> Although the majority of the population has positive attitudes toward maternal health services, significant gaps remain. Approximately one-third lacks basic knowledge of maternal mortality, and harmful practices (home delivery, traditional healer consultation, inaction during complications) persist in the community. Strengthening community-based awareness programs, improving access to emergency obstetric care, and actively involving men in maternal health are urgently needed.</w:t>
      </w:r>
    </w:p>
    <w:p w14:paraId="16106693"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Keywords:</w:t>
      </w:r>
      <w:r w:rsidRPr="009F7EE3">
        <w:rPr>
          <w:rFonts w:ascii="Segoe UI" w:eastAsia="Times New Roman" w:hAnsi="Segoe UI" w:cs="Segoe UI"/>
          <w:color w:val="0F1115"/>
          <w:kern w:val="0"/>
          <w14:ligatures w14:val="none"/>
        </w:rPr>
        <w:t> Perceptions, attitudes, maternal mortality, preventable deaths, Mbandaka, Democratic Republic of the Congo</w:t>
      </w:r>
    </w:p>
    <w:p w14:paraId="0E3BC343" w14:textId="77777777" w:rsidR="009F7EE3" w:rsidRPr="009F7EE3" w:rsidRDefault="009F7EE3" w:rsidP="009F7EE3">
      <w:pPr>
        <w:shd w:val="clear" w:color="auto" w:fill="FFFFFF"/>
        <w:spacing w:before="480" w:after="48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pict w14:anchorId="48AE9135">
          <v:rect id="_x0000_i1026" style="width:0;height:.75pt" o:hralign="center" o:hrstd="t" o:hr="t" fillcolor="#a0a0a0" stroked="f"/>
        </w:pict>
      </w:r>
    </w:p>
    <w:p w14:paraId="25BE9B1D" w14:textId="77777777" w:rsidR="009F7EE3" w:rsidRPr="009F7EE3" w:rsidRDefault="009F7EE3" w:rsidP="009F7EE3">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9F7EE3">
        <w:rPr>
          <w:rFonts w:ascii="Segoe UI" w:eastAsia="Times New Roman" w:hAnsi="Segoe UI" w:cs="Segoe UI"/>
          <w:b/>
          <w:bCs/>
          <w:color w:val="0F1115"/>
          <w:kern w:val="0"/>
          <w:sz w:val="33"/>
          <w:szCs w:val="33"/>
          <w14:ligatures w14:val="none"/>
        </w:rPr>
        <w:t>1. Introduction</w:t>
      </w:r>
    </w:p>
    <w:p w14:paraId="1C515CBD"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Maternal mortality is one of the most critical indicators of health system performance and socioeconomic development. According to the World Health Organization (WHO), approximately 287,000 women died from pregnancy-related complications in 2020, with sub-Saharan Africa accounting for about 70% of these deaths (WHO, 2023). The majority of these deaths are preventable through timely access to quality obstetric care, skilled birth attendance, and effective antenatal services.</w:t>
      </w:r>
    </w:p>
    <w:p w14:paraId="785F70C9"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lastRenderedPageBreak/>
        <w:t>The Democratic Republic of the Congo (DRC) has one of the highest maternal mortality ratios in the world, estimated at 547 deaths per 100,000 live births (Ministère de la Santé, 2022). This figure is far above the Sustainable Development Goal (SDG) target of less than 70 deaths per 100,000 live births by 2030. Despite the implementation of national reproductive health programs and the expansion of health facilities, maternal deaths continue to occur at alarming rates.</w:t>
      </w:r>
    </w:p>
    <w:p w14:paraId="0076BCB8"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Mbandaka, the capital of Équateur Province, is a city of approximately 300,000 inhabitants. While several health facilities exist, including referral hospitals and primary health centers, maternal deaths remain frequent. The "three delays" model proposed by Thaddeus and Maine (1994) provides a useful framework for understanding the causes: delay in deciding to seek care (influenced by perceptions and attitudes), delay in reaching a health facility, and delay in receiving adequate care at the facility.</w:t>
      </w:r>
    </w:p>
    <w:p w14:paraId="66328F52"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Community perceptions and attitudes are particularly important for the first delay. If a pregnant woman or her family does not recognize the danger signs of pregnancy, believes that childbirth is a natural event requiring no medical intervention, or trusts traditional healers more than biomedical providers, she is more likely to delay seeking care. Understanding these perceptions and attitudes is essential for designing effective, culturally adapted interventions.</w:t>
      </w:r>
    </w:p>
    <w:p w14:paraId="3CB12AA3"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This study therefore aimed to answer the research question: </w:t>
      </w:r>
      <w:r w:rsidRPr="009F7EE3">
        <w:rPr>
          <w:rFonts w:ascii="Segoe UI" w:eastAsia="Times New Roman" w:hAnsi="Segoe UI" w:cs="Segoe UI"/>
          <w:b/>
          <w:bCs/>
          <w:color w:val="0F1115"/>
          <w:kern w:val="0"/>
          <w14:ligatures w14:val="none"/>
        </w:rPr>
        <w:t>What are the perceptions and attitudes of the population of Mbandaka regarding preventable maternal mortality?</w:t>
      </w:r>
    </w:p>
    <w:p w14:paraId="73BD7917"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The specific objectives were:</w:t>
      </w:r>
    </w:p>
    <w:p w14:paraId="46DB6B4E" w14:textId="77777777" w:rsidR="009F7EE3" w:rsidRPr="009F7EE3" w:rsidRDefault="009F7EE3" w:rsidP="009F7EE3">
      <w:pPr>
        <w:numPr>
          <w:ilvl w:val="0"/>
          <w:numId w:val="1"/>
        </w:numPr>
        <w:shd w:val="clear" w:color="auto" w:fill="FFFFFF"/>
        <w:spacing w:after="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To assess the level of knowledge about maternal mortality among the population of Mbandaka.</w:t>
      </w:r>
    </w:p>
    <w:p w14:paraId="6AB0643A" w14:textId="77777777" w:rsidR="009F7EE3" w:rsidRPr="009F7EE3" w:rsidRDefault="009F7EE3" w:rsidP="009F7EE3">
      <w:pPr>
        <w:numPr>
          <w:ilvl w:val="0"/>
          <w:numId w:val="1"/>
        </w:numPr>
        <w:shd w:val="clear" w:color="auto" w:fill="FFFFFF"/>
        <w:spacing w:after="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To identify population perceptions regarding the causes of maternal mortality.</w:t>
      </w:r>
    </w:p>
    <w:p w14:paraId="0C01FD8F" w14:textId="77777777" w:rsidR="009F7EE3" w:rsidRPr="009F7EE3" w:rsidRDefault="009F7EE3" w:rsidP="009F7EE3">
      <w:pPr>
        <w:numPr>
          <w:ilvl w:val="0"/>
          <w:numId w:val="1"/>
        </w:numPr>
        <w:shd w:val="clear" w:color="auto" w:fill="FFFFFF"/>
        <w:spacing w:after="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To determine population attitudes toward the use of maternal health services.</w:t>
      </w:r>
    </w:p>
    <w:p w14:paraId="43690D6C" w14:textId="77777777" w:rsidR="009F7EE3" w:rsidRPr="009F7EE3" w:rsidRDefault="009F7EE3" w:rsidP="009F7EE3">
      <w:pPr>
        <w:numPr>
          <w:ilvl w:val="0"/>
          <w:numId w:val="1"/>
        </w:numPr>
        <w:shd w:val="clear" w:color="auto" w:fill="FFFFFF"/>
        <w:spacing w:after="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To propose strategies for reducing preventable maternal mortality in Mbandaka.</w:t>
      </w:r>
    </w:p>
    <w:p w14:paraId="3034C419" w14:textId="77777777" w:rsidR="009F7EE3" w:rsidRPr="009F7EE3" w:rsidRDefault="009F7EE3" w:rsidP="009F7EE3">
      <w:pPr>
        <w:shd w:val="clear" w:color="auto" w:fill="FFFFFF"/>
        <w:spacing w:before="480" w:after="48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lastRenderedPageBreak/>
        <w:pict w14:anchorId="6C05814F">
          <v:rect id="_x0000_i1027" style="width:0;height:.75pt" o:hralign="center" o:hrstd="t" o:hr="t" fillcolor="#a0a0a0" stroked="f"/>
        </w:pict>
      </w:r>
    </w:p>
    <w:p w14:paraId="7353C114" w14:textId="77777777" w:rsidR="009F7EE3" w:rsidRPr="009F7EE3" w:rsidRDefault="009F7EE3" w:rsidP="009F7EE3">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9F7EE3">
        <w:rPr>
          <w:rFonts w:ascii="Segoe UI" w:eastAsia="Times New Roman" w:hAnsi="Segoe UI" w:cs="Segoe UI"/>
          <w:b/>
          <w:bCs/>
          <w:color w:val="0F1115"/>
          <w:kern w:val="0"/>
          <w:sz w:val="33"/>
          <w:szCs w:val="33"/>
          <w14:ligatures w14:val="none"/>
        </w:rPr>
        <w:t>2. Methods</w:t>
      </w:r>
    </w:p>
    <w:p w14:paraId="6F231FD6" w14:textId="77777777" w:rsidR="009F7EE3" w:rsidRPr="009F7EE3" w:rsidRDefault="009F7EE3" w:rsidP="009F7EE3">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9F7EE3">
        <w:rPr>
          <w:rFonts w:ascii="Segoe UI" w:eastAsia="Times New Roman" w:hAnsi="Segoe UI" w:cs="Segoe UI"/>
          <w:b/>
          <w:bCs/>
          <w:color w:val="0F1115"/>
          <w:kern w:val="0"/>
          <w:sz w:val="30"/>
          <w:szCs w:val="30"/>
          <w14:ligatures w14:val="none"/>
        </w:rPr>
        <w:t>2.1. Study Design and Setting</w:t>
      </w:r>
    </w:p>
    <w:p w14:paraId="31895372"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A </w:t>
      </w:r>
      <w:r w:rsidRPr="009F7EE3">
        <w:rPr>
          <w:rFonts w:ascii="Segoe UI" w:eastAsia="Times New Roman" w:hAnsi="Segoe UI" w:cs="Segoe UI"/>
          <w:b/>
          <w:bCs/>
          <w:color w:val="0F1115"/>
          <w:kern w:val="0"/>
          <w14:ligatures w14:val="none"/>
        </w:rPr>
        <w:t>community-based cross-sectional descriptive study</w:t>
      </w:r>
      <w:r w:rsidRPr="009F7EE3">
        <w:rPr>
          <w:rFonts w:ascii="Segoe UI" w:eastAsia="Times New Roman" w:hAnsi="Segoe UI" w:cs="Segoe UI"/>
          <w:color w:val="0F1115"/>
          <w:kern w:val="0"/>
          <w14:ligatures w14:val="none"/>
        </w:rPr>
        <w:t> was conducted from October to December 2025 in Mbandaka city, the capital of Équateur Province, Democratic Republic of the Congo. Mbandaka is located on the left bank of the Congo River and serves as the administrative, economic, and health hub of the province. The city comprises three health zones: Wangata, Mbandaka, and Bolenge, each with referral hospitals and primary health centers.</w:t>
      </w:r>
    </w:p>
    <w:p w14:paraId="7C531C3E" w14:textId="77777777" w:rsidR="009F7EE3" w:rsidRPr="009F7EE3" w:rsidRDefault="009F7EE3" w:rsidP="009F7EE3">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9F7EE3">
        <w:rPr>
          <w:rFonts w:ascii="Segoe UI" w:eastAsia="Times New Roman" w:hAnsi="Segoe UI" w:cs="Segoe UI"/>
          <w:b/>
          <w:bCs/>
          <w:color w:val="0F1115"/>
          <w:kern w:val="0"/>
          <w:sz w:val="30"/>
          <w:szCs w:val="30"/>
          <w14:ligatures w14:val="none"/>
        </w:rPr>
        <w:t>2.2. Target Population and Sampling</w:t>
      </w:r>
    </w:p>
    <w:p w14:paraId="1B6F82F1"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The target population comprised all residents of Mbandaka city aged 18 years and above. Inclusion criteria were: (a) age ≥ 18 years, (b) residency in Mbandaka, and (c) voluntary consent to participate. Exclusion criteria were: (a) refusal to participate, (b) absence during data collection, or (c) incomplete questionnaires.</w:t>
      </w:r>
    </w:p>
    <w:p w14:paraId="1FFF1A2A"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Using </w:t>
      </w:r>
      <w:r w:rsidRPr="009F7EE3">
        <w:rPr>
          <w:rFonts w:ascii="Segoe UI" w:eastAsia="Times New Roman" w:hAnsi="Segoe UI" w:cs="Segoe UI"/>
          <w:b/>
          <w:bCs/>
          <w:color w:val="0F1115"/>
          <w:kern w:val="0"/>
          <w14:ligatures w14:val="none"/>
        </w:rPr>
        <w:t>simple random sampling</w:t>
      </w:r>
      <w:r w:rsidRPr="009F7EE3">
        <w:rPr>
          <w:rFonts w:ascii="Segoe UI" w:eastAsia="Times New Roman" w:hAnsi="Segoe UI" w:cs="Segoe UI"/>
          <w:color w:val="0F1115"/>
          <w:kern w:val="0"/>
          <w14:ligatures w14:val="none"/>
        </w:rPr>
        <w:t>, households were selected from different neighborhoods of Mbandaka to ensure diversity. Within each selected household, one eligible adult was interviewed. The sample size was set at </w:t>
      </w:r>
      <w:r w:rsidRPr="009F7EE3">
        <w:rPr>
          <w:rFonts w:ascii="Segoe UI" w:eastAsia="Times New Roman" w:hAnsi="Segoe UI" w:cs="Segoe UI"/>
          <w:b/>
          <w:bCs/>
          <w:color w:val="0F1115"/>
          <w:kern w:val="0"/>
          <w14:ligatures w14:val="none"/>
        </w:rPr>
        <w:t>120 participants</w:t>
      </w:r>
      <w:r w:rsidRPr="009F7EE3">
        <w:rPr>
          <w:rFonts w:ascii="Segoe UI" w:eastAsia="Times New Roman" w:hAnsi="Segoe UI" w:cs="Segoe UI"/>
          <w:color w:val="0F1115"/>
          <w:kern w:val="0"/>
          <w14:ligatures w14:val="none"/>
        </w:rPr>
        <w:t>, which was deemed sufficient for descriptive analysis given the resources available.</w:t>
      </w:r>
    </w:p>
    <w:p w14:paraId="189B8318" w14:textId="77777777" w:rsidR="009F7EE3" w:rsidRPr="009F7EE3" w:rsidRDefault="009F7EE3" w:rsidP="009F7EE3">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9F7EE3">
        <w:rPr>
          <w:rFonts w:ascii="Segoe UI" w:eastAsia="Times New Roman" w:hAnsi="Segoe UI" w:cs="Segoe UI"/>
          <w:b/>
          <w:bCs/>
          <w:color w:val="0F1115"/>
          <w:kern w:val="0"/>
          <w:sz w:val="30"/>
          <w:szCs w:val="30"/>
          <w14:ligatures w14:val="none"/>
        </w:rPr>
        <w:t>2.3. Data Collection Instrument and Procedures</w:t>
      </w:r>
    </w:p>
    <w:p w14:paraId="2100EE49"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A </w:t>
      </w:r>
      <w:r w:rsidRPr="009F7EE3">
        <w:rPr>
          <w:rFonts w:ascii="Segoe UI" w:eastAsia="Times New Roman" w:hAnsi="Segoe UI" w:cs="Segoe UI"/>
          <w:b/>
          <w:bCs/>
          <w:color w:val="0F1115"/>
          <w:kern w:val="0"/>
          <w14:ligatures w14:val="none"/>
        </w:rPr>
        <w:t>structured questionnaire</w:t>
      </w:r>
      <w:r w:rsidRPr="009F7EE3">
        <w:rPr>
          <w:rFonts w:ascii="Segoe UI" w:eastAsia="Times New Roman" w:hAnsi="Segoe UI" w:cs="Segoe UI"/>
          <w:color w:val="0F1115"/>
          <w:kern w:val="0"/>
          <w14:ligatures w14:val="none"/>
        </w:rPr>
        <w:t> was developed based on the literature review and pretested on 10 individuals (not included in the final sample). The questionnaire comprised four sections:</w:t>
      </w:r>
    </w:p>
    <w:p w14:paraId="3BC233B2" w14:textId="77777777" w:rsidR="009F7EE3" w:rsidRPr="009F7EE3" w:rsidRDefault="009F7EE3" w:rsidP="009F7EE3">
      <w:pPr>
        <w:numPr>
          <w:ilvl w:val="0"/>
          <w:numId w:val="2"/>
        </w:numPr>
        <w:shd w:val="clear" w:color="auto" w:fill="FFFFFF"/>
        <w:spacing w:after="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lastRenderedPageBreak/>
        <w:t>Sociodemographic characteristics:</w:t>
      </w:r>
      <w:r w:rsidRPr="009F7EE3">
        <w:rPr>
          <w:rFonts w:ascii="Segoe UI" w:eastAsia="Times New Roman" w:hAnsi="Segoe UI" w:cs="Segoe UI"/>
          <w:color w:val="0F1115"/>
          <w:kern w:val="0"/>
          <w14:ligatures w14:val="none"/>
        </w:rPr>
        <w:t> age, sex, education level, occupation, marital status.</w:t>
      </w:r>
    </w:p>
    <w:p w14:paraId="244610F4" w14:textId="77777777" w:rsidR="009F7EE3" w:rsidRPr="009F7EE3" w:rsidRDefault="009F7EE3" w:rsidP="009F7EE3">
      <w:pPr>
        <w:numPr>
          <w:ilvl w:val="0"/>
          <w:numId w:val="2"/>
        </w:numPr>
        <w:shd w:val="clear" w:color="auto" w:fill="FFFFFF"/>
        <w:spacing w:after="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Knowledge about maternal mortality:</w:t>
      </w:r>
      <w:r w:rsidRPr="009F7EE3">
        <w:rPr>
          <w:rFonts w:ascii="Segoe UI" w:eastAsia="Times New Roman" w:hAnsi="Segoe UI" w:cs="Segoe UI"/>
          <w:color w:val="0F1115"/>
          <w:kern w:val="0"/>
          <w14:ligatures w14:val="none"/>
        </w:rPr>
        <w:t> awareness, sources of information.</w:t>
      </w:r>
    </w:p>
    <w:p w14:paraId="2F051996" w14:textId="77777777" w:rsidR="009F7EE3" w:rsidRPr="009F7EE3" w:rsidRDefault="009F7EE3" w:rsidP="009F7EE3">
      <w:pPr>
        <w:numPr>
          <w:ilvl w:val="0"/>
          <w:numId w:val="2"/>
        </w:numPr>
        <w:shd w:val="clear" w:color="auto" w:fill="FFFFFF"/>
        <w:spacing w:after="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Perceptions:</w:t>
      </w:r>
      <w:r w:rsidRPr="009F7EE3">
        <w:rPr>
          <w:rFonts w:ascii="Segoe UI" w:eastAsia="Times New Roman" w:hAnsi="Segoe UI" w:cs="Segoe UI"/>
          <w:color w:val="0F1115"/>
          <w:kern w:val="0"/>
          <w14:ligatures w14:val="none"/>
        </w:rPr>
        <w:t> perceived causes of maternal mortality, perceived severity.</w:t>
      </w:r>
    </w:p>
    <w:p w14:paraId="71B36B20" w14:textId="77777777" w:rsidR="009F7EE3" w:rsidRPr="009F7EE3" w:rsidRDefault="009F7EE3" w:rsidP="009F7EE3">
      <w:pPr>
        <w:numPr>
          <w:ilvl w:val="0"/>
          <w:numId w:val="2"/>
        </w:numPr>
        <w:shd w:val="clear" w:color="auto" w:fill="FFFFFF"/>
        <w:spacing w:after="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Attitudes toward maternal health services:</w:t>
      </w:r>
      <w:r w:rsidRPr="009F7EE3">
        <w:rPr>
          <w:rFonts w:ascii="Segoe UI" w:eastAsia="Times New Roman" w:hAnsi="Segoe UI" w:cs="Segoe UI"/>
          <w:color w:val="0F1115"/>
          <w:kern w:val="0"/>
          <w14:ligatures w14:val="none"/>
        </w:rPr>
        <w:t> antenatal care attendance, preferred place of delivery, response to obstetric complications, perceived importance of community sensitization.</w:t>
      </w:r>
    </w:p>
    <w:p w14:paraId="0B21B073"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Data were collected through face-to-face interviews conducted by trained research assistants. Each interview lasted approximately 10–15 minutes. Anonymity was ensured by using unique participant codes.</w:t>
      </w:r>
    </w:p>
    <w:p w14:paraId="267AEEFD" w14:textId="77777777" w:rsidR="009F7EE3" w:rsidRPr="009F7EE3" w:rsidRDefault="009F7EE3" w:rsidP="009F7EE3">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9F7EE3">
        <w:rPr>
          <w:rFonts w:ascii="Segoe UI" w:eastAsia="Times New Roman" w:hAnsi="Segoe UI" w:cs="Segoe UI"/>
          <w:b/>
          <w:bCs/>
          <w:color w:val="0F1115"/>
          <w:kern w:val="0"/>
          <w:sz w:val="30"/>
          <w:szCs w:val="30"/>
          <w14:ligatures w14:val="none"/>
        </w:rPr>
        <w:t>2.4. Variables</w:t>
      </w:r>
    </w:p>
    <w:p w14:paraId="552F3720"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Sociodemographic variables:</w:t>
      </w:r>
      <w:r w:rsidRPr="009F7EE3">
        <w:rPr>
          <w:rFonts w:ascii="Segoe UI" w:eastAsia="Times New Roman" w:hAnsi="Segoe UI" w:cs="Segoe UI"/>
          <w:color w:val="0F1115"/>
          <w:kern w:val="0"/>
          <w14:ligatures w14:val="none"/>
        </w:rPr>
        <w:t> age, sex, education level, occupation, marital status.</w:t>
      </w:r>
    </w:p>
    <w:p w14:paraId="0F62B0F4"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Knowledge variables:</w:t>
      </w:r>
      <w:r w:rsidRPr="009F7EE3">
        <w:rPr>
          <w:rFonts w:ascii="Segoe UI" w:eastAsia="Times New Roman" w:hAnsi="Segoe UI" w:cs="Segoe UI"/>
          <w:color w:val="0F1115"/>
          <w:kern w:val="0"/>
          <w14:ligatures w14:val="none"/>
        </w:rPr>
        <w:t> awareness of maternal mortality, sources of information.</w:t>
      </w:r>
    </w:p>
    <w:p w14:paraId="582B2A73"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Perception variables:</w:t>
      </w:r>
      <w:r w:rsidRPr="009F7EE3">
        <w:rPr>
          <w:rFonts w:ascii="Segoe UI" w:eastAsia="Times New Roman" w:hAnsi="Segoe UI" w:cs="Segoe UI"/>
          <w:color w:val="0F1115"/>
          <w:kern w:val="0"/>
          <w14:ligatures w14:val="none"/>
        </w:rPr>
        <w:t> perceived causes, perceived severity.</w:t>
      </w:r>
    </w:p>
    <w:p w14:paraId="0B086542"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Attitude variables:</w:t>
      </w:r>
      <w:r w:rsidRPr="009F7EE3">
        <w:rPr>
          <w:rFonts w:ascii="Segoe UI" w:eastAsia="Times New Roman" w:hAnsi="Segoe UI" w:cs="Segoe UI"/>
          <w:color w:val="0F1115"/>
          <w:kern w:val="0"/>
          <w14:ligatures w14:val="none"/>
        </w:rPr>
        <w:t> favorability toward ANC, preferred delivery place, response to complications, perceived importance of sensitization.</w:t>
      </w:r>
    </w:p>
    <w:p w14:paraId="5C214288" w14:textId="77777777" w:rsidR="009F7EE3" w:rsidRPr="009F7EE3" w:rsidRDefault="009F7EE3" w:rsidP="009F7EE3">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9F7EE3">
        <w:rPr>
          <w:rFonts w:ascii="Segoe UI" w:eastAsia="Times New Roman" w:hAnsi="Segoe UI" w:cs="Segoe UI"/>
          <w:b/>
          <w:bCs/>
          <w:color w:val="0F1115"/>
          <w:kern w:val="0"/>
          <w:sz w:val="30"/>
          <w:szCs w:val="30"/>
          <w14:ligatures w14:val="none"/>
        </w:rPr>
        <w:t>2.5. Data Analysis</w:t>
      </w:r>
    </w:p>
    <w:p w14:paraId="03024609"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Data were entered into Microsoft Excel and analyzed using descriptive statistics. Frequencies and percentages were calculated for all categorical variables. No inferential statistical tests were applied, as the study was purely descriptive.</w:t>
      </w:r>
    </w:p>
    <w:p w14:paraId="09456698" w14:textId="77777777" w:rsidR="009F7EE3" w:rsidRPr="009F7EE3" w:rsidRDefault="009F7EE3" w:rsidP="009F7EE3">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9F7EE3">
        <w:rPr>
          <w:rFonts w:ascii="Segoe UI" w:eastAsia="Times New Roman" w:hAnsi="Segoe UI" w:cs="Segoe UI"/>
          <w:b/>
          <w:bCs/>
          <w:color w:val="0F1115"/>
          <w:kern w:val="0"/>
          <w:sz w:val="30"/>
          <w:szCs w:val="30"/>
          <w14:ligatures w14:val="none"/>
        </w:rPr>
        <w:t>2.6. Ethical Considerations</w:t>
      </w:r>
    </w:p>
    <w:p w14:paraId="467D85D9"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 xml:space="preserve">Ethical approval was obtained from the ISTM Mbandaka research ethics committee and the provincial health authorities. Written informed consent was obtained from all </w:t>
      </w:r>
      <w:r w:rsidRPr="009F7EE3">
        <w:rPr>
          <w:rFonts w:ascii="Segoe UI" w:eastAsia="Times New Roman" w:hAnsi="Segoe UI" w:cs="Segoe UI"/>
          <w:color w:val="0F1115"/>
          <w:kern w:val="0"/>
          <w14:ligatures w14:val="none"/>
        </w:rPr>
        <w:lastRenderedPageBreak/>
        <w:t>participants after explaining the study objectives, procedures, and their rights. Participation was voluntary, and respondents could withdraw at any time without consequence. Confidentiality and anonymity were strictly maintained; no names were recorded.</w:t>
      </w:r>
    </w:p>
    <w:p w14:paraId="5884C23E" w14:textId="77777777" w:rsidR="009F7EE3" w:rsidRPr="009F7EE3" w:rsidRDefault="009F7EE3" w:rsidP="009F7EE3">
      <w:pPr>
        <w:shd w:val="clear" w:color="auto" w:fill="FFFFFF"/>
        <w:spacing w:before="480" w:after="48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pict w14:anchorId="2A3E927C">
          <v:rect id="_x0000_i1028" style="width:0;height:.75pt" o:hralign="center" o:hrstd="t" o:hr="t" fillcolor="#a0a0a0" stroked="f"/>
        </w:pict>
      </w:r>
    </w:p>
    <w:p w14:paraId="781CAF12" w14:textId="77777777" w:rsidR="009F7EE3" w:rsidRPr="009F7EE3" w:rsidRDefault="009F7EE3" w:rsidP="009F7EE3">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9F7EE3">
        <w:rPr>
          <w:rFonts w:ascii="Segoe UI" w:eastAsia="Times New Roman" w:hAnsi="Segoe UI" w:cs="Segoe UI"/>
          <w:b/>
          <w:bCs/>
          <w:color w:val="0F1115"/>
          <w:kern w:val="0"/>
          <w:sz w:val="33"/>
          <w:szCs w:val="33"/>
          <w14:ligatures w14:val="none"/>
        </w:rPr>
        <w:t>3. Results</w:t>
      </w:r>
    </w:p>
    <w:p w14:paraId="7F752A9D" w14:textId="77777777" w:rsidR="009F7EE3" w:rsidRPr="009F7EE3" w:rsidRDefault="009F7EE3" w:rsidP="009F7EE3">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9F7EE3">
        <w:rPr>
          <w:rFonts w:ascii="Segoe UI" w:eastAsia="Times New Roman" w:hAnsi="Segoe UI" w:cs="Segoe UI"/>
          <w:b/>
          <w:bCs/>
          <w:color w:val="0F1115"/>
          <w:kern w:val="0"/>
          <w:sz w:val="30"/>
          <w:szCs w:val="30"/>
          <w14:ligatures w14:val="none"/>
        </w:rPr>
        <w:t>3.1. Sociodemographic Characteristics of Participants</w:t>
      </w:r>
    </w:p>
    <w:p w14:paraId="4CF0CA96"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A total of 120 participants were enrolled (response rate: 100%). Table 1 presents the sociodemographic profile.</w:t>
      </w:r>
    </w:p>
    <w:p w14:paraId="4C98B894"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Table 1</w:t>
      </w:r>
      <w:r w:rsidRPr="009F7EE3">
        <w:rPr>
          <w:rFonts w:ascii="Segoe UI" w:eastAsia="Times New Roman" w:hAnsi="Segoe UI" w:cs="Segoe UI"/>
          <w:color w:val="0F1115"/>
          <w:kern w:val="0"/>
          <w14:ligatures w14:val="none"/>
        </w:rPr>
        <w:br/>
        <w:t>*Sociodemographic Characteristics of Participants (N = 120)*</w:t>
      </w:r>
    </w:p>
    <w:tbl>
      <w:tblPr>
        <w:tblW w:w="0" w:type="auto"/>
        <w:tblCellMar>
          <w:top w:w="15" w:type="dxa"/>
          <w:left w:w="15" w:type="dxa"/>
          <w:bottom w:w="15" w:type="dxa"/>
          <w:right w:w="15" w:type="dxa"/>
        </w:tblCellMar>
        <w:tblLook w:val="04A0" w:firstRow="1" w:lastRow="0" w:firstColumn="1" w:lastColumn="0" w:noHBand="0" w:noVBand="1"/>
      </w:tblPr>
      <w:tblGrid>
        <w:gridCol w:w="1881"/>
        <w:gridCol w:w="2579"/>
        <w:gridCol w:w="728"/>
        <w:gridCol w:w="669"/>
      </w:tblGrid>
      <w:tr w:rsidR="009F7EE3" w:rsidRPr="009F7EE3" w14:paraId="6B6504E3" w14:textId="77777777">
        <w:trPr>
          <w:tblHeader/>
        </w:trPr>
        <w:tc>
          <w:tcPr>
            <w:tcW w:w="0" w:type="auto"/>
            <w:tcBorders>
              <w:top w:val="nil"/>
            </w:tcBorders>
            <w:tcMar>
              <w:top w:w="150" w:type="dxa"/>
              <w:left w:w="0" w:type="dxa"/>
              <w:bottom w:w="150" w:type="dxa"/>
              <w:right w:w="240" w:type="dxa"/>
            </w:tcMar>
            <w:vAlign w:val="center"/>
            <w:hideMark/>
          </w:tcPr>
          <w:p w14:paraId="19EDE8A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Characteristic</w:t>
            </w:r>
          </w:p>
        </w:tc>
        <w:tc>
          <w:tcPr>
            <w:tcW w:w="0" w:type="auto"/>
            <w:tcBorders>
              <w:top w:val="nil"/>
            </w:tcBorders>
            <w:tcMar>
              <w:top w:w="150" w:type="dxa"/>
              <w:left w:w="240" w:type="dxa"/>
              <w:bottom w:w="150" w:type="dxa"/>
              <w:right w:w="240" w:type="dxa"/>
            </w:tcMar>
            <w:vAlign w:val="center"/>
            <w:hideMark/>
          </w:tcPr>
          <w:p w14:paraId="5703DF55"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Category</w:t>
            </w:r>
          </w:p>
        </w:tc>
        <w:tc>
          <w:tcPr>
            <w:tcW w:w="0" w:type="auto"/>
            <w:tcBorders>
              <w:top w:val="nil"/>
            </w:tcBorders>
            <w:tcMar>
              <w:top w:w="150" w:type="dxa"/>
              <w:left w:w="240" w:type="dxa"/>
              <w:bottom w:w="150" w:type="dxa"/>
              <w:right w:w="240" w:type="dxa"/>
            </w:tcMar>
            <w:vAlign w:val="center"/>
            <w:hideMark/>
          </w:tcPr>
          <w:p w14:paraId="4A9B9958"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4E569A29"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w:t>
            </w:r>
          </w:p>
        </w:tc>
      </w:tr>
      <w:tr w:rsidR="009F7EE3" w:rsidRPr="009F7EE3" w14:paraId="5D218129" w14:textId="77777777">
        <w:tc>
          <w:tcPr>
            <w:tcW w:w="0" w:type="auto"/>
            <w:tcMar>
              <w:top w:w="150" w:type="dxa"/>
              <w:left w:w="0" w:type="dxa"/>
              <w:bottom w:w="150" w:type="dxa"/>
              <w:right w:w="240" w:type="dxa"/>
            </w:tcMar>
            <w:vAlign w:val="center"/>
            <w:hideMark/>
          </w:tcPr>
          <w:p w14:paraId="1D796B2F"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b/>
                <w:bCs/>
                <w:kern w:val="0"/>
                <w:sz w:val="23"/>
                <w:szCs w:val="23"/>
                <w14:ligatures w14:val="none"/>
              </w:rPr>
              <w:t>Sex</w:t>
            </w:r>
          </w:p>
        </w:tc>
        <w:tc>
          <w:tcPr>
            <w:tcW w:w="0" w:type="auto"/>
            <w:tcMar>
              <w:top w:w="150" w:type="dxa"/>
              <w:left w:w="240" w:type="dxa"/>
              <w:bottom w:w="150" w:type="dxa"/>
              <w:right w:w="240" w:type="dxa"/>
            </w:tcMar>
            <w:vAlign w:val="center"/>
            <w:hideMark/>
          </w:tcPr>
          <w:p w14:paraId="5611A125"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Male</w:t>
            </w:r>
          </w:p>
        </w:tc>
        <w:tc>
          <w:tcPr>
            <w:tcW w:w="0" w:type="auto"/>
            <w:tcMar>
              <w:top w:w="150" w:type="dxa"/>
              <w:left w:w="240" w:type="dxa"/>
              <w:bottom w:w="150" w:type="dxa"/>
              <w:right w:w="240" w:type="dxa"/>
            </w:tcMar>
            <w:vAlign w:val="center"/>
            <w:hideMark/>
          </w:tcPr>
          <w:p w14:paraId="7D5FF5AF"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52</w:t>
            </w:r>
          </w:p>
        </w:tc>
        <w:tc>
          <w:tcPr>
            <w:tcW w:w="0" w:type="auto"/>
            <w:tcMar>
              <w:top w:w="150" w:type="dxa"/>
              <w:left w:w="240" w:type="dxa"/>
              <w:bottom w:w="150" w:type="dxa"/>
              <w:right w:w="0" w:type="dxa"/>
            </w:tcMar>
            <w:vAlign w:val="center"/>
            <w:hideMark/>
          </w:tcPr>
          <w:p w14:paraId="65613455"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43.3</w:t>
            </w:r>
          </w:p>
        </w:tc>
      </w:tr>
      <w:tr w:rsidR="009F7EE3" w:rsidRPr="009F7EE3" w14:paraId="1EE42B4E" w14:textId="77777777">
        <w:tc>
          <w:tcPr>
            <w:tcW w:w="0" w:type="auto"/>
            <w:tcMar>
              <w:top w:w="150" w:type="dxa"/>
              <w:left w:w="0" w:type="dxa"/>
              <w:bottom w:w="150" w:type="dxa"/>
              <w:right w:w="240" w:type="dxa"/>
            </w:tcMar>
            <w:vAlign w:val="center"/>
            <w:hideMark/>
          </w:tcPr>
          <w:p w14:paraId="6964EB6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5FA751F0"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Female</w:t>
            </w:r>
          </w:p>
        </w:tc>
        <w:tc>
          <w:tcPr>
            <w:tcW w:w="0" w:type="auto"/>
            <w:tcMar>
              <w:top w:w="150" w:type="dxa"/>
              <w:left w:w="240" w:type="dxa"/>
              <w:bottom w:w="150" w:type="dxa"/>
              <w:right w:w="240" w:type="dxa"/>
            </w:tcMar>
            <w:vAlign w:val="center"/>
            <w:hideMark/>
          </w:tcPr>
          <w:p w14:paraId="30FF52A2"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68</w:t>
            </w:r>
          </w:p>
        </w:tc>
        <w:tc>
          <w:tcPr>
            <w:tcW w:w="0" w:type="auto"/>
            <w:tcMar>
              <w:top w:w="150" w:type="dxa"/>
              <w:left w:w="240" w:type="dxa"/>
              <w:bottom w:w="150" w:type="dxa"/>
              <w:right w:w="0" w:type="dxa"/>
            </w:tcMar>
            <w:vAlign w:val="center"/>
            <w:hideMark/>
          </w:tcPr>
          <w:p w14:paraId="4E11E0A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56.7</w:t>
            </w:r>
          </w:p>
        </w:tc>
      </w:tr>
      <w:tr w:rsidR="009F7EE3" w:rsidRPr="009F7EE3" w14:paraId="675B2ED5" w14:textId="77777777">
        <w:tc>
          <w:tcPr>
            <w:tcW w:w="0" w:type="auto"/>
            <w:tcMar>
              <w:top w:w="150" w:type="dxa"/>
              <w:left w:w="0" w:type="dxa"/>
              <w:bottom w:w="150" w:type="dxa"/>
              <w:right w:w="240" w:type="dxa"/>
            </w:tcMar>
            <w:vAlign w:val="center"/>
            <w:hideMark/>
          </w:tcPr>
          <w:p w14:paraId="325E1180"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b/>
                <w:bCs/>
                <w:kern w:val="0"/>
                <w:sz w:val="23"/>
                <w:szCs w:val="23"/>
                <w14:ligatures w14:val="none"/>
              </w:rPr>
              <w:t>Age group</w:t>
            </w:r>
          </w:p>
        </w:tc>
        <w:tc>
          <w:tcPr>
            <w:tcW w:w="0" w:type="auto"/>
            <w:tcMar>
              <w:top w:w="150" w:type="dxa"/>
              <w:left w:w="240" w:type="dxa"/>
              <w:bottom w:w="150" w:type="dxa"/>
              <w:right w:w="240" w:type="dxa"/>
            </w:tcMar>
            <w:vAlign w:val="center"/>
            <w:hideMark/>
          </w:tcPr>
          <w:p w14:paraId="5DD21DE3"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18–25 years</w:t>
            </w:r>
          </w:p>
        </w:tc>
        <w:tc>
          <w:tcPr>
            <w:tcW w:w="0" w:type="auto"/>
            <w:tcMar>
              <w:top w:w="150" w:type="dxa"/>
              <w:left w:w="240" w:type="dxa"/>
              <w:bottom w:w="150" w:type="dxa"/>
              <w:right w:w="240" w:type="dxa"/>
            </w:tcMar>
            <w:vAlign w:val="center"/>
            <w:hideMark/>
          </w:tcPr>
          <w:p w14:paraId="60D164C1"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30</w:t>
            </w:r>
          </w:p>
        </w:tc>
        <w:tc>
          <w:tcPr>
            <w:tcW w:w="0" w:type="auto"/>
            <w:tcMar>
              <w:top w:w="150" w:type="dxa"/>
              <w:left w:w="240" w:type="dxa"/>
              <w:bottom w:w="150" w:type="dxa"/>
              <w:right w:w="0" w:type="dxa"/>
            </w:tcMar>
            <w:vAlign w:val="center"/>
            <w:hideMark/>
          </w:tcPr>
          <w:p w14:paraId="5C133167"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25.0</w:t>
            </w:r>
          </w:p>
        </w:tc>
      </w:tr>
      <w:tr w:rsidR="009F7EE3" w:rsidRPr="009F7EE3" w14:paraId="16E9C16C" w14:textId="77777777">
        <w:tc>
          <w:tcPr>
            <w:tcW w:w="0" w:type="auto"/>
            <w:tcMar>
              <w:top w:w="150" w:type="dxa"/>
              <w:left w:w="0" w:type="dxa"/>
              <w:bottom w:w="150" w:type="dxa"/>
              <w:right w:w="240" w:type="dxa"/>
            </w:tcMar>
            <w:vAlign w:val="center"/>
            <w:hideMark/>
          </w:tcPr>
          <w:p w14:paraId="3020893B"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6B3D6CD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26–35 years</w:t>
            </w:r>
          </w:p>
        </w:tc>
        <w:tc>
          <w:tcPr>
            <w:tcW w:w="0" w:type="auto"/>
            <w:tcMar>
              <w:top w:w="150" w:type="dxa"/>
              <w:left w:w="240" w:type="dxa"/>
              <w:bottom w:w="150" w:type="dxa"/>
              <w:right w:w="240" w:type="dxa"/>
            </w:tcMar>
            <w:vAlign w:val="center"/>
            <w:hideMark/>
          </w:tcPr>
          <w:p w14:paraId="2E84FD6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42</w:t>
            </w:r>
          </w:p>
        </w:tc>
        <w:tc>
          <w:tcPr>
            <w:tcW w:w="0" w:type="auto"/>
            <w:tcMar>
              <w:top w:w="150" w:type="dxa"/>
              <w:left w:w="240" w:type="dxa"/>
              <w:bottom w:w="150" w:type="dxa"/>
              <w:right w:w="0" w:type="dxa"/>
            </w:tcMar>
            <w:vAlign w:val="center"/>
            <w:hideMark/>
          </w:tcPr>
          <w:p w14:paraId="3EF9F99D"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35.0</w:t>
            </w:r>
          </w:p>
        </w:tc>
      </w:tr>
      <w:tr w:rsidR="009F7EE3" w:rsidRPr="009F7EE3" w14:paraId="561A1BEC" w14:textId="77777777">
        <w:tc>
          <w:tcPr>
            <w:tcW w:w="0" w:type="auto"/>
            <w:tcMar>
              <w:top w:w="150" w:type="dxa"/>
              <w:left w:w="0" w:type="dxa"/>
              <w:bottom w:w="150" w:type="dxa"/>
              <w:right w:w="240" w:type="dxa"/>
            </w:tcMar>
            <w:vAlign w:val="center"/>
            <w:hideMark/>
          </w:tcPr>
          <w:p w14:paraId="20AE075B"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4F5CED99"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36–45 years</w:t>
            </w:r>
          </w:p>
        </w:tc>
        <w:tc>
          <w:tcPr>
            <w:tcW w:w="0" w:type="auto"/>
            <w:tcMar>
              <w:top w:w="150" w:type="dxa"/>
              <w:left w:w="240" w:type="dxa"/>
              <w:bottom w:w="150" w:type="dxa"/>
              <w:right w:w="240" w:type="dxa"/>
            </w:tcMar>
            <w:vAlign w:val="center"/>
            <w:hideMark/>
          </w:tcPr>
          <w:p w14:paraId="3B13E19F"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28</w:t>
            </w:r>
          </w:p>
        </w:tc>
        <w:tc>
          <w:tcPr>
            <w:tcW w:w="0" w:type="auto"/>
            <w:tcMar>
              <w:top w:w="150" w:type="dxa"/>
              <w:left w:w="240" w:type="dxa"/>
              <w:bottom w:w="150" w:type="dxa"/>
              <w:right w:w="0" w:type="dxa"/>
            </w:tcMar>
            <w:vAlign w:val="center"/>
            <w:hideMark/>
          </w:tcPr>
          <w:p w14:paraId="04C35ED7"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23.3</w:t>
            </w:r>
          </w:p>
        </w:tc>
      </w:tr>
      <w:tr w:rsidR="009F7EE3" w:rsidRPr="009F7EE3" w14:paraId="07CDB90A" w14:textId="77777777">
        <w:tc>
          <w:tcPr>
            <w:tcW w:w="0" w:type="auto"/>
            <w:tcMar>
              <w:top w:w="150" w:type="dxa"/>
              <w:left w:w="0" w:type="dxa"/>
              <w:bottom w:w="150" w:type="dxa"/>
              <w:right w:w="240" w:type="dxa"/>
            </w:tcMar>
            <w:vAlign w:val="center"/>
            <w:hideMark/>
          </w:tcPr>
          <w:p w14:paraId="42AE00F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286770C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46 years and above</w:t>
            </w:r>
          </w:p>
        </w:tc>
        <w:tc>
          <w:tcPr>
            <w:tcW w:w="0" w:type="auto"/>
            <w:tcMar>
              <w:top w:w="150" w:type="dxa"/>
              <w:left w:w="240" w:type="dxa"/>
              <w:bottom w:w="150" w:type="dxa"/>
              <w:right w:w="240" w:type="dxa"/>
            </w:tcMar>
            <w:vAlign w:val="center"/>
            <w:hideMark/>
          </w:tcPr>
          <w:p w14:paraId="235E377E"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20</w:t>
            </w:r>
          </w:p>
        </w:tc>
        <w:tc>
          <w:tcPr>
            <w:tcW w:w="0" w:type="auto"/>
            <w:tcMar>
              <w:top w:w="150" w:type="dxa"/>
              <w:left w:w="240" w:type="dxa"/>
              <w:bottom w:w="150" w:type="dxa"/>
              <w:right w:w="0" w:type="dxa"/>
            </w:tcMar>
            <w:vAlign w:val="center"/>
            <w:hideMark/>
          </w:tcPr>
          <w:p w14:paraId="7083B543"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16.7</w:t>
            </w:r>
          </w:p>
        </w:tc>
      </w:tr>
      <w:tr w:rsidR="009F7EE3" w:rsidRPr="009F7EE3" w14:paraId="012AEACD" w14:textId="77777777">
        <w:tc>
          <w:tcPr>
            <w:tcW w:w="0" w:type="auto"/>
            <w:tcMar>
              <w:top w:w="150" w:type="dxa"/>
              <w:left w:w="0" w:type="dxa"/>
              <w:bottom w:w="150" w:type="dxa"/>
              <w:right w:w="240" w:type="dxa"/>
            </w:tcMar>
            <w:vAlign w:val="center"/>
            <w:hideMark/>
          </w:tcPr>
          <w:p w14:paraId="7A40651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b/>
                <w:bCs/>
                <w:kern w:val="0"/>
                <w:sz w:val="23"/>
                <w:szCs w:val="23"/>
                <w14:ligatures w14:val="none"/>
              </w:rPr>
              <w:t>Education level</w:t>
            </w:r>
          </w:p>
        </w:tc>
        <w:tc>
          <w:tcPr>
            <w:tcW w:w="0" w:type="auto"/>
            <w:tcMar>
              <w:top w:w="150" w:type="dxa"/>
              <w:left w:w="240" w:type="dxa"/>
              <w:bottom w:w="150" w:type="dxa"/>
              <w:right w:w="240" w:type="dxa"/>
            </w:tcMar>
            <w:vAlign w:val="center"/>
            <w:hideMark/>
          </w:tcPr>
          <w:p w14:paraId="1373D105"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No formal education</w:t>
            </w:r>
          </w:p>
        </w:tc>
        <w:tc>
          <w:tcPr>
            <w:tcW w:w="0" w:type="auto"/>
            <w:tcMar>
              <w:top w:w="150" w:type="dxa"/>
              <w:left w:w="240" w:type="dxa"/>
              <w:bottom w:w="150" w:type="dxa"/>
              <w:right w:w="240" w:type="dxa"/>
            </w:tcMar>
            <w:vAlign w:val="center"/>
            <w:hideMark/>
          </w:tcPr>
          <w:p w14:paraId="5D266B3B"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18</w:t>
            </w:r>
          </w:p>
        </w:tc>
        <w:tc>
          <w:tcPr>
            <w:tcW w:w="0" w:type="auto"/>
            <w:tcMar>
              <w:top w:w="150" w:type="dxa"/>
              <w:left w:w="240" w:type="dxa"/>
              <w:bottom w:w="150" w:type="dxa"/>
              <w:right w:w="0" w:type="dxa"/>
            </w:tcMar>
            <w:vAlign w:val="center"/>
            <w:hideMark/>
          </w:tcPr>
          <w:p w14:paraId="25EC9C0A"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15.0</w:t>
            </w:r>
          </w:p>
        </w:tc>
      </w:tr>
      <w:tr w:rsidR="009F7EE3" w:rsidRPr="009F7EE3" w14:paraId="3553209B" w14:textId="77777777">
        <w:tc>
          <w:tcPr>
            <w:tcW w:w="0" w:type="auto"/>
            <w:tcMar>
              <w:top w:w="150" w:type="dxa"/>
              <w:left w:w="0" w:type="dxa"/>
              <w:bottom w:w="150" w:type="dxa"/>
              <w:right w:w="240" w:type="dxa"/>
            </w:tcMar>
            <w:vAlign w:val="center"/>
            <w:hideMark/>
          </w:tcPr>
          <w:p w14:paraId="667E72AB"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1C01ECCE"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Primary</w:t>
            </w:r>
          </w:p>
        </w:tc>
        <w:tc>
          <w:tcPr>
            <w:tcW w:w="0" w:type="auto"/>
            <w:tcMar>
              <w:top w:w="150" w:type="dxa"/>
              <w:left w:w="240" w:type="dxa"/>
              <w:bottom w:w="150" w:type="dxa"/>
              <w:right w:w="240" w:type="dxa"/>
            </w:tcMar>
            <w:vAlign w:val="center"/>
            <w:hideMark/>
          </w:tcPr>
          <w:p w14:paraId="10E6623F"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36</w:t>
            </w:r>
          </w:p>
        </w:tc>
        <w:tc>
          <w:tcPr>
            <w:tcW w:w="0" w:type="auto"/>
            <w:tcMar>
              <w:top w:w="150" w:type="dxa"/>
              <w:left w:w="240" w:type="dxa"/>
              <w:bottom w:w="150" w:type="dxa"/>
              <w:right w:w="0" w:type="dxa"/>
            </w:tcMar>
            <w:vAlign w:val="center"/>
            <w:hideMark/>
          </w:tcPr>
          <w:p w14:paraId="7153C255"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30.0</w:t>
            </w:r>
          </w:p>
        </w:tc>
      </w:tr>
      <w:tr w:rsidR="009F7EE3" w:rsidRPr="009F7EE3" w14:paraId="4BECAEC1" w14:textId="77777777">
        <w:tc>
          <w:tcPr>
            <w:tcW w:w="0" w:type="auto"/>
            <w:tcMar>
              <w:top w:w="150" w:type="dxa"/>
              <w:left w:w="0" w:type="dxa"/>
              <w:bottom w:w="150" w:type="dxa"/>
              <w:right w:w="240" w:type="dxa"/>
            </w:tcMar>
            <w:vAlign w:val="center"/>
            <w:hideMark/>
          </w:tcPr>
          <w:p w14:paraId="5116992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6AFF1608"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Secondary</w:t>
            </w:r>
          </w:p>
        </w:tc>
        <w:tc>
          <w:tcPr>
            <w:tcW w:w="0" w:type="auto"/>
            <w:tcMar>
              <w:top w:w="150" w:type="dxa"/>
              <w:left w:w="240" w:type="dxa"/>
              <w:bottom w:w="150" w:type="dxa"/>
              <w:right w:w="240" w:type="dxa"/>
            </w:tcMar>
            <w:vAlign w:val="center"/>
            <w:hideMark/>
          </w:tcPr>
          <w:p w14:paraId="56FD2412"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46</w:t>
            </w:r>
          </w:p>
        </w:tc>
        <w:tc>
          <w:tcPr>
            <w:tcW w:w="0" w:type="auto"/>
            <w:tcMar>
              <w:top w:w="150" w:type="dxa"/>
              <w:left w:w="240" w:type="dxa"/>
              <w:bottom w:w="150" w:type="dxa"/>
              <w:right w:w="0" w:type="dxa"/>
            </w:tcMar>
            <w:vAlign w:val="center"/>
            <w:hideMark/>
          </w:tcPr>
          <w:p w14:paraId="485DA76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38.3</w:t>
            </w:r>
          </w:p>
        </w:tc>
      </w:tr>
      <w:tr w:rsidR="009F7EE3" w:rsidRPr="009F7EE3" w14:paraId="1F4A103D" w14:textId="77777777">
        <w:tc>
          <w:tcPr>
            <w:tcW w:w="0" w:type="auto"/>
            <w:tcMar>
              <w:top w:w="150" w:type="dxa"/>
              <w:left w:w="0" w:type="dxa"/>
              <w:bottom w:w="150" w:type="dxa"/>
              <w:right w:w="240" w:type="dxa"/>
            </w:tcMar>
            <w:vAlign w:val="center"/>
            <w:hideMark/>
          </w:tcPr>
          <w:p w14:paraId="51F8F7C1"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5745988E"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Higher/University</w:t>
            </w:r>
          </w:p>
        </w:tc>
        <w:tc>
          <w:tcPr>
            <w:tcW w:w="0" w:type="auto"/>
            <w:tcMar>
              <w:top w:w="150" w:type="dxa"/>
              <w:left w:w="240" w:type="dxa"/>
              <w:bottom w:w="150" w:type="dxa"/>
              <w:right w:w="240" w:type="dxa"/>
            </w:tcMar>
            <w:vAlign w:val="center"/>
            <w:hideMark/>
          </w:tcPr>
          <w:p w14:paraId="23FA599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20</w:t>
            </w:r>
          </w:p>
        </w:tc>
        <w:tc>
          <w:tcPr>
            <w:tcW w:w="0" w:type="auto"/>
            <w:tcMar>
              <w:top w:w="150" w:type="dxa"/>
              <w:left w:w="240" w:type="dxa"/>
              <w:bottom w:w="150" w:type="dxa"/>
              <w:right w:w="0" w:type="dxa"/>
            </w:tcMar>
            <w:vAlign w:val="center"/>
            <w:hideMark/>
          </w:tcPr>
          <w:p w14:paraId="564B3C03"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16.7</w:t>
            </w:r>
          </w:p>
        </w:tc>
      </w:tr>
      <w:tr w:rsidR="009F7EE3" w:rsidRPr="009F7EE3" w14:paraId="3EF7EA16" w14:textId="77777777">
        <w:tc>
          <w:tcPr>
            <w:tcW w:w="0" w:type="auto"/>
            <w:tcMar>
              <w:top w:w="150" w:type="dxa"/>
              <w:left w:w="0" w:type="dxa"/>
              <w:bottom w:w="150" w:type="dxa"/>
              <w:right w:w="240" w:type="dxa"/>
            </w:tcMar>
            <w:vAlign w:val="center"/>
            <w:hideMark/>
          </w:tcPr>
          <w:p w14:paraId="775DC322"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b/>
                <w:bCs/>
                <w:kern w:val="0"/>
                <w:sz w:val="23"/>
                <w:szCs w:val="23"/>
                <w14:ligatures w14:val="none"/>
              </w:rPr>
              <w:t>Marital status</w:t>
            </w:r>
          </w:p>
        </w:tc>
        <w:tc>
          <w:tcPr>
            <w:tcW w:w="0" w:type="auto"/>
            <w:tcMar>
              <w:top w:w="150" w:type="dxa"/>
              <w:left w:w="240" w:type="dxa"/>
              <w:bottom w:w="150" w:type="dxa"/>
              <w:right w:w="240" w:type="dxa"/>
            </w:tcMar>
            <w:vAlign w:val="center"/>
            <w:hideMark/>
          </w:tcPr>
          <w:p w14:paraId="6313DA6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Single</w:t>
            </w:r>
          </w:p>
        </w:tc>
        <w:tc>
          <w:tcPr>
            <w:tcW w:w="0" w:type="auto"/>
            <w:tcMar>
              <w:top w:w="150" w:type="dxa"/>
              <w:left w:w="240" w:type="dxa"/>
              <w:bottom w:w="150" w:type="dxa"/>
              <w:right w:w="240" w:type="dxa"/>
            </w:tcMar>
            <w:vAlign w:val="center"/>
            <w:hideMark/>
          </w:tcPr>
          <w:p w14:paraId="0BAF50CE"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38</w:t>
            </w:r>
          </w:p>
        </w:tc>
        <w:tc>
          <w:tcPr>
            <w:tcW w:w="0" w:type="auto"/>
            <w:tcMar>
              <w:top w:w="150" w:type="dxa"/>
              <w:left w:w="240" w:type="dxa"/>
              <w:bottom w:w="150" w:type="dxa"/>
              <w:right w:w="0" w:type="dxa"/>
            </w:tcMar>
            <w:vAlign w:val="center"/>
            <w:hideMark/>
          </w:tcPr>
          <w:p w14:paraId="5FBBB411"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31.7</w:t>
            </w:r>
          </w:p>
        </w:tc>
      </w:tr>
      <w:tr w:rsidR="009F7EE3" w:rsidRPr="009F7EE3" w14:paraId="7ECCC6A9" w14:textId="77777777">
        <w:tc>
          <w:tcPr>
            <w:tcW w:w="0" w:type="auto"/>
            <w:tcMar>
              <w:top w:w="150" w:type="dxa"/>
              <w:left w:w="0" w:type="dxa"/>
              <w:bottom w:w="150" w:type="dxa"/>
              <w:right w:w="240" w:type="dxa"/>
            </w:tcMar>
            <w:vAlign w:val="center"/>
            <w:hideMark/>
          </w:tcPr>
          <w:p w14:paraId="47DC15C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613C2737"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Married</w:t>
            </w:r>
          </w:p>
        </w:tc>
        <w:tc>
          <w:tcPr>
            <w:tcW w:w="0" w:type="auto"/>
            <w:tcMar>
              <w:top w:w="150" w:type="dxa"/>
              <w:left w:w="240" w:type="dxa"/>
              <w:bottom w:w="150" w:type="dxa"/>
              <w:right w:w="240" w:type="dxa"/>
            </w:tcMar>
            <w:vAlign w:val="center"/>
            <w:hideMark/>
          </w:tcPr>
          <w:p w14:paraId="5BB9647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60</w:t>
            </w:r>
          </w:p>
        </w:tc>
        <w:tc>
          <w:tcPr>
            <w:tcW w:w="0" w:type="auto"/>
            <w:tcMar>
              <w:top w:w="150" w:type="dxa"/>
              <w:left w:w="240" w:type="dxa"/>
              <w:bottom w:w="150" w:type="dxa"/>
              <w:right w:w="0" w:type="dxa"/>
            </w:tcMar>
            <w:vAlign w:val="center"/>
            <w:hideMark/>
          </w:tcPr>
          <w:p w14:paraId="724FE9E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50.0</w:t>
            </w:r>
          </w:p>
        </w:tc>
      </w:tr>
      <w:tr w:rsidR="009F7EE3" w:rsidRPr="009F7EE3" w14:paraId="408C114F" w14:textId="77777777">
        <w:tc>
          <w:tcPr>
            <w:tcW w:w="0" w:type="auto"/>
            <w:tcMar>
              <w:top w:w="150" w:type="dxa"/>
              <w:left w:w="0" w:type="dxa"/>
              <w:bottom w:w="150" w:type="dxa"/>
              <w:right w:w="240" w:type="dxa"/>
            </w:tcMar>
            <w:vAlign w:val="center"/>
            <w:hideMark/>
          </w:tcPr>
          <w:p w14:paraId="10EE44BF"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1FD016E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Widowed</w:t>
            </w:r>
          </w:p>
        </w:tc>
        <w:tc>
          <w:tcPr>
            <w:tcW w:w="0" w:type="auto"/>
            <w:tcMar>
              <w:top w:w="150" w:type="dxa"/>
              <w:left w:w="240" w:type="dxa"/>
              <w:bottom w:w="150" w:type="dxa"/>
              <w:right w:w="240" w:type="dxa"/>
            </w:tcMar>
            <w:vAlign w:val="center"/>
            <w:hideMark/>
          </w:tcPr>
          <w:p w14:paraId="0D0B4249"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12</w:t>
            </w:r>
          </w:p>
        </w:tc>
        <w:tc>
          <w:tcPr>
            <w:tcW w:w="0" w:type="auto"/>
            <w:tcMar>
              <w:top w:w="150" w:type="dxa"/>
              <w:left w:w="240" w:type="dxa"/>
              <w:bottom w:w="150" w:type="dxa"/>
              <w:right w:w="0" w:type="dxa"/>
            </w:tcMar>
            <w:vAlign w:val="center"/>
            <w:hideMark/>
          </w:tcPr>
          <w:p w14:paraId="03FA9E00"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10.0</w:t>
            </w:r>
          </w:p>
        </w:tc>
      </w:tr>
      <w:tr w:rsidR="009F7EE3" w:rsidRPr="009F7EE3" w14:paraId="7926A625" w14:textId="77777777">
        <w:tc>
          <w:tcPr>
            <w:tcW w:w="0" w:type="auto"/>
            <w:tcMar>
              <w:top w:w="150" w:type="dxa"/>
              <w:left w:w="0" w:type="dxa"/>
              <w:bottom w:w="150" w:type="dxa"/>
              <w:right w:w="240" w:type="dxa"/>
            </w:tcMar>
            <w:vAlign w:val="center"/>
            <w:hideMark/>
          </w:tcPr>
          <w:p w14:paraId="5880DD1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62AE899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Divorced</w:t>
            </w:r>
          </w:p>
        </w:tc>
        <w:tc>
          <w:tcPr>
            <w:tcW w:w="0" w:type="auto"/>
            <w:tcMar>
              <w:top w:w="150" w:type="dxa"/>
              <w:left w:w="240" w:type="dxa"/>
              <w:bottom w:w="150" w:type="dxa"/>
              <w:right w:w="240" w:type="dxa"/>
            </w:tcMar>
            <w:vAlign w:val="center"/>
            <w:hideMark/>
          </w:tcPr>
          <w:p w14:paraId="5CE0E4E1"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10</w:t>
            </w:r>
          </w:p>
        </w:tc>
        <w:tc>
          <w:tcPr>
            <w:tcW w:w="0" w:type="auto"/>
            <w:tcMar>
              <w:top w:w="150" w:type="dxa"/>
              <w:left w:w="240" w:type="dxa"/>
              <w:bottom w:w="150" w:type="dxa"/>
              <w:right w:w="0" w:type="dxa"/>
            </w:tcMar>
            <w:vAlign w:val="center"/>
            <w:hideMark/>
          </w:tcPr>
          <w:p w14:paraId="3AB97E1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8.3</w:t>
            </w:r>
          </w:p>
        </w:tc>
      </w:tr>
      <w:tr w:rsidR="009F7EE3" w:rsidRPr="009F7EE3" w14:paraId="77DBA647" w14:textId="77777777">
        <w:tc>
          <w:tcPr>
            <w:tcW w:w="0" w:type="auto"/>
            <w:tcMar>
              <w:top w:w="150" w:type="dxa"/>
              <w:left w:w="0" w:type="dxa"/>
              <w:bottom w:w="150" w:type="dxa"/>
              <w:right w:w="240" w:type="dxa"/>
            </w:tcMar>
            <w:vAlign w:val="center"/>
            <w:hideMark/>
          </w:tcPr>
          <w:p w14:paraId="5AC0D453"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b/>
                <w:bCs/>
                <w:kern w:val="0"/>
                <w:sz w:val="23"/>
                <w:szCs w:val="23"/>
                <w14:ligatures w14:val="none"/>
              </w:rPr>
              <w:t>Occupation</w:t>
            </w:r>
          </w:p>
        </w:tc>
        <w:tc>
          <w:tcPr>
            <w:tcW w:w="0" w:type="auto"/>
            <w:tcMar>
              <w:top w:w="150" w:type="dxa"/>
              <w:left w:w="240" w:type="dxa"/>
              <w:bottom w:w="150" w:type="dxa"/>
              <w:right w:w="240" w:type="dxa"/>
            </w:tcMar>
            <w:vAlign w:val="center"/>
            <w:hideMark/>
          </w:tcPr>
          <w:p w14:paraId="329E49C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Civil servant</w:t>
            </w:r>
          </w:p>
        </w:tc>
        <w:tc>
          <w:tcPr>
            <w:tcW w:w="0" w:type="auto"/>
            <w:tcMar>
              <w:top w:w="150" w:type="dxa"/>
              <w:left w:w="240" w:type="dxa"/>
              <w:bottom w:w="150" w:type="dxa"/>
              <w:right w:w="240" w:type="dxa"/>
            </w:tcMar>
            <w:vAlign w:val="center"/>
            <w:hideMark/>
          </w:tcPr>
          <w:p w14:paraId="7D81E22F"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30</w:t>
            </w:r>
          </w:p>
        </w:tc>
        <w:tc>
          <w:tcPr>
            <w:tcW w:w="0" w:type="auto"/>
            <w:tcMar>
              <w:top w:w="150" w:type="dxa"/>
              <w:left w:w="240" w:type="dxa"/>
              <w:bottom w:w="150" w:type="dxa"/>
              <w:right w:w="0" w:type="dxa"/>
            </w:tcMar>
            <w:vAlign w:val="center"/>
            <w:hideMark/>
          </w:tcPr>
          <w:p w14:paraId="7ACF256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25.0</w:t>
            </w:r>
          </w:p>
        </w:tc>
      </w:tr>
      <w:tr w:rsidR="009F7EE3" w:rsidRPr="009F7EE3" w14:paraId="32B746F8" w14:textId="77777777">
        <w:tc>
          <w:tcPr>
            <w:tcW w:w="0" w:type="auto"/>
            <w:tcMar>
              <w:top w:w="150" w:type="dxa"/>
              <w:left w:w="0" w:type="dxa"/>
              <w:bottom w:w="150" w:type="dxa"/>
              <w:right w:w="240" w:type="dxa"/>
            </w:tcMar>
            <w:vAlign w:val="center"/>
            <w:hideMark/>
          </w:tcPr>
          <w:p w14:paraId="4086F059"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13BF583B"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Trader</w:t>
            </w:r>
          </w:p>
        </w:tc>
        <w:tc>
          <w:tcPr>
            <w:tcW w:w="0" w:type="auto"/>
            <w:tcMar>
              <w:top w:w="150" w:type="dxa"/>
              <w:left w:w="240" w:type="dxa"/>
              <w:bottom w:w="150" w:type="dxa"/>
              <w:right w:w="240" w:type="dxa"/>
            </w:tcMar>
            <w:vAlign w:val="center"/>
            <w:hideMark/>
          </w:tcPr>
          <w:p w14:paraId="2EA8975E"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35</w:t>
            </w:r>
          </w:p>
        </w:tc>
        <w:tc>
          <w:tcPr>
            <w:tcW w:w="0" w:type="auto"/>
            <w:tcMar>
              <w:top w:w="150" w:type="dxa"/>
              <w:left w:w="240" w:type="dxa"/>
              <w:bottom w:w="150" w:type="dxa"/>
              <w:right w:w="0" w:type="dxa"/>
            </w:tcMar>
            <w:vAlign w:val="center"/>
            <w:hideMark/>
          </w:tcPr>
          <w:p w14:paraId="14C3B303"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29.2</w:t>
            </w:r>
          </w:p>
        </w:tc>
      </w:tr>
      <w:tr w:rsidR="009F7EE3" w:rsidRPr="009F7EE3" w14:paraId="7F603986" w14:textId="77777777">
        <w:tc>
          <w:tcPr>
            <w:tcW w:w="0" w:type="auto"/>
            <w:tcMar>
              <w:top w:w="150" w:type="dxa"/>
              <w:left w:w="0" w:type="dxa"/>
              <w:bottom w:w="150" w:type="dxa"/>
              <w:right w:w="240" w:type="dxa"/>
            </w:tcMar>
            <w:vAlign w:val="center"/>
            <w:hideMark/>
          </w:tcPr>
          <w:p w14:paraId="3C2A5982"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3FB899A8"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Farmer</w:t>
            </w:r>
          </w:p>
        </w:tc>
        <w:tc>
          <w:tcPr>
            <w:tcW w:w="0" w:type="auto"/>
            <w:tcMar>
              <w:top w:w="150" w:type="dxa"/>
              <w:left w:w="240" w:type="dxa"/>
              <w:bottom w:w="150" w:type="dxa"/>
              <w:right w:w="240" w:type="dxa"/>
            </w:tcMar>
            <w:vAlign w:val="center"/>
            <w:hideMark/>
          </w:tcPr>
          <w:p w14:paraId="27EB9C2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20</w:t>
            </w:r>
          </w:p>
        </w:tc>
        <w:tc>
          <w:tcPr>
            <w:tcW w:w="0" w:type="auto"/>
            <w:tcMar>
              <w:top w:w="150" w:type="dxa"/>
              <w:left w:w="240" w:type="dxa"/>
              <w:bottom w:w="150" w:type="dxa"/>
              <w:right w:w="0" w:type="dxa"/>
            </w:tcMar>
            <w:vAlign w:val="center"/>
            <w:hideMark/>
          </w:tcPr>
          <w:p w14:paraId="14D30B2B"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16.7</w:t>
            </w:r>
          </w:p>
        </w:tc>
      </w:tr>
      <w:tr w:rsidR="009F7EE3" w:rsidRPr="009F7EE3" w14:paraId="281C7B65" w14:textId="77777777">
        <w:tc>
          <w:tcPr>
            <w:tcW w:w="0" w:type="auto"/>
            <w:tcMar>
              <w:top w:w="150" w:type="dxa"/>
              <w:left w:w="0" w:type="dxa"/>
              <w:bottom w:w="150" w:type="dxa"/>
              <w:right w:w="240" w:type="dxa"/>
            </w:tcMar>
            <w:vAlign w:val="center"/>
            <w:hideMark/>
          </w:tcPr>
          <w:p w14:paraId="298BBFC5"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7148A63B"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Unemployed</w:t>
            </w:r>
          </w:p>
        </w:tc>
        <w:tc>
          <w:tcPr>
            <w:tcW w:w="0" w:type="auto"/>
            <w:tcMar>
              <w:top w:w="150" w:type="dxa"/>
              <w:left w:w="240" w:type="dxa"/>
              <w:bottom w:w="150" w:type="dxa"/>
              <w:right w:w="240" w:type="dxa"/>
            </w:tcMar>
            <w:vAlign w:val="center"/>
            <w:hideMark/>
          </w:tcPr>
          <w:p w14:paraId="0B1E1215"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25</w:t>
            </w:r>
          </w:p>
        </w:tc>
        <w:tc>
          <w:tcPr>
            <w:tcW w:w="0" w:type="auto"/>
            <w:tcMar>
              <w:top w:w="150" w:type="dxa"/>
              <w:left w:w="240" w:type="dxa"/>
              <w:bottom w:w="150" w:type="dxa"/>
              <w:right w:w="0" w:type="dxa"/>
            </w:tcMar>
            <w:vAlign w:val="center"/>
            <w:hideMark/>
          </w:tcPr>
          <w:p w14:paraId="1BA871A5"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20.8</w:t>
            </w:r>
          </w:p>
        </w:tc>
      </w:tr>
      <w:tr w:rsidR="009F7EE3" w:rsidRPr="009F7EE3" w14:paraId="768B43D8" w14:textId="77777777">
        <w:tc>
          <w:tcPr>
            <w:tcW w:w="0" w:type="auto"/>
            <w:tcMar>
              <w:top w:w="150" w:type="dxa"/>
              <w:left w:w="0" w:type="dxa"/>
              <w:bottom w:w="150" w:type="dxa"/>
              <w:right w:w="240" w:type="dxa"/>
            </w:tcMar>
            <w:vAlign w:val="center"/>
            <w:hideMark/>
          </w:tcPr>
          <w:p w14:paraId="67B68AD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60FA0A7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Other</w:t>
            </w:r>
          </w:p>
        </w:tc>
        <w:tc>
          <w:tcPr>
            <w:tcW w:w="0" w:type="auto"/>
            <w:tcMar>
              <w:top w:w="150" w:type="dxa"/>
              <w:left w:w="240" w:type="dxa"/>
              <w:bottom w:w="150" w:type="dxa"/>
              <w:right w:w="240" w:type="dxa"/>
            </w:tcMar>
            <w:vAlign w:val="center"/>
            <w:hideMark/>
          </w:tcPr>
          <w:p w14:paraId="73704A53"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10</w:t>
            </w:r>
          </w:p>
        </w:tc>
        <w:tc>
          <w:tcPr>
            <w:tcW w:w="0" w:type="auto"/>
            <w:tcMar>
              <w:top w:w="150" w:type="dxa"/>
              <w:left w:w="240" w:type="dxa"/>
              <w:bottom w:w="150" w:type="dxa"/>
              <w:right w:w="0" w:type="dxa"/>
            </w:tcMar>
            <w:vAlign w:val="center"/>
            <w:hideMark/>
          </w:tcPr>
          <w:p w14:paraId="35E03CDA"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8.3</w:t>
            </w:r>
          </w:p>
        </w:tc>
      </w:tr>
    </w:tbl>
    <w:p w14:paraId="57B6AEB4"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Interpretation:</w:t>
      </w:r>
      <w:r w:rsidRPr="009F7EE3">
        <w:rPr>
          <w:rFonts w:ascii="Segoe UI" w:eastAsia="Times New Roman" w:hAnsi="Segoe UI" w:cs="Segoe UI"/>
          <w:color w:val="0F1115"/>
          <w:kern w:val="0"/>
          <w14:ligatures w14:val="none"/>
        </w:rPr>
        <w:t> The sample was predominantly female (56.7%), reflecting that women are more directly concerned with maternal health issues. The largest age group was 26–35 years (35%), which corresponds to peak reproductive years. Over half (55%) had at least secondary education. Married individuals represented half of the sample (50%).</w:t>
      </w:r>
    </w:p>
    <w:p w14:paraId="16590530" w14:textId="77777777" w:rsidR="009F7EE3" w:rsidRPr="009F7EE3" w:rsidRDefault="009F7EE3" w:rsidP="009F7EE3">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9F7EE3">
        <w:rPr>
          <w:rFonts w:ascii="Segoe UI" w:eastAsia="Times New Roman" w:hAnsi="Segoe UI" w:cs="Segoe UI"/>
          <w:b/>
          <w:bCs/>
          <w:color w:val="0F1115"/>
          <w:kern w:val="0"/>
          <w:sz w:val="30"/>
          <w:szCs w:val="30"/>
          <w14:ligatures w14:val="none"/>
        </w:rPr>
        <w:t>3.2. Knowledge About Maternal Mortality</w:t>
      </w:r>
    </w:p>
    <w:p w14:paraId="7028B516"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Table 2 presents participants' knowledge regarding maternal mortality.</w:t>
      </w:r>
    </w:p>
    <w:p w14:paraId="64B8051A"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Table 2</w:t>
      </w:r>
      <w:r w:rsidRPr="009F7EE3">
        <w:rPr>
          <w:rFonts w:ascii="Segoe UI" w:eastAsia="Times New Roman" w:hAnsi="Segoe UI" w:cs="Segoe UI"/>
          <w:color w:val="0F1115"/>
          <w:kern w:val="0"/>
          <w14:ligatures w14:val="none"/>
        </w:rPr>
        <w:br/>
        <w:t>*Knowledge About Maternal Mortality (N = 120)*</w:t>
      </w:r>
    </w:p>
    <w:tbl>
      <w:tblPr>
        <w:tblW w:w="0" w:type="auto"/>
        <w:tblCellMar>
          <w:top w:w="15" w:type="dxa"/>
          <w:left w:w="15" w:type="dxa"/>
          <w:bottom w:w="15" w:type="dxa"/>
          <w:right w:w="15" w:type="dxa"/>
        </w:tblCellMar>
        <w:tblLook w:val="04A0" w:firstRow="1" w:lastRow="0" w:firstColumn="1" w:lastColumn="0" w:noHBand="0" w:noVBand="1"/>
      </w:tblPr>
      <w:tblGrid>
        <w:gridCol w:w="5773"/>
        <w:gridCol w:w="2190"/>
        <w:gridCol w:w="728"/>
        <w:gridCol w:w="669"/>
      </w:tblGrid>
      <w:tr w:rsidR="009F7EE3" w:rsidRPr="009F7EE3" w14:paraId="6E5BFA10" w14:textId="77777777">
        <w:trPr>
          <w:tblHeader/>
        </w:trPr>
        <w:tc>
          <w:tcPr>
            <w:tcW w:w="0" w:type="auto"/>
            <w:tcBorders>
              <w:top w:val="nil"/>
            </w:tcBorders>
            <w:tcMar>
              <w:top w:w="150" w:type="dxa"/>
              <w:left w:w="0" w:type="dxa"/>
              <w:bottom w:w="150" w:type="dxa"/>
              <w:right w:w="240" w:type="dxa"/>
            </w:tcMar>
            <w:vAlign w:val="center"/>
            <w:hideMark/>
          </w:tcPr>
          <w:p w14:paraId="02A896E2"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lastRenderedPageBreak/>
              <w:t>Variable</w:t>
            </w:r>
          </w:p>
        </w:tc>
        <w:tc>
          <w:tcPr>
            <w:tcW w:w="0" w:type="auto"/>
            <w:tcBorders>
              <w:top w:val="nil"/>
            </w:tcBorders>
            <w:tcMar>
              <w:top w:w="150" w:type="dxa"/>
              <w:left w:w="240" w:type="dxa"/>
              <w:bottom w:w="150" w:type="dxa"/>
              <w:right w:w="240" w:type="dxa"/>
            </w:tcMar>
            <w:vAlign w:val="center"/>
            <w:hideMark/>
          </w:tcPr>
          <w:p w14:paraId="18B106D0"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Category</w:t>
            </w:r>
          </w:p>
        </w:tc>
        <w:tc>
          <w:tcPr>
            <w:tcW w:w="0" w:type="auto"/>
            <w:tcBorders>
              <w:top w:val="nil"/>
            </w:tcBorders>
            <w:tcMar>
              <w:top w:w="150" w:type="dxa"/>
              <w:left w:w="240" w:type="dxa"/>
              <w:bottom w:w="150" w:type="dxa"/>
              <w:right w:w="240" w:type="dxa"/>
            </w:tcMar>
            <w:vAlign w:val="center"/>
            <w:hideMark/>
          </w:tcPr>
          <w:p w14:paraId="5A5F2192"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0E97BDE0"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w:t>
            </w:r>
          </w:p>
        </w:tc>
      </w:tr>
      <w:tr w:rsidR="009F7EE3" w:rsidRPr="009F7EE3" w14:paraId="2BB829C7" w14:textId="77777777">
        <w:tc>
          <w:tcPr>
            <w:tcW w:w="0" w:type="auto"/>
            <w:tcMar>
              <w:top w:w="150" w:type="dxa"/>
              <w:left w:w="0" w:type="dxa"/>
              <w:bottom w:w="150" w:type="dxa"/>
              <w:right w:w="240" w:type="dxa"/>
            </w:tcMar>
            <w:vAlign w:val="center"/>
            <w:hideMark/>
          </w:tcPr>
          <w:p w14:paraId="599520C9"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b/>
                <w:bCs/>
                <w:kern w:val="0"/>
                <w:sz w:val="23"/>
                <w:szCs w:val="23"/>
                <w14:ligatures w14:val="none"/>
              </w:rPr>
              <w:t>Heard of maternal mortality</w:t>
            </w:r>
          </w:p>
        </w:tc>
        <w:tc>
          <w:tcPr>
            <w:tcW w:w="0" w:type="auto"/>
            <w:tcMar>
              <w:top w:w="150" w:type="dxa"/>
              <w:left w:w="240" w:type="dxa"/>
              <w:bottom w:w="150" w:type="dxa"/>
              <w:right w:w="240" w:type="dxa"/>
            </w:tcMar>
            <w:vAlign w:val="center"/>
            <w:hideMark/>
          </w:tcPr>
          <w:p w14:paraId="4917AB4A"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Yes</w:t>
            </w:r>
          </w:p>
        </w:tc>
        <w:tc>
          <w:tcPr>
            <w:tcW w:w="0" w:type="auto"/>
            <w:tcMar>
              <w:top w:w="150" w:type="dxa"/>
              <w:left w:w="240" w:type="dxa"/>
              <w:bottom w:w="150" w:type="dxa"/>
              <w:right w:w="240" w:type="dxa"/>
            </w:tcMar>
            <w:vAlign w:val="center"/>
            <w:hideMark/>
          </w:tcPr>
          <w:p w14:paraId="2C1321C8"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84</w:t>
            </w:r>
          </w:p>
        </w:tc>
        <w:tc>
          <w:tcPr>
            <w:tcW w:w="0" w:type="auto"/>
            <w:tcMar>
              <w:top w:w="150" w:type="dxa"/>
              <w:left w:w="240" w:type="dxa"/>
              <w:bottom w:w="150" w:type="dxa"/>
              <w:right w:w="0" w:type="dxa"/>
            </w:tcMar>
            <w:vAlign w:val="center"/>
            <w:hideMark/>
          </w:tcPr>
          <w:p w14:paraId="7503BEB5"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70.0</w:t>
            </w:r>
          </w:p>
        </w:tc>
      </w:tr>
      <w:tr w:rsidR="009F7EE3" w:rsidRPr="009F7EE3" w14:paraId="009C590E" w14:textId="77777777">
        <w:tc>
          <w:tcPr>
            <w:tcW w:w="0" w:type="auto"/>
            <w:tcMar>
              <w:top w:w="150" w:type="dxa"/>
              <w:left w:w="0" w:type="dxa"/>
              <w:bottom w:w="150" w:type="dxa"/>
              <w:right w:w="240" w:type="dxa"/>
            </w:tcMar>
            <w:vAlign w:val="center"/>
            <w:hideMark/>
          </w:tcPr>
          <w:p w14:paraId="5327931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304253AA"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No</w:t>
            </w:r>
          </w:p>
        </w:tc>
        <w:tc>
          <w:tcPr>
            <w:tcW w:w="0" w:type="auto"/>
            <w:tcMar>
              <w:top w:w="150" w:type="dxa"/>
              <w:left w:w="240" w:type="dxa"/>
              <w:bottom w:w="150" w:type="dxa"/>
              <w:right w:w="240" w:type="dxa"/>
            </w:tcMar>
            <w:vAlign w:val="center"/>
            <w:hideMark/>
          </w:tcPr>
          <w:p w14:paraId="7B905BB9"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36</w:t>
            </w:r>
          </w:p>
        </w:tc>
        <w:tc>
          <w:tcPr>
            <w:tcW w:w="0" w:type="auto"/>
            <w:tcMar>
              <w:top w:w="150" w:type="dxa"/>
              <w:left w:w="240" w:type="dxa"/>
              <w:bottom w:w="150" w:type="dxa"/>
              <w:right w:w="0" w:type="dxa"/>
            </w:tcMar>
            <w:vAlign w:val="center"/>
            <w:hideMark/>
          </w:tcPr>
          <w:p w14:paraId="6C1BC689"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30.0</w:t>
            </w:r>
          </w:p>
        </w:tc>
      </w:tr>
      <w:tr w:rsidR="009F7EE3" w:rsidRPr="009F7EE3" w14:paraId="38BD0C5D" w14:textId="77777777">
        <w:tc>
          <w:tcPr>
            <w:tcW w:w="0" w:type="auto"/>
            <w:tcMar>
              <w:top w:w="150" w:type="dxa"/>
              <w:left w:w="0" w:type="dxa"/>
              <w:bottom w:w="150" w:type="dxa"/>
              <w:right w:w="240" w:type="dxa"/>
            </w:tcMar>
            <w:vAlign w:val="center"/>
            <w:hideMark/>
          </w:tcPr>
          <w:p w14:paraId="09111521"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b/>
                <w:bCs/>
                <w:kern w:val="0"/>
                <w:sz w:val="23"/>
                <w:szCs w:val="23"/>
                <w14:ligatures w14:val="none"/>
              </w:rPr>
              <w:t>Source of information (among those who heard, n=84)</w:t>
            </w:r>
          </w:p>
        </w:tc>
        <w:tc>
          <w:tcPr>
            <w:tcW w:w="0" w:type="auto"/>
            <w:tcMar>
              <w:top w:w="150" w:type="dxa"/>
              <w:left w:w="240" w:type="dxa"/>
              <w:bottom w:w="150" w:type="dxa"/>
              <w:right w:w="240" w:type="dxa"/>
            </w:tcMar>
            <w:vAlign w:val="center"/>
            <w:hideMark/>
          </w:tcPr>
          <w:p w14:paraId="6F643873"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Health personnel</w:t>
            </w:r>
          </w:p>
        </w:tc>
        <w:tc>
          <w:tcPr>
            <w:tcW w:w="0" w:type="auto"/>
            <w:tcMar>
              <w:top w:w="150" w:type="dxa"/>
              <w:left w:w="240" w:type="dxa"/>
              <w:bottom w:w="150" w:type="dxa"/>
              <w:right w:w="240" w:type="dxa"/>
            </w:tcMar>
            <w:vAlign w:val="center"/>
            <w:hideMark/>
          </w:tcPr>
          <w:p w14:paraId="72D6989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28</w:t>
            </w:r>
          </w:p>
        </w:tc>
        <w:tc>
          <w:tcPr>
            <w:tcW w:w="0" w:type="auto"/>
            <w:tcMar>
              <w:top w:w="150" w:type="dxa"/>
              <w:left w:w="240" w:type="dxa"/>
              <w:bottom w:w="150" w:type="dxa"/>
              <w:right w:w="0" w:type="dxa"/>
            </w:tcMar>
            <w:vAlign w:val="center"/>
            <w:hideMark/>
          </w:tcPr>
          <w:p w14:paraId="2DA89DDE"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33.3</w:t>
            </w:r>
          </w:p>
        </w:tc>
      </w:tr>
      <w:tr w:rsidR="009F7EE3" w:rsidRPr="009F7EE3" w14:paraId="00D4C1E9" w14:textId="77777777">
        <w:tc>
          <w:tcPr>
            <w:tcW w:w="0" w:type="auto"/>
            <w:tcMar>
              <w:top w:w="150" w:type="dxa"/>
              <w:left w:w="0" w:type="dxa"/>
              <w:bottom w:w="150" w:type="dxa"/>
              <w:right w:w="240" w:type="dxa"/>
            </w:tcMar>
            <w:vAlign w:val="center"/>
            <w:hideMark/>
          </w:tcPr>
          <w:p w14:paraId="479026E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00311A9A"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Radio/TV</w:t>
            </w:r>
          </w:p>
        </w:tc>
        <w:tc>
          <w:tcPr>
            <w:tcW w:w="0" w:type="auto"/>
            <w:tcMar>
              <w:top w:w="150" w:type="dxa"/>
              <w:left w:w="240" w:type="dxa"/>
              <w:bottom w:w="150" w:type="dxa"/>
              <w:right w:w="240" w:type="dxa"/>
            </w:tcMar>
            <w:vAlign w:val="center"/>
            <w:hideMark/>
          </w:tcPr>
          <w:p w14:paraId="76D63FA3"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22</w:t>
            </w:r>
          </w:p>
        </w:tc>
        <w:tc>
          <w:tcPr>
            <w:tcW w:w="0" w:type="auto"/>
            <w:tcMar>
              <w:top w:w="150" w:type="dxa"/>
              <w:left w:w="240" w:type="dxa"/>
              <w:bottom w:w="150" w:type="dxa"/>
              <w:right w:w="0" w:type="dxa"/>
            </w:tcMar>
            <w:vAlign w:val="center"/>
            <w:hideMark/>
          </w:tcPr>
          <w:p w14:paraId="14544B2D"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26.2</w:t>
            </w:r>
          </w:p>
        </w:tc>
      </w:tr>
      <w:tr w:rsidR="009F7EE3" w:rsidRPr="009F7EE3" w14:paraId="79B17C48" w14:textId="77777777">
        <w:tc>
          <w:tcPr>
            <w:tcW w:w="0" w:type="auto"/>
            <w:tcMar>
              <w:top w:w="150" w:type="dxa"/>
              <w:left w:w="0" w:type="dxa"/>
              <w:bottom w:w="150" w:type="dxa"/>
              <w:right w:w="240" w:type="dxa"/>
            </w:tcMar>
            <w:vAlign w:val="center"/>
            <w:hideMark/>
          </w:tcPr>
          <w:p w14:paraId="7D1FC2D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4682789D"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Family/Friends</w:t>
            </w:r>
          </w:p>
        </w:tc>
        <w:tc>
          <w:tcPr>
            <w:tcW w:w="0" w:type="auto"/>
            <w:tcMar>
              <w:top w:w="150" w:type="dxa"/>
              <w:left w:w="240" w:type="dxa"/>
              <w:bottom w:w="150" w:type="dxa"/>
              <w:right w:w="240" w:type="dxa"/>
            </w:tcMar>
            <w:vAlign w:val="center"/>
            <w:hideMark/>
          </w:tcPr>
          <w:p w14:paraId="165A016B"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20</w:t>
            </w:r>
          </w:p>
        </w:tc>
        <w:tc>
          <w:tcPr>
            <w:tcW w:w="0" w:type="auto"/>
            <w:tcMar>
              <w:top w:w="150" w:type="dxa"/>
              <w:left w:w="240" w:type="dxa"/>
              <w:bottom w:w="150" w:type="dxa"/>
              <w:right w:w="0" w:type="dxa"/>
            </w:tcMar>
            <w:vAlign w:val="center"/>
            <w:hideMark/>
          </w:tcPr>
          <w:p w14:paraId="15F52C4E"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23.8</w:t>
            </w:r>
          </w:p>
        </w:tc>
      </w:tr>
      <w:tr w:rsidR="009F7EE3" w:rsidRPr="009F7EE3" w14:paraId="3019B904" w14:textId="77777777">
        <w:tc>
          <w:tcPr>
            <w:tcW w:w="0" w:type="auto"/>
            <w:tcMar>
              <w:top w:w="150" w:type="dxa"/>
              <w:left w:w="0" w:type="dxa"/>
              <w:bottom w:w="150" w:type="dxa"/>
              <w:right w:w="240" w:type="dxa"/>
            </w:tcMar>
            <w:vAlign w:val="center"/>
            <w:hideMark/>
          </w:tcPr>
          <w:p w14:paraId="28F9CF18"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p>
        </w:tc>
        <w:tc>
          <w:tcPr>
            <w:tcW w:w="0" w:type="auto"/>
            <w:tcMar>
              <w:top w:w="150" w:type="dxa"/>
              <w:left w:w="240" w:type="dxa"/>
              <w:bottom w:w="150" w:type="dxa"/>
              <w:right w:w="240" w:type="dxa"/>
            </w:tcMar>
            <w:vAlign w:val="center"/>
            <w:hideMark/>
          </w:tcPr>
          <w:p w14:paraId="128A85A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Social media</w:t>
            </w:r>
          </w:p>
        </w:tc>
        <w:tc>
          <w:tcPr>
            <w:tcW w:w="0" w:type="auto"/>
            <w:tcMar>
              <w:top w:w="150" w:type="dxa"/>
              <w:left w:w="240" w:type="dxa"/>
              <w:bottom w:w="150" w:type="dxa"/>
              <w:right w:w="240" w:type="dxa"/>
            </w:tcMar>
            <w:vAlign w:val="center"/>
            <w:hideMark/>
          </w:tcPr>
          <w:p w14:paraId="6735A7B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14</w:t>
            </w:r>
          </w:p>
        </w:tc>
        <w:tc>
          <w:tcPr>
            <w:tcW w:w="0" w:type="auto"/>
            <w:tcMar>
              <w:top w:w="150" w:type="dxa"/>
              <w:left w:w="240" w:type="dxa"/>
              <w:bottom w:w="150" w:type="dxa"/>
              <w:right w:w="0" w:type="dxa"/>
            </w:tcMar>
            <w:vAlign w:val="center"/>
            <w:hideMark/>
          </w:tcPr>
          <w:p w14:paraId="106FE7BB"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16.7</w:t>
            </w:r>
          </w:p>
        </w:tc>
      </w:tr>
    </w:tbl>
    <w:p w14:paraId="65DB9E40"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Interpretation:</w:t>
      </w:r>
      <w:r w:rsidRPr="009F7EE3">
        <w:rPr>
          <w:rFonts w:ascii="Segoe UI" w:eastAsia="Times New Roman" w:hAnsi="Segoe UI" w:cs="Segoe UI"/>
          <w:color w:val="0F1115"/>
          <w:kern w:val="0"/>
          <w14:ligatures w14:val="none"/>
        </w:rPr>
        <w:t> While the majority (70%) had heard of maternal mortality, a substantial proportion (30%) had never heard of it, indicating a significant information gap. Health personnel were the most cited information source (33.3%), highlighting the critical role of healthcare workers in community education. Radio/TV (26.2%) also played an important role.</w:t>
      </w:r>
    </w:p>
    <w:p w14:paraId="3552E840" w14:textId="77777777" w:rsidR="009F7EE3" w:rsidRPr="009F7EE3" w:rsidRDefault="009F7EE3" w:rsidP="009F7EE3">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9F7EE3">
        <w:rPr>
          <w:rFonts w:ascii="Segoe UI" w:eastAsia="Times New Roman" w:hAnsi="Segoe UI" w:cs="Segoe UI"/>
          <w:b/>
          <w:bCs/>
          <w:color w:val="0F1115"/>
          <w:kern w:val="0"/>
          <w:sz w:val="30"/>
          <w:szCs w:val="30"/>
          <w14:ligatures w14:val="none"/>
        </w:rPr>
        <w:t>3.3. Perceptions of Causes and Severity of Maternal Mortality</w:t>
      </w:r>
    </w:p>
    <w:p w14:paraId="48A4A169"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Table 3 shows participants' perceptions of the causes of maternal mortality, and Table 4 presents their perception of its severity.</w:t>
      </w:r>
    </w:p>
    <w:p w14:paraId="6ED121E4"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Table 3</w:t>
      </w:r>
      <w:r w:rsidRPr="009F7EE3">
        <w:rPr>
          <w:rFonts w:ascii="Segoe UI" w:eastAsia="Times New Roman" w:hAnsi="Segoe UI" w:cs="Segoe UI"/>
          <w:color w:val="0F1115"/>
          <w:kern w:val="0"/>
          <w14:ligatures w14:val="none"/>
        </w:rPr>
        <w:br/>
        <w:t>*Perceived Causes of Maternal Mortality (N = 120)*</w:t>
      </w:r>
    </w:p>
    <w:tbl>
      <w:tblPr>
        <w:tblW w:w="11280" w:type="dxa"/>
        <w:tblCellMar>
          <w:top w:w="15" w:type="dxa"/>
          <w:left w:w="15" w:type="dxa"/>
          <w:bottom w:w="15" w:type="dxa"/>
          <w:right w:w="15" w:type="dxa"/>
        </w:tblCellMar>
        <w:tblLook w:val="04A0" w:firstRow="1" w:lastRow="0" w:firstColumn="1" w:lastColumn="0" w:noHBand="0" w:noVBand="1"/>
      </w:tblPr>
      <w:tblGrid>
        <w:gridCol w:w="8589"/>
        <w:gridCol w:w="1402"/>
        <w:gridCol w:w="1289"/>
      </w:tblGrid>
      <w:tr w:rsidR="009F7EE3" w:rsidRPr="009F7EE3" w14:paraId="4A7606C1" w14:textId="77777777">
        <w:trPr>
          <w:tblHeader/>
        </w:trPr>
        <w:tc>
          <w:tcPr>
            <w:tcW w:w="0" w:type="auto"/>
            <w:tcBorders>
              <w:top w:val="nil"/>
            </w:tcBorders>
            <w:tcMar>
              <w:top w:w="150" w:type="dxa"/>
              <w:left w:w="0" w:type="dxa"/>
              <w:bottom w:w="150" w:type="dxa"/>
              <w:right w:w="240" w:type="dxa"/>
            </w:tcMar>
            <w:vAlign w:val="center"/>
            <w:hideMark/>
          </w:tcPr>
          <w:p w14:paraId="680E257B"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Perceived cause</w:t>
            </w:r>
          </w:p>
        </w:tc>
        <w:tc>
          <w:tcPr>
            <w:tcW w:w="0" w:type="auto"/>
            <w:tcBorders>
              <w:top w:val="nil"/>
            </w:tcBorders>
            <w:tcMar>
              <w:top w:w="150" w:type="dxa"/>
              <w:left w:w="240" w:type="dxa"/>
              <w:bottom w:w="150" w:type="dxa"/>
              <w:right w:w="240" w:type="dxa"/>
            </w:tcMar>
            <w:vAlign w:val="center"/>
            <w:hideMark/>
          </w:tcPr>
          <w:p w14:paraId="01C0D10E"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5D20B2BE"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w:t>
            </w:r>
          </w:p>
        </w:tc>
      </w:tr>
      <w:tr w:rsidR="009F7EE3" w:rsidRPr="009F7EE3" w14:paraId="04F7E516" w14:textId="77777777">
        <w:tc>
          <w:tcPr>
            <w:tcW w:w="0" w:type="auto"/>
            <w:tcMar>
              <w:top w:w="150" w:type="dxa"/>
              <w:left w:w="0" w:type="dxa"/>
              <w:bottom w:w="150" w:type="dxa"/>
              <w:right w:w="240" w:type="dxa"/>
            </w:tcMar>
            <w:vAlign w:val="center"/>
            <w:hideMark/>
          </w:tcPr>
          <w:p w14:paraId="2CEE01E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Hemorrhage</w:t>
            </w:r>
          </w:p>
        </w:tc>
        <w:tc>
          <w:tcPr>
            <w:tcW w:w="0" w:type="auto"/>
            <w:tcMar>
              <w:top w:w="150" w:type="dxa"/>
              <w:left w:w="240" w:type="dxa"/>
              <w:bottom w:w="150" w:type="dxa"/>
              <w:right w:w="240" w:type="dxa"/>
            </w:tcMar>
            <w:vAlign w:val="center"/>
            <w:hideMark/>
          </w:tcPr>
          <w:p w14:paraId="41CB5142"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34</w:t>
            </w:r>
          </w:p>
        </w:tc>
        <w:tc>
          <w:tcPr>
            <w:tcW w:w="0" w:type="auto"/>
            <w:tcMar>
              <w:top w:w="150" w:type="dxa"/>
              <w:left w:w="240" w:type="dxa"/>
              <w:bottom w:w="150" w:type="dxa"/>
              <w:right w:w="0" w:type="dxa"/>
            </w:tcMar>
            <w:vAlign w:val="center"/>
            <w:hideMark/>
          </w:tcPr>
          <w:p w14:paraId="2FF92B1E"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28.3</w:t>
            </w:r>
          </w:p>
        </w:tc>
      </w:tr>
      <w:tr w:rsidR="009F7EE3" w:rsidRPr="009F7EE3" w14:paraId="0F21201F" w14:textId="77777777">
        <w:tc>
          <w:tcPr>
            <w:tcW w:w="0" w:type="auto"/>
            <w:tcMar>
              <w:top w:w="150" w:type="dxa"/>
              <w:left w:w="0" w:type="dxa"/>
              <w:bottom w:w="150" w:type="dxa"/>
              <w:right w:w="240" w:type="dxa"/>
            </w:tcMar>
            <w:vAlign w:val="center"/>
            <w:hideMark/>
          </w:tcPr>
          <w:p w14:paraId="351C1F89"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Lack of quality medical care</w:t>
            </w:r>
          </w:p>
        </w:tc>
        <w:tc>
          <w:tcPr>
            <w:tcW w:w="0" w:type="auto"/>
            <w:tcMar>
              <w:top w:w="150" w:type="dxa"/>
              <w:left w:w="240" w:type="dxa"/>
              <w:bottom w:w="150" w:type="dxa"/>
              <w:right w:w="240" w:type="dxa"/>
            </w:tcMar>
            <w:vAlign w:val="center"/>
            <w:hideMark/>
          </w:tcPr>
          <w:p w14:paraId="12F29A7F"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30</w:t>
            </w:r>
          </w:p>
        </w:tc>
        <w:tc>
          <w:tcPr>
            <w:tcW w:w="0" w:type="auto"/>
            <w:tcMar>
              <w:top w:w="150" w:type="dxa"/>
              <w:left w:w="240" w:type="dxa"/>
              <w:bottom w:w="150" w:type="dxa"/>
              <w:right w:w="0" w:type="dxa"/>
            </w:tcMar>
            <w:vAlign w:val="center"/>
            <w:hideMark/>
          </w:tcPr>
          <w:p w14:paraId="001DB7CF"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25.0</w:t>
            </w:r>
          </w:p>
        </w:tc>
      </w:tr>
      <w:tr w:rsidR="009F7EE3" w:rsidRPr="009F7EE3" w14:paraId="319C572F" w14:textId="77777777">
        <w:tc>
          <w:tcPr>
            <w:tcW w:w="0" w:type="auto"/>
            <w:tcMar>
              <w:top w:w="150" w:type="dxa"/>
              <w:left w:w="0" w:type="dxa"/>
              <w:bottom w:w="150" w:type="dxa"/>
              <w:right w:w="240" w:type="dxa"/>
            </w:tcMar>
            <w:vAlign w:val="center"/>
            <w:hideMark/>
          </w:tcPr>
          <w:p w14:paraId="04DA0747"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lastRenderedPageBreak/>
              <w:t>Home delivery</w:t>
            </w:r>
          </w:p>
        </w:tc>
        <w:tc>
          <w:tcPr>
            <w:tcW w:w="0" w:type="auto"/>
            <w:tcMar>
              <w:top w:w="150" w:type="dxa"/>
              <w:left w:w="240" w:type="dxa"/>
              <w:bottom w:w="150" w:type="dxa"/>
              <w:right w:w="240" w:type="dxa"/>
            </w:tcMar>
            <w:vAlign w:val="center"/>
            <w:hideMark/>
          </w:tcPr>
          <w:p w14:paraId="3B55F19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28</w:t>
            </w:r>
          </w:p>
        </w:tc>
        <w:tc>
          <w:tcPr>
            <w:tcW w:w="0" w:type="auto"/>
            <w:tcMar>
              <w:top w:w="150" w:type="dxa"/>
              <w:left w:w="240" w:type="dxa"/>
              <w:bottom w:w="150" w:type="dxa"/>
              <w:right w:w="0" w:type="dxa"/>
            </w:tcMar>
            <w:vAlign w:val="center"/>
            <w:hideMark/>
          </w:tcPr>
          <w:p w14:paraId="6B22D042"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23.3</w:t>
            </w:r>
          </w:p>
        </w:tc>
      </w:tr>
      <w:tr w:rsidR="009F7EE3" w:rsidRPr="009F7EE3" w14:paraId="7B681673" w14:textId="77777777">
        <w:tc>
          <w:tcPr>
            <w:tcW w:w="0" w:type="auto"/>
            <w:tcMar>
              <w:top w:w="150" w:type="dxa"/>
              <w:left w:w="0" w:type="dxa"/>
              <w:bottom w:w="150" w:type="dxa"/>
              <w:right w:w="240" w:type="dxa"/>
            </w:tcMar>
            <w:vAlign w:val="center"/>
            <w:hideMark/>
          </w:tcPr>
          <w:p w14:paraId="55C96C6E"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Delay in evacuation to appropriate facility</w:t>
            </w:r>
          </w:p>
        </w:tc>
        <w:tc>
          <w:tcPr>
            <w:tcW w:w="0" w:type="auto"/>
            <w:tcMar>
              <w:top w:w="150" w:type="dxa"/>
              <w:left w:w="240" w:type="dxa"/>
              <w:bottom w:w="150" w:type="dxa"/>
              <w:right w:w="240" w:type="dxa"/>
            </w:tcMar>
            <w:vAlign w:val="center"/>
            <w:hideMark/>
          </w:tcPr>
          <w:p w14:paraId="2B51A74E"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18</w:t>
            </w:r>
          </w:p>
        </w:tc>
        <w:tc>
          <w:tcPr>
            <w:tcW w:w="0" w:type="auto"/>
            <w:tcMar>
              <w:top w:w="150" w:type="dxa"/>
              <w:left w:w="240" w:type="dxa"/>
              <w:bottom w:w="150" w:type="dxa"/>
              <w:right w:w="0" w:type="dxa"/>
            </w:tcMar>
            <w:vAlign w:val="center"/>
            <w:hideMark/>
          </w:tcPr>
          <w:p w14:paraId="768C320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15.0</w:t>
            </w:r>
          </w:p>
        </w:tc>
      </w:tr>
      <w:tr w:rsidR="009F7EE3" w:rsidRPr="009F7EE3" w14:paraId="334BAB7C" w14:textId="77777777">
        <w:tc>
          <w:tcPr>
            <w:tcW w:w="0" w:type="auto"/>
            <w:tcMar>
              <w:top w:w="150" w:type="dxa"/>
              <w:left w:w="0" w:type="dxa"/>
              <w:bottom w:w="150" w:type="dxa"/>
              <w:right w:w="240" w:type="dxa"/>
            </w:tcMar>
            <w:vAlign w:val="center"/>
            <w:hideMark/>
          </w:tcPr>
          <w:p w14:paraId="633226C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Other</w:t>
            </w:r>
          </w:p>
        </w:tc>
        <w:tc>
          <w:tcPr>
            <w:tcW w:w="0" w:type="auto"/>
            <w:tcMar>
              <w:top w:w="150" w:type="dxa"/>
              <w:left w:w="240" w:type="dxa"/>
              <w:bottom w:w="150" w:type="dxa"/>
              <w:right w:w="240" w:type="dxa"/>
            </w:tcMar>
            <w:vAlign w:val="center"/>
            <w:hideMark/>
          </w:tcPr>
          <w:p w14:paraId="1607450A"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10</w:t>
            </w:r>
          </w:p>
        </w:tc>
        <w:tc>
          <w:tcPr>
            <w:tcW w:w="0" w:type="auto"/>
            <w:tcMar>
              <w:top w:w="150" w:type="dxa"/>
              <w:left w:w="240" w:type="dxa"/>
              <w:bottom w:w="150" w:type="dxa"/>
              <w:right w:w="0" w:type="dxa"/>
            </w:tcMar>
            <w:vAlign w:val="center"/>
            <w:hideMark/>
          </w:tcPr>
          <w:p w14:paraId="2FF05DCF"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8.4</w:t>
            </w:r>
          </w:p>
        </w:tc>
      </w:tr>
    </w:tbl>
    <w:p w14:paraId="78FE935A"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Interpretation:</w:t>
      </w:r>
      <w:r w:rsidRPr="009F7EE3">
        <w:rPr>
          <w:rFonts w:ascii="Segoe UI" w:eastAsia="Times New Roman" w:hAnsi="Segoe UI" w:cs="Segoe UI"/>
          <w:color w:val="0F1115"/>
          <w:kern w:val="0"/>
          <w14:ligatures w14:val="none"/>
        </w:rPr>
        <w:t> Hemorrhage was correctly identified as the leading cause of maternal death (28.3%), which aligns with global epidemiological data. The recognition of home delivery (23.3%) and delay in evacuation (15%) as risk factors indicates a good understanding of the "three delays" model among some respondents.</w:t>
      </w:r>
    </w:p>
    <w:p w14:paraId="5967E5B2"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Table 4</w:t>
      </w:r>
      <w:r w:rsidRPr="009F7EE3">
        <w:rPr>
          <w:rFonts w:ascii="Segoe UI" w:eastAsia="Times New Roman" w:hAnsi="Segoe UI" w:cs="Segoe UI"/>
          <w:color w:val="0F1115"/>
          <w:kern w:val="0"/>
          <w14:ligatures w14:val="none"/>
        </w:rPr>
        <w:br/>
        <w:t>*Perception of the Severity of Maternal Mortality (N = 120)*</w:t>
      </w:r>
    </w:p>
    <w:tbl>
      <w:tblPr>
        <w:tblW w:w="11280" w:type="dxa"/>
        <w:tblCellMar>
          <w:top w:w="15" w:type="dxa"/>
          <w:left w:w="15" w:type="dxa"/>
          <w:bottom w:w="15" w:type="dxa"/>
          <w:right w:w="15" w:type="dxa"/>
        </w:tblCellMar>
        <w:tblLook w:val="04A0" w:firstRow="1" w:lastRow="0" w:firstColumn="1" w:lastColumn="0" w:noHBand="0" w:noVBand="1"/>
      </w:tblPr>
      <w:tblGrid>
        <w:gridCol w:w="6484"/>
        <w:gridCol w:w="2499"/>
        <w:gridCol w:w="2297"/>
      </w:tblGrid>
      <w:tr w:rsidR="009F7EE3" w:rsidRPr="009F7EE3" w14:paraId="0CF77F89" w14:textId="77777777">
        <w:trPr>
          <w:tblHeader/>
        </w:trPr>
        <w:tc>
          <w:tcPr>
            <w:tcW w:w="0" w:type="auto"/>
            <w:tcBorders>
              <w:top w:val="nil"/>
            </w:tcBorders>
            <w:tcMar>
              <w:top w:w="150" w:type="dxa"/>
              <w:left w:w="0" w:type="dxa"/>
              <w:bottom w:w="150" w:type="dxa"/>
              <w:right w:w="240" w:type="dxa"/>
            </w:tcMar>
            <w:vAlign w:val="center"/>
            <w:hideMark/>
          </w:tcPr>
          <w:p w14:paraId="01E3BD3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Perception</w:t>
            </w:r>
          </w:p>
        </w:tc>
        <w:tc>
          <w:tcPr>
            <w:tcW w:w="0" w:type="auto"/>
            <w:tcBorders>
              <w:top w:val="nil"/>
            </w:tcBorders>
            <w:tcMar>
              <w:top w:w="150" w:type="dxa"/>
              <w:left w:w="240" w:type="dxa"/>
              <w:bottom w:w="150" w:type="dxa"/>
              <w:right w:w="240" w:type="dxa"/>
            </w:tcMar>
            <w:vAlign w:val="center"/>
            <w:hideMark/>
          </w:tcPr>
          <w:p w14:paraId="18DE17B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1B404DDB"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w:t>
            </w:r>
          </w:p>
        </w:tc>
      </w:tr>
      <w:tr w:rsidR="009F7EE3" w:rsidRPr="009F7EE3" w14:paraId="6C48A66C" w14:textId="77777777">
        <w:tc>
          <w:tcPr>
            <w:tcW w:w="0" w:type="auto"/>
            <w:tcMar>
              <w:top w:w="150" w:type="dxa"/>
              <w:left w:w="0" w:type="dxa"/>
              <w:bottom w:w="150" w:type="dxa"/>
              <w:right w:w="240" w:type="dxa"/>
            </w:tcMar>
            <w:vAlign w:val="center"/>
            <w:hideMark/>
          </w:tcPr>
          <w:p w14:paraId="0DE46E5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Very serious</w:t>
            </w:r>
          </w:p>
        </w:tc>
        <w:tc>
          <w:tcPr>
            <w:tcW w:w="0" w:type="auto"/>
            <w:tcMar>
              <w:top w:w="150" w:type="dxa"/>
              <w:left w:w="240" w:type="dxa"/>
              <w:bottom w:w="150" w:type="dxa"/>
              <w:right w:w="240" w:type="dxa"/>
            </w:tcMar>
            <w:vAlign w:val="center"/>
            <w:hideMark/>
          </w:tcPr>
          <w:p w14:paraId="0F6A6CC2"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72</w:t>
            </w:r>
          </w:p>
        </w:tc>
        <w:tc>
          <w:tcPr>
            <w:tcW w:w="0" w:type="auto"/>
            <w:tcMar>
              <w:top w:w="150" w:type="dxa"/>
              <w:left w:w="240" w:type="dxa"/>
              <w:bottom w:w="150" w:type="dxa"/>
              <w:right w:w="0" w:type="dxa"/>
            </w:tcMar>
            <w:vAlign w:val="center"/>
            <w:hideMark/>
          </w:tcPr>
          <w:p w14:paraId="00DAFDD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60.0</w:t>
            </w:r>
          </w:p>
        </w:tc>
      </w:tr>
      <w:tr w:rsidR="009F7EE3" w:rsidRPr="009F7EE3" w14:paraId="0DC74735" w14:textId="77777777">
        <w:tc>
          <w:tcPr>
            <w:tcW w:w="0" w:type="auto"/>
            <w:tcMar>
              <w:top w:w="150" w:type="dxa"/>
              <w:left w:w="0" w:type="dxa"/>
              <w:bottom w:w="150" w:type="dxa"/>
              <w:right w:w="240" w:type="dxa"/>
            </w:tcMar>
            <w:vAlign w:val="center"/>
            <w:hideMark/>
          </w:tcPr>
          <w:p w14:paraId="3A257978"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Serious</w:t>
            </w:r>
          </w:p>
        </w:tc>
        <w:tc>
          <w:tcPr>
            <w:tcW w:w="0" w:type="auto"/>
            <w:tcMar>
              <w:top w:w="150" w:type="dxa"/>
              <w:left w:w="240" w:type="dxa"/>
              <w:bottom w:w="150" w:type="dxa"/>
              <w:right w:w="240" w:type="dxa"/>
            </w:tcMar>
            <w:vAlign w:val="center"/>
            <w:hideMark/>
          </w:tcPr>
          <w:p w14:paraId="4AB1B5C1"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30</w:t>
            </w:r>
          </w:p>
        </w:tc>
        <w:tc>
          <w:tcPr>
            <w:tcW w:w="0" w:type="auto"/>
            <w:tcMar>
              <w:top w:w="150" w:type="dxa"/>
              <w:left w:w="240" w:type="dxa"/>
              <w:bottom w:w="150" w:type="dxa"/>
              <w:right w:w="0" w:type="dxa"/>
            </w:tcMar>
            <w:vAlign w:val="center"/>
            <w:hideMark/>
          </w:tcPr>
          <w:p w14:paraId="1E9679B1"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25.0</w:t>
            </w:r>
          </w:p>
        </w:tc>
      </w:tr>
      <w:tr w:rsidR="009F7EE3" w:rsidRPr="009F7EE3" w14:paraId="58F5D274" w14:textId="77777777">
        <w:tc>
          <w:tcPr>
            <w:tcW w:w="0" w:type="auto"/>
            <w:tcMar>
              <w:top w:w="150" w:type="dxa"/>
              <w:left w:w="0" w:type="dxa"/>
              <w:bottom w:w="150" w:type="dxa"/>
              <w:right w:w="240" w:type="dxa"/>
            </w:tcMar>
            <w:vAlign w:val="center"/>
            <w:hideMark/>
          </w:tcPr>
          <w:p w14:paraId="31036FCE"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Not very serious</w:t>
            </w:r>
          </w:p>
        </w:tc>
        <w:tc>
          <w:tcPr>
            <w:tcW w:w="0" w:type="auto"/>
            <w:tcMar>
              <w:top w:w="150" w:type="dxa"/>
              <w:left w:w="240" w:type="dxa"/>
              <w:bottom w:w="150" w:type="dxa"/>
              <w:right w:w="240" w:type="dxa"/>
            </w:tcMar>
            <w:vAlign w:val="center"/>
            <w:hideMark/>
          </w:tcPr>
          <w:p w14:paraId="6BE50A79"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10</w:t>
            </w:r>
          </w:p>
        </w:tc>
        <w:tc>
          <w:tcPr>
            <w:tcW w:w="0" w:type="auto"/>
            <w:tcMar>
              <w:top w:w="150" w:type="dxa"/>
              <w:left w:w="240" w:type="dxa"/>
              <w:bottom w:w="150" w:type="dxa"/>
              <w:right w:w="0" w:type="dxa"/>
            </w:tcMar>
            <w:vAlign w:val="center"/>
            <w:hideMark/>
          </w:tcPr>
          <w:p w14:paraId="4CCFBF97"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8.3</w:t>
            </w:r>
          </w:p>
        </w:tc>
      </w:tr>
      <w:tr w:rsidR="009F7EE3" w:rsidRPr="009F7EE3" w14:paraId="0A42B9AC" w14:textId="77777777">
        <w:tc>
          <w:tcPr>
            <w:tcW w:w="0" w:type="auto"/>
            <w:tcMar>
              <w:top w:w="150" w:type="dxa"/>
              <w:left w:w="0" w:type="dxa"/>
              <w:bottom w:w="150" w:type="dxa"/>
              <w:right w:w="240" w:type="dxa"/>
            </w:tcMar>
            <w:vAlign w:val="center"/>
            <w:hideMark/>
          </w:tcPr>
          <w:p w14:paraId="69979AB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Don't know</w:t>
            </w:r>
          </w:p>
        </w:tc>
        <w:tc>
          <w:tcPr>
            <w:tcW w:w="0" w:type="auto"/>
            <w:tcMar>
              <w:top w:w="150" w:type="dxa"/>
              <w:left w:w="240" w:type="dxa"/>
              <w:bottom w:w="150" w:type="dxa"/>
              <w:right w:w="240" w:type="dxa"/>
            </w:tcMar>
            <w:vAlign w:val="center"/>
            <w:hideMark/>
          </w:tcPr>
          <w:p w14:paraId="7817FC07"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8</w:t>
            </w:r>
          </w:p>
        </w:tc>
        <w:tc>
          <w:tcPr>
            <w:tcW w:w="0" w:type="auto"/>
            <w:tcMar>
              <w:top w:w="150" w:type="dxa"/>
              <w:left w:w="240" w:type="dxa"/>
              <w:bottom w:w="150" w:type="dxa"/>
              <w:right w:w="0" w:type="dxa"/>
            </w:tcMar>
            <w:vAlign w:val="center"/>
            <w:hideMark/>
          </w:tcPr>
          <w:p w14:paraId="4B2CA1A9"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6.7</w:t>
            </w:r>
          </w:p>
        </w:tc>
      </w:tr>
    </w:tbl>
    <w:p w14:paraId="3CD9B6D4"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Interpretation:</w:t>
      </w:r>
      <w:r w:rsidRPr="009F7EE3">
        <w:rPr>
          <w:rFonts w:ascii="Segoe UI" w:eastAsia="Times New Roman" w:hAnsi="Segoe UI" w:cs="Segoe UI"/>
          <w:color w:val="0F1115"/>
          <w:kern w:val="0"/>
          <w14:ligatures w14:val="none"/>
        </w:rPr>
        <w:t> The majority (85%) recognized maternal mortality as a serious or very serious problem. This high level of concern is a favorable starting point for community sensitization.</w:t>
      </w:r>
    </w:p>
    <w:p w14:paraId="0747B777" w14:textId="77777777" w:rsidR="009F7EE3" w:rsidRPr="009F7EE3" w:rsidRDefault="009F7EE3" w:rsidP="009F7EE3">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9F7EE3">
        <w:rPr>
          <w:rFonts w:ascii="Segoe UI" w:eastAsia="Times New Roman" w:hAnsi="Segoe UI" w:cs="Segoe UI"/>
          <w:b/>
          <w:bCs/>
          <w:color w:val="0F1115"/>
          <w:kern w:val="0"/>
          <w:sz w:val="30"/>
          <w:szCs w:val="30"/>
          <w14:ligatures w14:val="none"/>
        </w:rPr>
        <w:t>3.4. Attitudes Toward Maternal Health Services</w:t>
      </w:r>
    </w:p>
    <w:p w14:paraId="6555F88A"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lastRenderedPageBreak/>
        <w:t>Tables 5 through 8 present participants' attitudes regarding antenatal care, preferred place of delivery, response to complications, and the importance of community sensitization.</w:t>
      </w:r>
    </w:p>
    <w:p w14:paraId="2E2CBBB2"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Table 5</w:t>
      </w:r>
      <w:r w:rsidRPr="009F7EE3">
        <w:rPr>
          <w:rFonts w:ascii="Segoe UI" w:eastAsia="Times New Roman" w:hAnsi="Segoe UI" w:cs="Segoe UI"/>
          <w:color w:val="0F1115"/>
          <w:kern w:val="0"/>
          <w14:ligatures w14:val="none"/>
        </w:rPr>
        <w:br/>
        <w:t>*Attitude Toward Antenatal Care (ANC) (N = 120)*</w:t>
      </w:r>
    </w:p>
    <w:tbl>
      <w:tblPr>
        <w:tblW w:w="11280" w:type="dxa"/>
        <w:tblCellMar>
          <w:top w:w="15" w:type="dxa"/>
          <w:left w:w="15" w:type="dxa"/>
          <w:bottom w:w="15" w:type="dxa"/>
          <w:right w:w="15" w:type="dxa"/>
        </w:tblCellMar>
        <w:tblLook w:val="04A0" w:firstRow="1" w:lastRow="0" w:firstColumn="1" w:lastColumn="0" w:noHBand="0" w:noVBand="1"/>
      </w:tblPr>
      <w:tblGrid>
        <w:gridCol w:w="5786"/>
        <w:gridCol w:w="2863"/>
        <w:gridCol w:w="2631"/>
      </w:tblGrid>
      <w:tr w:rsidR="009F7EE3" w:rsidRPr="009F7EE3" w14:paraId="2F375E83" w14:textId="77777777">
        <w:trPr>
          <w:tblHeader/>
        </w:trPr>
        <w:tc>
          <w:tcPr>
            <w:tcW w:w="0" w:type="auto"/>
            <w:tcBorders>
              <w:top w:val="nil"/>
            </w:tcBorders>
            <w:tcMar>
              <w:top w:w="150" w:type="dxa"/>
              <w:left w:w="0" w:type="dxa"/>
              <w:bottom w:w="150" w:type="dxa"/>
              <w:right w:w="240" w:type="dxa"/>
            </w:tcMar>
            <w:vAlign w:val="center"/>
            <w:hideMark/>
          </w:tcPr>
          <w:p w14:paraId="05297548"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Attitude</w:t>
            </w:r>
          </w:p>
        </w:tc>
        <w:tc>
          <w:tcPr>
            <w:tcW w:w="0" w:type="auto"/>
            <w:tcBorders>
              <w:top w:val="nil"/>
            </w:tcBorders>
            <w:tcMar>
              <w:top w:w="150" w:type="dxa"/>
              <w:left w:w="240" w:type="dxa"/>
              <w:bottom w:w="150" w:type="dxa"/>
              <w:right w:w="240" w:type="dxa"/>
            </w:tcMar>
            <w:vAlign w:val="center"/>
            <w:hideMark/>
          </w:tcPr>
          <w:p w14:paraId="228507ED"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648DCE7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w:t>
            </w:r>
          </w:p>
        </w:tc>
      </w:tr>
      <w:tr w:rsidR="009F7EE3" w:rsidRPr="009F7EE3" w14:paraId="19ED7918" w14:textId="77777777">
        <w:tc>
          <w:tcPr>
            <w:tcW w:w="0" w:type="auto"/>
            <w:tcMar>
              <w:top w:w="150" w:type="dxa"/>
              <w:left w:w="0" w:type="dxa"/>
              <w:bottom w:w="150" w:type="dxa"/>
              <w:right w:w="240" w:type="dxa"/>
            </w:tcMar>
            <w:vAlign w:val="center"/>
            <w:hideMark/>
          </w:tcPr>
          <w:p w14:paraId="7A319DE7"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Favorable</w:t>
            </w:r>
          </w:p>
        </w:tc>
        <w:tc>
          <w:tcPr>
            <w:tcW w:w="0" w:type="auto"/>
            <w:tcMar>
              <w:top w:w="150" w:type="dxa"/>
              <w:left w:w="240" w:type="dxa"/>
              <w:bottom w:w="150" w:type="dxa"/>
              <w:right w:w="240" w:type="dxa"/>
            </w:tcMar>
            <w:vAlign w:val="center"/>
            <w:hideMark/>
          </w:tcPr>
          <w:p w14:paraId="5C83B0B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92</w:t>
            </w:r>
          </w:p>
        </w:tc>
        <w:tc>
          <w:tcPr>
            <w:tcW w:w="0" w:type="auto"/>
            <w:tcMar>
              <w:top w:w="150" w:type="dxa"/>
              <w:left w:w="240" w:type="dxa"/>
              <w:bottom w:w="150" w:type="dxa"/>
              <w:right w:w="0" w:type="dxa"/>
            </w:tcMar>
            <w:vAlign w:val="center"/>
            <w:hideMark/>
          </w:tcPr>
          <w:p w14:paraId="431F117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76.7</w:t>
            </w:r>
          </w:p>
        </w:tc>
      </w:tr>
      <w:tr w:rsidR="009F7EE3" w:rsidRPr="009F7EE3" w14:paraId="0658E0F4" w14:textId="77777777">
        <w:tc>
          <w:tcPr>
            <w:tcW w:w="0" w:type="auto"/>
            <w:tcMar>
              <w:top w:w="150" w:type="dxa"/>
              <w:left w:w="0" w:type="dxa"/>
              <w:bottom w:w="150" w:type="dxa"/>
              <w:right w:w="240" w:type="dxa"/>
            </w:tcMar>
            <w:vAlign w:val="center"/>
            <w:hideMark/>
          </w:tcPr>
          <w:p w14:paraId="464B3B0D"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Unfavorable</w:t>
            </w:r>
          </w:p>
        </w:tc>
        <w:tc>
          <w:tcPr>
            <w:tcW w:w="0" w:type="auto"/>
            <w:tcMar>
              <w:top w:w="150" w:type="dxa"/>
              <w:left w:w="240" w:type="dxa"/>
              <w:bottom w:w="150" w:type="dxa"/>
              <w:right w:w="240" w:type="dxa"/>
            </w:tcMar>
            <w:vAlign w:val="center"/>
            <w:hideMark/>
          </w:tcPr>
          <w:p w14:paraId="4F253771"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28</w:t>
            </w:r>
          </w:p>
        </w:tc>
        <w:tc>
          <w:tcPr>
            <w:tcW w:w="0" w:type="auto"/>
            <w:tcMar>
              <w:top w:w="150" w:type="dxa"/>
              <w:left w:w="240" w:type="dxa"/>
              <w:bottom w:w="150" w:type="dxa"/>
              <w:right w:w="0" w:type="dxa"/>
            </w:tcMar>
            <w:vAlign w:val="center"/>
            <w:hideMark/>
          </w:tcPr>
          <w:p w14:paraId="61CCBC18"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23.3</w:t>
            </w:r>
          </w:p>
        </w:tc>
      </w:tr>
    </w:tbl>
    <w:p w14:paraId="1ABAAA43"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Interpretation:</w:t>
      </w:r>
      <w:r w:rsidRPr="009F7EE3">
        <w:rPr>
          <w:rFonts w:ascii="Segoe UI" w:eastAsia="Times New Roman" w:hAnsi="Segoe UI" w:cs="Segoe UI"/>
          <w:color w:val="0F1115"/>
          <w:kern w:val="0"/>
          <w14:ligatures w14:val="none"/>
        </w:rPr>
        <w:t> Over three-quarters of respondents (76.7%) had a favorable attitude toward ANC. However, nearly one in four (23.3%) held unfavorable attitudes, representing a significant minority that needs targeted education.</w:t>
      </w:r>
    </w:p>
    <w:p w14:paraId="062299F8"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Table 6</w:t>
      </w:r>
      <w:r w:rsidRPr="009F7EE3">
        <w:rPr>
          <w:rFonts w:ascii="Segoe UI" w:eastAsia="Times New Roman" w:hAnsi="Segoe UI" w:cs="Segoe UI"/>
          <w:color w:val="0F1115"/>
          <w:kern w:val="0"/>
          <w14:ligatures w14:val="none"/>
        </w:rPr>
        <w:br/>
        <w:t>*Preferred Place of Delivery (N = 120)*</w:t>
      </w:r>
    </w:p>
    <w:tbl>
      <w:tblPr>
        <w:tblW w:w="11280" w:type="dxa"/>
        <w:tblCellMar>
          <w:top w:w="15" w:type="dxa"/>
          <w:left w:w="15" w:type="dxa"/>
          <w:bottom w:w="15" w:type="dxa"/>
          <w:right w:w="15" w:type="dxa"/>
        </w:tblCellMar>
        <w:tblLook w:val="04A0" w:firstRow="1" w:lastRow="0" w:firstColumn="1" w:lastColumn="0" w:noHBand="0" w:noVBand="1"/>
      </w:tblPr>
      <w:tblGrid>
        <w:gridCol w:w="6312"/>
        <w:gridCol w:w="2589"/>
        <w:gridCol w:w="2379"/>
      </w:tblGrid>
      <w:tr w:rsidR="009F7EE3" w:rsidRPr="009F7EE3" w14:paraId="07D15B1C" w14:textId="77777777">
        <w:trPr>
          <w:tblHeader/>
        </w:trPr>
        <w:tc>
          <w:tcPr>
            <w:tcW w:w="0" w:type="auto"/>
            <w:tcBorders>
              <w:top w:val="nil"/>
            </w:tcBorders>
            <w:tcMar>
              <w:top w:w="150" w:type="dxa"/>
              <w:left w:w="0" w:type="dxa"/>
              <w:bottom w:w="150" w:type="dxa"/>
              <w:right w:w="240" w:type="dxa"/>
            </w:tcMar>
            <w:vAlign w:val="center"/>
            <w:hideMark/>
          </w:tcPr>
          <w:p w14:paraId="78797976"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Preferred place</w:t>
            </w:r>
          </w:p>
        </w:tc>
        <w:tc>
          <w:tcPr>
            <w:tcW w:w="0" w:type="auto"/>
            <w:tcBorders>
              <w:top w:val="nil"/>
            </w:tcBorders>
            <w:tcMar>
              <w:top w:w="150" w:type="dxa"/>
              <w:left w:w="240" w:type="dxa"/>
              <w:bottom w:w="150" w:type="dxa"/>
              <w:right w:w="240" w:type="dxa"/>
            </w:tcMar>
            <w:vAlign w:val="center"/>
            <w:hideMark/>
          </w:tcPr>
          <w:p w14:paraId="673590D0"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0D015973"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w:t>
            </w:r>
          </w:p>
        </w:tc>
      </w:tr>
      <w:tr w:rsidR="009F7EE3" w:rsidRPr="009F7EE3" w14:paraId="5AE3C64E" w14:textId="77777777">
        <w:tc>
          <w:tcPr>
            <w:tcW w:w="0" w:type="auto"/>
            <w:tcMar>
              <w:top w:w="150" w:type="dxa"/>
              <w:left w:w="0" w:type="dxa"/>
              <w:bottom w:w="150" w:type="dxa"/>
              <w:right w:w="240" w:type="dxa"/>
            </w:tcMar>
            <w:vAlign w:val="center"/>
            <w:hideMark/>
          </w:tcPr>
          <w:p w14:paraId="05A0FBD8"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Hospital</w:t>
            </w:r>
          </w:p>
        </w:tc>
        <w:tc>
          <w:tcPr>
            <w:tcW w:w="0" w:type="auto"/>
            <w:tcMar>
              <w:top w:w="150" w:type="dxa"/>
              <w:left w:w="240" w:type="dxa"/>
              <w:bottom w:w="150" w:type="dxa"/>
              <w:right w:w="240" w:type="dxa"/>
            </w:tcMar>
            <w:vAlign w:val="center"/>
            <w:hideMark/>
          </w:tcPr>
          <w:p w14:paraId="0BEA4991"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80</w:t>
            </w:r>
          </w:p>
        </w:tc>
        <w:tc>
          <w:tcPr>
            <w:tcW w:w="0" w:type="auto"/>
            <w:tcMar>
              <w:top w:w="150" w:type="dxa"/>
              <w:left w:w="240" w:type="dxa"/>
              <w:bottom w:w="150" w:type="dxa"/>
              <w:right w:w="0" w:type="dxa"/>
            </w:tcMar>
            <w:vAlign w:val="center"/>
            <w:hideMark/>
          </w:tcPr>
          <w:p w14:paraId="3614E6B7"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66.7</w:t>
            </w:r>
          </w:p>
        </w:tc>
      </w:tr>
      <w:tr w:rsidR="009F7EE3" w:rsidRPr="009F7EE3" w14:paraId="0A8451A5" w14:textId="77777777">
        <w:tc>
          <w:tcPr>
            <w:tcW w:w="0" w:type="auto"/>
            <w:tcMar>
              <w:top w:w="150" w:type="dxa"/>
              <w:left w:w="0" w:type="dxa"/>
              <w:bottom w:w="150" w:type="dxa"/>
              <w:right w:w="240" w:type="dxa"/>
            </w:tcMar>
            <w:vAlign w:val="center"/>
            <w:hideMark/>
          </w:tcPr>
          <w:p w14:paraId="6F3B97A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Health center</w:t>
            </w:r>
          </w:p>
        </w:tc>
        <w:tc>
          <w:tcPr>
            <w:tcW w:w="0" w:type="auto"/>
            <w:tcMar>
              <w:top w:w="150" w:type="dxa"/>
              <w:left w:w="240" w:type="dxa"/>
              <w:bottom w:w="150" w:type="dxa"/>
              <w:right w:w="240" w:type="dxa"/>
            </w:tcMar>
            <w:vAlign w:val="center"/>
            <w:hideMark/>
          </w:tcPr>
          <w:p w14:paraId="5C3571B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26</w:t>
            </w:r>
          </w:p>
        </w:tc>
        <w:tc>
          <w:tcPr>
            <w:tcW w:w="0" w:type="auto"/>
            <w:tcMar>
              <w:top w:w="150" w:type="dxa"/>
              <w:left w:w="240" w:type="dxa"/>
              <w:bottom w:w="150" w:type="dxa"/>
              <w:right w:w="0" w:type="dxa"/>
            </w:tcMar>
            <w:vAlign w:val="center"/>
            <w:hideMark/>
          </w:tcPr>
          <w:p w14:paraId="0957DB4A"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21.7</w:t>
            </w:r>
          </w:p>
        </w:tc>
      </w:tr>
      <w:tr w:rsidR="009F7EE3" w:rsidRPr="009F7EE3" w14:paraId="451E9FCD" w14:textId="77777777">
        <w:tc>
          <w:tcPr>
            <w:tcW w:w="0" w:type="auto"/>
            <w:tcMar>
              <w:top w:w="150" w:type="dxa"/>
              <w:left w:w="0" w:type="dxa"/>
              <w:bottom w:w="150" w:type="dxa"/>
              <w:right w:w="240" w:type="dxa"/>
            </w:tcMar>
            <w:vAlign w:val="center"/>
            <w:hideMark/>
          </w:tcPr>
          <w:p w14:paraId="113CDD6B"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Home</w:t>
            </w:r>
          </w:p>
        </w:tc>
        <w:tc>
          <w:tcPr>
            <w:tcW w:w="0" w:type="auto"/>
            <w:tcMar>
              <w:top w:w="150" w:type="dxa"/>
              <w:left w:w="240" w:type="dxa"/>
              <w:bottom w:w="150" w:type="dxa"/>
              <w:right w:w="240" w:type="dxa"/>
            </w:tcMar>
            <w:vAlign w:val="center"/>
            <w:hideMark/>
          </w:tcPr>
          <w:p w14:paraId="6707075E"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14</w:t>
            </w:r>
          </w:p>
        </w:tc>
        <w:tc>
          <w:tcPr>
            <w:tcW w:w="0" w:type="auto"/>
            <w:tcMar>
              <w:top w:w="150" w:type="dxa"/>
              <w:left w:w="240" w:type="dxa"/>
              <w:bottom w:w="150" w:type="dxa"/>
              <w:right w:w="0" w:type="dxa"/>
            </w:tcMar>
            <w:vAlign w:val="center"/>
            <w:hideMark/>
          </w:tcPr>
          <w:p w14:paraId="13B2958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11.6</w:t>
            </w:r>
          </w:p>
        </w:tc>
      </w:tr>
    </w:tbl>
    <w:p w14:paraId="42E553D0"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Interpretation:</w:t>
      </w:r>
      <w:r w:rsidRPr="009F7EE3">
        <w:rPr>
          <w:rFonts w:ascii="Segoe UI" w:eastAsia="Times New Roman" w:hAnsi="Segoe UI" w:cs="Segoe UI"/>
          <w:color w:val="0F1115"/>
          <w:kern w:val="0"/>
          <w14:ligatures w14:val="none"/>
        </w:rPr>
        <w:t> While the majority (88.4%) preferred facility-based delivery (hospital or health center), 11.6% still preferred home delivery. This percentage, though a minority, represents a high-risk group, as home delivery without skilled attendance significantly increases the risk of maternal death.</w:t>
      </w:r>
    </w:p>
    <w:p w14:paraId="72CD3251"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lastRenderedPageBreak/>
        <w:t>Table 7</w:t>
      </w:r>
      <w:r w:rsidRPr="009F7EE3">
        <w:rPr>
          <w:rFonts w:ascii="Segoe UI" w:eastAsia="Times New Roman" w:hAnsi="Segoe UI" w:cs="Segoe UI"/>
          <w:color w:val="0F1115"/>
          <w:kern w:val="0"/>
          <w14:ligatures w14:val="none"/>
        </w:rPr>
        <w:br/>
        <w:t>*Intended Response to Obstetric Complications (N = 120)*</w:t>
      </w:r>
    </w:p>
    <w:tbl>
      <w:tblPr>
        <w:tblW w:w="11280" w:type="dxa"/>
        <w:tblCellMar>
          <w:top w:w="15" w:type="dxa"/>
          <w:left w:w="15" w:type="dxa"/>
          <w:bottom w:w="15" w:type="dxa"/>
          <w:right w:w="15" w:type="dxa"/>
        </w:tblCellMar>
        <w:tblLook w:val="04A0" w:firstRow="1" w:lastRow="0" w:firstColumn="1" w:lastColumn="0" w:noHBand="0" w:noVBand="1"/>
      </w:tblPr>
      <w:tblGrid>
        <w:gridCol w:w="8010"/>
        <w:gridCol w:w="1704"/>
        <w:gridCol w:w="1566"/>
      </w:tblGrid>
      <w:tr w:rsidR="009F7EE3" w:rsidRPr="009F7EE3" w14:paraId="48FBDFD4" w14:textId="77777777">
        <w:trPr>
          <w:tblHeader/>
        </w:trPr>
        <w:tc>
          <w:tcPr>
            <w:tcW w:w="0" w:type="auto"/>
            <w:tcBorders>
              <w:top w:val="nil"/>
            </w:tcBorders>
            <w:tcMar>
              <w:top w:w="150" w:type="dxa"/>
              <w:left w:w="0" w:type="dxa"/>
              <w:bottom w:w="150" w:type="dxa"/>
              <w:right w:w="240" w:type="dxa"/>
            </w:tcMar>
            <w:vAlign w:val="center"/>
            <w:hideMark/>
          </w:tcPr>
          <w:p w14:paraId="451052E0"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Intended response</w:t>
            </w:r>
          </w:p>
        </w:tc>
        <w:tc>
          <w:tcPr>
            <w:tcW w:w="0" w:type="auto"/>
            <w:tcBorders>
              <w:top w:val="nil"/>
            </w:tcBorders>
            <w:tcMar>
              <w:top w:w="150" w:type="dxa"/>
              <w:left w:w="240" w:type="dxa"/>
              <w:bottom w:w="150" w:type="dxa"/>
              <w:right w:w="240" w:type="dxa"/>
            </w:tcMar>
            <w:vAlign w:val="center"/>
            <w:hideMark/>
          </w:tcPr>
          <w:p w14:paraId="1E48222F"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50543180"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w:t>
            </w:r>
          </w:p>
        </w:tc>
      </w:tr>
      <w:tr w:rsidR="009F7EE3" w:rsidRPr="009F7EE3" w14:paraId="27195A64" w14:textId="77777777">
        <w:tc>
          <w:tcPr>
            <w:tcW w:w="0" w:type="auto"/>
            <w:tcMar>
              <w:top w:w="150" w:type="dxa"/>
              <w:left w:w="0" w:type="dxa"/>
              <w:bottom w:w="150" w:type="dxa"/>
              <w:right w:w="240" w:type="dxa"/>
            </w:tcMar>
            <w:vAlign w:val="center"/>
            <w:hideMark/>
          </w:tcPr>
          <w:p w14:paraId="01C6AA2D"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Go to hospital immediately</w:t>
            </w:r>
          </w:p>
        </w:tc>
        <w:tc>
          <w:tcPr>
            <w:tcW w:w="0" w:type="auto"/>
            <w:tcMar>
              <w:top w:w="150" w:type="dxa"/>
              <w:left w:w="240" w:type="dxa"/>
              <w:bottom w:w="150" w:type="dxa"/>
              <w:right w:w="240" w:type="dxa"/>
            </w:tcMar>
            <w:vAlign w:val="center"/>
            <w:hideMark/>
          </w:tcPr>
          <w:p w14:paraId="3D7B31E0"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88</w:t>
            </w:r>
          </w:p>
        </w:tc>
        <w:tc>
          <w:tcPr>
            <w:tcW w:w="0" w:type="auto"/>
            <w:tcMar>
              <w:top w:w="150" w:type="dxa"/>
              <w:left w:w="240" w:type="dxa"/>
              <w:bottom w:w="150" w:type="dxa"/>
              <w:right w:w="0" w:type="dxa"/>
            </w:tcMar>
            <w:vAlign w:val="center"/>
            <w:hideMark/>
          </w:tcPr>
          <w:p w14:paraId="3A353AB1"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73.3</w:t>
            </w:r>
          </w:p>
        </w:tc>
      </w:tr>
      <w:tr w:rsidR="009F7EE3" w:rsidRPr="009F7EE3" w14:paraId="4A5C4A1E" w14:textId="77777777">
        <w:tc>
          <w:tcPr>
            <w:tcW w:w="0" w:type="auto"/>
            <w:tcMar>
              <w:top w:w="150" w:type="dxa"/>
              <w:left w:w="0" w:type="dxa"/>
              <w:bottom w:w="150" w:type="dxa"/>
              <w:right w:w="240" w:type="dxa"/>
            </w:tcMar>
            <w:vAlign w:val="center"/>
            <w:hideMark/>
          </w:tcPr>
          <w:p w14:paraId="12AD69C0"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Consult a traditional healer first</w:t>
            </w:r>
          </w:p>
        </w:tc>
        <w:tc>
          <w:tcPr>
            <w:tcW w:w="0" w:type="auto"/>
            <w:tcMar>
              <w:top w:w="150" w:type="dxa"/>
              <w:left w:w="240" w:type="dxa"/>
              <w:bottom w:w="150" w:type="dxa"/>
              <w:right w:w="240" w:type="dxa"/>
            </w:tcMar>
            <w:vAlign w:val="center"/>
            <w:hideMark/>
          </w:tcPr>
          <w:p w14:paraId="21BE9FCD"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20</w:t>
            </w:r>
          </w:p>
        </w:tc>
        <w:tc>
          <w:tcPr>
            <w:tcW w:w="0" w:type="auto"/>
            <w:tcMar>
              <w:top w:w="150" w:type="dxa"/>
              <w:left w:w="240" w:type="dxa"/>
              <w:bottom w:w="150" w:type="dxa"/>
              <w:right w:w="0" w:type="dxa"/>
            </w:tcMar>
            <w:vAlign w:val="center"/>
            <w:hideMark/>
          </w:tcPr>
          <w:p w14:paraId="29054607"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16.7</w:t>
            </w:r>
          </w:p>
        </w:tc>
      </w:tr>
      <w:tr w:rsidR="009F7EE3" w:rsidRPr="009F7EE3" w14:paraId="5CD55F27" w14:textId="77777777">
        <w:tc>
          <w:tcPr>
            <w:tcW w:w="0" w:type="auto"/>
            <w:tcMar>
              <w:top w:w="150" w:type="dxa"/>
              <w:left w:w="0" w:type="dxa"/>
              <w:bottom w:w="150" w:type="dxa"/>
              <w:right w:w="240" w:type="dxa"/>
            </w:tcMar>
            <w:vAlign w:val="center"/>
            <w:hideMark/>
          </w:tcPr>
          <w:p w14:paraId="519436FE"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Wait and see</w:t>
            </w:r>
          </w:p>
        </w:tc>
        <w:tc>
          <w:tcPr>
            <w:tcW w:w="0" w:type="auto"/>
            <w:tcMar>
              <w:top w:w="150" w:type="dxa"/>
              <w:left w:w="240" w:type="dxa"/>
              <w:bottom w:w="150" w:type="dxa"/>
              <w:right w:w="240" w:type="dxa"/>
            </w:tcMar>
            <w:vAlign w:val="center"/>
            <w:hideMark/>
          </w:tcPr>
          <w:p w14:paraId="3E0E7CC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12</w:t>
            </w:r>
          </w:p>
        </w:tc>
        <w:tc>
          <w:tcPr>
            <w:tcW w:w="0" w:type="auto"/>
            <w:tcMar>
              <w:top w:w="150" w:type="dxa"/>
              <w:left w:w="240" w:type="dxa"/>
              <w:bottom w:w="150" w:type="dxa"/>
              <w:right w:w="0" w:type="dxa"/>
            </w:tcMar>
            <w:vAlign w:val="center"/>
            <w:hideMark/>
          </w:tcPr>
          <w:p w14:paraId="4CD685B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10.0</w:t>
            </w:r>
          </w:p>
        </w:tc>
      </w:tr>
    </w:tbl>
    <w:p w14:paraId="00B03D8E"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Interpretation:</w:t>
      </w:r>
      <w:r w:rsidRPr="009F7EE3">
        <w:rPr>
          <w:rFonts w:ascii="Segoe UI" w:eastAsia="Times New Roman" w:hAnsi="Segoe UI" w:cs="Segoe UI"/>
          <w:color w:val="0F1115"/>
          <w:kern w:val="0"/>
          <w14:ligatures w14:val="none"/>
        </w:rPr>
        <w:t> Although 73.3% would seek immediate hospital care for complications, 26.7% would either consult a traditional healer (16.7%) or simply wait (10%). These behaviors directly contribute to the "first delay" (delay in deciding to seek care) and are critical targets for behavior change interventions.</w:t>
      </w:r>
    </w:p>
    <w:p w14:paraId="043610A9"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Table 8</w:t>
      </w:r>
      <w:r w:rsidRPr="009F7EE3">
        <w:rPr>
          <w:rFonts w:ascii="Segoe UI" w:eastAsia="Times New Roman" w:hAnsi="Segoe UI" w:cs="Segoe UI"/>
          <w:color w:val="0F1115"/>
          <w:kern w:val="0"/>
          <w14:ligatures w14:val="none"/>
        </w:rPr>
        <w:br/>
        <w:t>*Perceived Importance of Community Sensitization (N = 120)*</w:t>
      </w:r>
    </w:p>
    <w:tbl>
      <w:tblPr>
        <w:tblW w:w="11280" w:type="dxa"/>
        <w:tblCellMar>
          <w:top w:w="15" w:type="dxa"/>
          <w:left w:w="15" w:type="dxa"/>
          <w:bottom w:w="15" w:type="dxa"/>
          <w:right w:w="15" w:type="dxa"/>
        </w:tblCellMar>
        <w:tblLook w:val="04A0" w:firstRow="1" w:lastRow="0" w:firstColumn="1" w:lastColumn="0" w:noHBand="0" w:noVBand="1"/>
      </w:tblPr>
      <w:tblGrid>
        <w:gridCol w:w="5946"/>
        <w:gridCol w:w="2988"/>
        <w:gridCol w:w="2346"/>
      </w:tblGrid>
      <w:tr w:rsidR="009F7EE3" w:rsidRPr="009F7EE3" w14:paraId="4D88C972" w14:textId="77777777">
        <w:trPr>
          <w:tblHeader/>
        </w:trPr>
        <w:tc>
          <w:tcPr>
            <w:tcW w:w="0" w:type="auto"/>
            <w:tcBorders>
              <w:top w:val="nil"/>
            </w:tcBorders>
            <w:tcMar>
              <w:top w:w="150" w:type="dxa"/>
              <w:left w:w="0" w:type="dxa"/>
              <w:bottom w:w="150" w:type="dxa"/>
              <w:right w:w="240" w:type="dxa"/>
            </w:tcMar>
            <w:vAlign w:val="center"/>
            <w:hideMark/>
          </w:tcPr>
          <w:p w14:paraId="2929CCFC"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Response</w:t>
            </w:r>
          </w:p>
        </w:tc>
        <w:tc>
          <w:tcPr>
            <w:tcW w:w="0" w:type="auto"/>
            <w:tcBorders>
              <w:top w:val="nil"/>
            </w:tcBorders>
            <w:tcMar>
              <w:top w:w="150" w:type="dxa"/>
              <w:left w:w="240" w:type="dxa"/>
              <w:bottom w:w="150" w:type="dxa"/>
              <w:right w:w="240" w:type="dxa"/>
            </w:tcMar>
            <w:vAlign w:val="center"/>
            <w:hideMark/>
          </w:tcPr>
          <w:p w14:paraId="43A99742"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n</w:t>
            </w:r>
          </w:p>
        </w:tc>
        <w:tc>
          <w:tcPr>
            <w:tcW w:w="0" w:type="auto"/>
            <w:tcBorders>
              <w:top w:val="nil"/>
            </w:tcBorders>
            <w:tcMar>
              <w:top w:w="150" w:type="dxa"/>
              <w:left w:w="240" w:type="dxa"/>
              <w:bottom w:w="150" w:type="dxa"/>
              <w:right w:w="240" w:type="dxa"/>
            </w:tcMar>
            <w:vAlign w:val="center"/>
            <w:hideMark/>
          </w:tcPr>
          <w:p w14:paraId="5C1C878B"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w:t>
            </w:r>
          </w:p>
        </w:tc>
      </w:tr>
      <w:tr w:rsidR="009F7EE3" w:rsidRPr="009F7EE3" w14:paraId="665A183E" w14:textId="77777777">
        <w:tc>
          <w:tcPr>
            <w:tcW w:w="0" w:type="auto"/>
            <w:tcMar>
              <w:top w:w="150" w:type="dxa"/>
              <w:left w:w="0" w:type="dxa"/>
              <w:bottom w:w="150" w:type="dxa"/>
              <w:right w:w="240" w:type="dxa"/>
            </w:tcMar>
            <w:vAlign w:val="center"/>
            <w:hideMark/>
          </w:tcPr>
          <w:p w14:paraId="13A4EE1D"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Important</w:t>
            </w:r>
          </w:p>
        </w:tc>
        <w:tc>
          <w:tcPr>
            <w:tcW w:w="0" w:type="auto"/>
            <w:tcMar>
              <w:top w:w="150" w:type="dxa"/>
              <w:left w:w="240" w:type="dxa"/>
              <w:bottom w:w="150" w:type="dxa"/>
              <w:right w:w="240" w:type="dxa"/>
            </w:tcMar>
            <w:vAlign w:val="center"/>
            <w:hideMark/>
          </w:tcPr>
          <w:p w14:paraId="394F7DE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102</w:t>
            </w:r>
          </w:p>
        </w:tc>
        <w:tc>
          <w:tcPr>
            <w:tcW w:w="0" w:type="auto"/>
            <w:tcMar>
              <w:top w:w="150" w:type="dxa"/>
              <w:left w:w="240" w:type="dxa"/>
              <w:bottom w:w="150" w:type="dxa"/>
              <w:right w:w="0" w:type="dxa"/>
            </w:tcMar>
            <w:vAlign w:val="center"/>
            <w:hideMark/>
          </w:tcPr>
          <w:p w14:paraId="399D65E0"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85.0</w:t>
            </w:r>
          </w:p>
        </w:tc>
      </w:tr>
      <w:tr w:rsidR="009F7EE3" w:rsidRPr="009F7EE3" w14:paraId="5C52E20B" w14:textId="77777777">
        <w:tc>
          <w:tcPr>
            <w:tcW w:w="0" w:type="auto"/>
            <w:tcMar>
              <w:top w:w="150" w:type="dxa"/>
              <w:left w:w="0" w:type="dxa"/>
              <w:bottom w:w="150" w:type="dxa"/>
              <w:right w:w="240" w:type="dxa"/>
            </w:tcMar>
            <w:vAlign w:val="center"/>
            <w:hideMark/>
          </w:tcPr>
          <w:p w14:paraId="2960E282"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Not important</w:t>
            </w:r>
          </w:p>
        </w:tc>
        <w:tc>
          <w:tcPr>
            <w:tcW w:w="0" w:type="auto"/>
            <w:tcMar>
              <w:top w:w="150" w:type="dxa"/>
              <w:left w:w="240" w:type="dxa"/>
              <w:bottom w:w="150" w:type="dxa"/>
              <w:right w:w="240" w:type="dxa"/>
            </w:tcMar>
            <w:vAlign w:val="center"/>
            <w:hideMark/>
          </w:tcPr>
          <w:p w14:paraId="04DE62DB"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18</w:t>
            </w:r>
          </w:p>
        </w:tc>
        <w:tc>
          <w:tcPr>
            <w:tcW w:w="0" w:type="auto"/>
            <w:tcMar>
              <w:top w:w="150" w:type="dxa"/>
              <w:left w:w="240" w:type="dxa"/>
              <w:bottom w:w="150" w:type="dxa"/>
              <w:right w:w="0" w:type="dxa"/>
            </w:tcMar>
            <w:vAlign w:val="center"/>
            <w:hideMark/>
          </w:tcPr>
          <w:p w14:paraId="628325ED"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15.0</w:t>
            </w:r>
          </w:p>
        </w:tc>
      </w:tr>
    </w:tbl>
    <w:p w14:paraId="72B69DE1"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Interpretation:</w:t>
      </w:r>
      <w:r w:rsidRPr="009F7EE3">
        <w:rPr>
          <w:rFonts w:ascii="Segoe UI" w:eastAsia="Times New Roman" w:hAnsi="Segoe UI" w:cs="Segoe UI"/>
          <w:color w:val="0F1115"/>
          <w:kern w:val="0"/>
          <w14:ligatures w14:val="none"/>
        </w:rPr>
        <w:t> The vast majority (85%) recognized the importance of community sensitization on maternal health, indicating strong demand for educational interventions.</w:t>
      </w:r>
    </w:p>
    <w:p w14:paraId="62D3B16E" w14:textId="77777777" w:rsidR="009F7EE3" w:rsidRPr="009F7EE3" w:rsidRDefault="009F7EE3" w:rsidP="009F7EE3">
      <w:pPr>
        <w:shd w:val="clear" w:color="auto" w:fill="FFFFFF"/>
        <w:spacing w:before="480" w:after="48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pict w14:anchorId="3D867058">
          <v:rect id="_x0000_i1029" style="width:0;height:.75pt" o:hralign="center" o:hrstd="t" o:hr="t" fillcolor="#a0a0a0" stroked="f"/>
        </w:pict>
      </w:r>
    </w:p>
    <w:p w14:paraId="6E4AA9FE" w14:textId="77777777" w:rsidR="009F7EE3" w:rsidRPr="009F7EE3" w:rsidRDefault="009F7EE3" w:rsidP="009F7EE3">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9F7EE3">
        <w:rPr>
          <w:rFonts w:ascii="Segoe UI" w:eastAsia="Times New Roman" w:hAnsi="Segoe UI" w:cs="Segoe UI"/>
          <w:b/>
          <w:bCs/>
          <w:color w:val="0F1115"/>
          <w:kern w:val="0"/>
          <w:sz w:val="33"/>
          <w:szCs w:val="33"/>
          <w14:ligatures w14:val="none"/>
        </w:rPr>
        <w:t>4. Discussion</w:t>
      </w:r>
    </w:p>
    <w:p w14:paraId="416857BB" w14:textId="77777777" w:rsidR="009F7EE3" w:rsidRPr="009F7EE3" w:rsidRDefault="009F7EE3" w:rsidP="009F7EE3">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9F7EE3">
        <w:rPr>
          <w:rFonts w:ascii="Segoe UI" w:eastAsia="Times New Roman" w:hAnsi="Segoe UI" w:cs="Segoe UI"/>
          <w:b/>
          <w:bCs/>
          <w:color w:val="0F1115"/>
          <w:kern w:val="0"/>
          <w:sz w:val="30"/>
          <w:szCs w:val="30"/>
          <w14:ligatures w14:val="none"/>
        </w:rPr>
        <w:lastRenderedPageBreak/>
        <w:t>4.1. Summary of Key Findings</w:t>
      </w:r>
    </w:p>
    <w:p w14:paraId="5AFA6E55"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This study provides the first community-based assessment of perceptions and attitudes regarding preventable maternal mortality in Mbandaka. The key findings are: (1) while 70% have heard of maternal mortality, 30% remain unaware; (2) hemorrhage is correctly identified as the main cause by 28.3%; (3) favorable attitudes toward ANC (76.7%) and facility delivery (88.4%) are high, but 11.6% still prefer home delivery; (4) in case of complications, 26.7% would either consult a traditional healer (16.7%) or wait (10%); and (5) 85% recognize the importance of community sensitization.</w:t>
      </w:r>
    </w:p>
    <w:p w14:paraId="5467A512" w14:textId="77777777" w:rsidR="009F7EE3" w:rsidRPr="009F7EE3" w:rsidRDefault="009F7EE3" w:rsidP="009F7EE3">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9F7EE3">
        <w:rPr>
          <w:rFonts w:ascii="Segoe UI" w:eastAsia="Times New Roman" w:hAnsi="Segoe UI" w:cs="Segoe UI"/>
          <w:b/>
          <w:bCs/>
          <w:color w:val="0F1115"/>
          <w:kern w:val="0"/>
          <w:sz w:val="30"/>
          <w:szCs w:val="30"/>
          <w14:ligatures w14:val="none"/>
        </w:rPr>
        <w:t>4.2. Comparison with Existing Literature</w:t>
      </w:r>
    </w:p>
    <w:p w14:paraId="2734767D"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The 30% unawareness of maternal mortality in this study is comparable to findings from other sub-Saharan African settings. A study in rural Tanzania found that 35% of women had no knowledge of obstetric danger signs (Pembe et al., 2009). The fact that one-third of the population has never heard of maternal mortality is a major barrier to prevention, as awareness is the first step toward behavior change.</w:t>
      </w:r>
    </w:p>
    <w:p w14:paraId="22B24FCF"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The correct identification of hemorrhage as the leading cause (28.3%) aligns with global epidemiological data showing that hemorrhage accounts for approximately 27% of maternal deaths worldwide (WHO, 2023). This indicates that health messages about the dangers of bleeding during pregnancy and delivery have reached a portion of the population.</w:t>
      </w:r>
    </w:p>
    <w:p w14:paraId="2DAC8D18"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The favorable attitude toward ANC (76.7%) is encouraging but lower than the 90%+ rates reported in some studies from Eastern Africa (Tura et al., 2018). The 23.3% with unfavorable attitudes need targeted interventions to understand the benefits of ANC.</w:t>
      </w:r>
    </w:p>
    <w:p w14:paraId="4FADA3D7"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 xml:space="preserve">The persistence of home delivery preference (11.6%) and the intended use of traditional healers (16.7%) or inaction (10%) during complications are consistent with findings from other DRC studies. The DRC Demographic and Health Survey (EDS-RDC II, 2014) reported that approximately 20% of births in rural areas occur at home without skilled </w:t>
      </w:r>
      <w:r w:rsidRPr="009F7EE3">
        <w:rPr>
          <w:rFonts w:ascii="Segoe UI" w:eastAsia="Times New Roman" w:hAnsi="Segoe UI" w:cs="Segoe UI"/>
          <w:color w:val="0F1115"/>
          <w:kern w:val="0"/>
          <w14:ligatures w14:val="none"/>
        </w:rPr>
        <w:lastRenderedPageBreak/>
        <w:t>attendance. These behaviors are deeply rooted in cultural beliefs, including the perception that childbirth is a natural, non-medical event and that traditional healers have spiritual powers to resolve complications.</w:t>
      </w:r>
    </w:p>
    <w:p w14:paraId="53734BF1"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The high proportion (85%) recognizing the importance of community sensitization is a positive finding. It indicates that the population itself identifies education as a key solution, and there is demand for more information.</w:t>
      </w:r>
    </w:p>
    <w:p w14:paraId="0935386B" w14:textId="77777777" w:rsidR="009F7EE3" w:rsidRPr="009F7EE3" w:rsidRDefault="009F7EE3" w:rsidP="009F7EE3">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9F7EE3">
        <w:rPr>
          <w:rFonts w:ascii="Segoe UI" w:eastAsia="Times New Roman" w:hAnsi="Segoe UI" w:cs="Segoe UI"/>
          <w:b/>
          <w:bCs/>
          <w:color w:val="0F1115"/>
          <w:kern w:val="0"/>
          <w:sz w:val="30"/>
          <w:szCs w:val="30"/>
          <w14:ligatures w14:val="none"/>
        </w:rPr>
        <w:t>4.3. Theoretical Implications: The Three Delays Model</w:t>
      </w:r>
    </w:p>
    <w:p w14:paraId="59C20882"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The findings have clear implications for the "three delays" model (Thaddeus &amp; Maine, 1994):</w:t>
      </w:r>
    </w:p>
    <w:p w14:paraId="03CD4071" w14:textId="77777777" w:rsidR="009F7EE3" w:rsidRPr="009F7EE3" w:rsidRDefault="009F7EE3" w:rsidP="009F7EE3">
      <w:pPr>
        <w:numPr>
          <w:ilvl w:val="0"/>
          <w:numId w:val="3"/>
        </w:numPr>
        <w:shd w:val="clear" w:color="auto" w:fill="FFFFFF"/>
        <w:spacing w:after="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First delay (delay in deciding to seek care):</w:t>
      </w:r>
      <w:r w:rsidRPr="009F7EE3">
        <w:rPr>
          <w:rFonts w:ascii="Segoe UI" w:eastAsia="Times New Roman" w:hAnsi="Segoe UI" w:cs="Segoe UI"/>
          <w:color w:val="0F1115"/>
          <w:kern w:val="0"/>
          <w14:ligatures w14:val="none"/>
        </w:rPr>
        <w:t> The 16.7% who would consult a traditional healer and the 10% who would wait represent a direct manifestation of the first delay. These attitudes must be addressed through community-based education that emphasizes the importance of immediate action when danger signs occur.</w:t>
      </w:r>
    </w:p>
    <w:p w14:paraId="742DE106" w14:textId="77777777" w:rsidR="009F7EE3" w:rsidRPr="009F7EE3" w:rsidRDefault="009F7EE3" w:rsidP="009F7EE3">
      <w:pPr>
        <w:numPr>
          <w:ilvl w:val="0"/>
          <w:numId w:val="3"/>
        </w:numPr>
        <w:shd w:val="clear" w:color="auto" w:fill="FFFFFF"/>
        <w:spacing w:after="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Second delay (delay in reaching a facility):</w:t>
      </w:r>
      <w:r w:rsidRPr="009F7EE3">
        <w:rPr>
          <w:rFonts w:ascii="Segoe UI" w:eastAsia="Times New Roman" w:hAnsi="Segoe UI" w:cs="Segoe UI"/>
          <w:color w:val="0F1115"/>
          <w:kern w:val="0"/>
          <w14:ligatures w14:val="none"/>
        </w:rPr>
        <w:t> While not directly measured, the 11.6% home delivery preference suggests that some women may not even attempt to reach a facility, effectively bypassing the second delay because they never leave home.</w:t>
      </w:r>
    </w:p>
    <w:p w14:paraId="1F1EA94E" w14:textId="77777777" w:rsidR="009F7EE3" w:rsidRPr="009F7EE3" w:rsidRDefault="009F7EE3" w:rsidP="009F7EE3">
      <w:pPr>
        <w:numPr>
          <w:ilvl w:val="0"/>
          <w:numId w:val="3"/>
        </w:numPr>
        <w:shd w:val="clear" w:color="auto" w:fill="FFFFFF"/>
        <w:spacing w:after="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Third delay (delay in receiving care at facility):</w:t>
      </w:r>
      <w:r w:rsidRPr="009F7EE3">
        <w:rPr>
          <w:rFonts w:ascii="Segoe UI" w:eastAsia="Times New Roman" w:hAnsi="Segoe UI" w:cs="Segoe UI"/>
          <w:color w:val="0F1115"/>
          <w:kern w:val="0"/>
          <w14:ligatures w14:val="none"/>
        </w:rPr>
        <w:t> This study did not assess health system factors, but the 25% who cited "lack of quality medical care" as a cause of maternal death indicates that community members are aware of deficiencies in the health system.</w:t>
      </w:r>
    </w:p>
    <w:p w14:paraId="7651CE0E" w14:textId="77777777" w:rsidR="009F7EE3" w:rsidRPr="009F7EE3" w:rsidRDefault="009F7EE3" w:rsidP="009F7EE3">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9F7EE3">
        <w:rPr>
          <w:rFonts w:ascii="Segoe UI" w:eastAsia="Times New Roman" w:hAnsi="Segoe UI" w:cs="Segoe UI"/>
          <w:b/>
          <w:bCs/>
          <w:color w:val="0F1115"/>
          <w:kern w:val="0"/>
          <w:sz w:val="30"/>
          <w:szCs w:val="30"/>
          <w14:ligatures w14:val="none"/>
        </w:rPr>
        <w:t>4.4. Strengths and Limitations</w:t>
      </w:r>
    </w:p>
    <w:p w14:paraId="3B5ADC2F"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Strengths:</w:t>
      </w:r>
      <w:r w:rsidRPr="009F7EE3">
        <w:rPr>
          <w:rFonts w:ascii="Segoe UI" w:eastAsia="Times New Roman" w:hAnsi="Segoe UI" w:cs="Segoe UI"/>
          <w:color w:val="0F1115"/>
          <w:kern w:val="0"/>
          <w14:ligatures w14:val="none"/>
        </w:rPr>
        <w:t xml:space="preserve"> This is the first study specifically examining perceptions and attitudes toward maternal mortality in Mbandaka. The community-based design and random sampling </w:t>
      </w:r>
      <w:r w:rsidRPr="009F7EE3">
        <w:rPr>
          <w:rFonts w:ascii="Segoe UI" w:eastAsia="Times New Roman" w:hAnsi="Segoe UI" w:cs="Segoe UI"/>
          <w:color w:val="0F1115"/>
          <w:kern w:val="0"/>
          <w14:ligatures w14:val="none"/>
        </w:rPr>
        <w:lastRenderedPageBreak/>
        <w:t>enhance representativeness. The high response rate (100%) and use of a structured, pretested questionnaire strengthen validity.</w:t>
      </w:r>
    </w:p>
    <w:p w14:paraId="27BDBC89"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Limitations:</w:t>
      </w:r>
      <w:r w:rsidRPr="009F7EE3">
        <w:rPr>
          <w:rFonts w:ascii="Segoe UI" w:eastAsia="Times New Roman" w:hAnsi="Segoe UI" w:cs="Segoe UI"/>
          <w:color w:val="0F1115"/>
          <w:kern w:val="0"/>
          <w14:ligatures w14:val="none"/>
        </w:rPr>
        <w:t> The cross-sectional design does not allow causal inference. Self-reported data may be subject to social desirability bias (respondents may overstate favorable attitudes). The sample size (n=120) limits generalizability to the entire city, and the study was conducted in one city only. No qualitative component was included to explore the deeper cultural reasons behind certain attitudes.</w:t>
      </w:r>
    </w:p>
    <w:p w14:paraId="34F695DB" w14:textId="77777777" w:rsidR="009F7EE3" w:rsidRPr="009F7EE3" w:rsidRDefault="009F7EE3" w:rsidP="009F7EE3">
      <w:pPr>
        <w:shd w:val="clear" w:color="auto" w:fill="FFFFFF"/>
        <w:spacing w:before="480" w:after="240" w:line="450" w:lineRule="atLeast"/>
        <w:outlineLvl w:val="2"/>
        <w:rPr>
          <w:rFonts w:ascii="Segoe UI" w:eastAsia="Times New Roman" w:hAnsi="Segoe UI" w:cs="Segoe UI"/>
          <w:b/>
          <w:bCs/>
          <w:color w:val="0F1115"/>
          <w:kern w:val="0"/>
          <w:sz w:val="30"/>
          <w:szCs w:val="30"/>
          <w14:ligatures w14:val="none"/>
        </w:rPr>
      </w:pPr>
      <w:r w:rsidRPr="009F7EE3">
        <w:rPr>
          <w:rFonts w:ascii="Segoe UI" w:eastAsia="Times New Roman" w:hAnsi="Segoe UI" w:cs="Segoe UI"/>
          <w:b/>
          <w:bCs/>
          <w:color w:val="0F1115"/>
          <w:kern w:val="0"/>
          <w:sz w:val="30"/>
          <w:szCs w:val="30"/>
          <w14:ligatures w14:val="none"/>
        </w:rPr>
        <w:t>4.5. Implications for Policy and Practice</w:t>
      </w:r>
    </w:p>
    <w:p w14:paraId="72DFD456"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Several actionable recommendations emerge from these findings:</w:t>
      </w:r>
    </w:p>
    <w:p w14:paraId="0FE1E905" w14:textId="77777777" w:rsidR="009F7EE3" w:rsidRPr="009F7EE3" w:rsidRDefault="009F7EE3" w:rsidP="009F7EE3">
      <w:pPr>
        <w:numPr>
          <w:ilvl w:val="0"/>
          <w:numId w:val="4"/>
        </w:numPr>
        <w:shd w:val="clear" w:color="auto" w:fill="FFFFFF"/>
        <w:spacing w:after="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For health authorities:</w:t>
      </w:r>
      <w:r w:rsidRPr="009F7EE3">
        <w:rPr>
          <w:rFonts w:ascii="Segoe UI" w:eastAsia="Times New Roman" w:hAnsi="Segoe UI" w:cs="Segoe UI"/>
          <w:color w:val="0F1115"/>
          <w:kern w:val="0"/>
          <w14:ligatures w14:val="none"/>
        </w:rPr>
        <w:t> Intensify community-based awareness campaigns using local languages and accessible media (radio, community meetings) to reach the 30% who are unaware of maternal mortality. Messages should emphasize immediate action during complications and the dangers of home delivery.</w:t>
      </w:r>
    </w:p>
    <w:p w14:paraId="68B52F5E" w14:textId="77777777" w:rsidR="009F7EE3" w:rsidRPr="009F7EE3" w:rsidRDefault="009F7EE3" w:rsidP="009F7EE3">
      <w:pPr>
        <w:numPr>
          <w:ilvl w:val="0"/>
          <w:numId w:val="4"/>
        </w:numPr>
        <w:shd w:val="clear" w:color="auto" w:fill="FFFFFF"/>
        <w:spacing w:after="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For health facilities:</w:t>
      </w:r>
      <w:r w:rsidRPr="009F7EE3">
        <w:rPr>
          <w:rFonts w:ascii="Segoe UI" w:eastAsia="Times New Roman" w:hAnsi="Segoe UI" w:cs="Segoe UI"/>
          <w:color w:val="0F1115"/>
          <w:kern w:val="0"/>
          <w14:ligatures w14:val="none"/>
        </w:rPr>
        <w:t> Strengthen the quality of ANC to convert the 23.3% with unfavorable attitudes. Respectful, patient-centered care can improve trust and utilization.</w:t>
      </w:r>
    </w:p>
    <w:p w14:paraId="09E71F17" w14:textId="77777777" w:rsidR="009F7EE3" w:rsidRPr="009F7EE3" w:rsidRDefault="009F7EE3" w:rsidP="009F7EE3">
      <w:pPr>
        <w:numPr>
          <w:ilvl w:val="0"/>
          <w:numId w:val="4"/>
        </w:numPr>
        <w:shd w:val="clear" w:color="auto" w:fill="FFFFFF"/>
        <w:spacing w:after="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For community health workers:</w:t>
      </w:r>
      <w:r w:rsidRPr="009F7EE3">
        <w:rPr>
          <w:rFonts w:ascii="Segoe UI" w:eastAsia="Times New Roman" w:hAnsi="Segoe UI" w:cs="Segoe UI"/>
          <w:color w:val="0F1115"/>
          <w:kern w:val="0"/>
          <w14:ligatures w14:val="none"/>
        </w:rPr>
        <w:t> Target the 11.6% who prefer home delivery and the 16.7% who would consult traditional healers with home visits and peer education. Involve traditional healers in referral networks rather than opposing them.</w:t>
      </w:r>
    </w:p>
    <w:p w14:paraId="02A06517" w14:textId="77777777" w:rsidR="009F7EE3" w:rsidRPr="009F7EE3" w:rsidRDefault="009F7EE3" w:rsidP="009F7EE3">
      <w:pPr>
        <w:numPr>
          <w:ilvl w:val="0"/>
          <w:numId w:val="4"/>
        </w:numPr>
        <w:shd w:val="clear" w:color="auto" w:fill="FFFFFF"/>
        <w:spacing w:after="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For male engagement:</w:t>
      </w:r>
      <w:r w:rsidRPr="009F7EE3">
        <w:rPr>
          <w:rFonts w:ascii="Segoe UI" w:eastAsia="Times New Roman" w:hAnsi="Segoe UI" w:cs="Segoe UI"/>
          <w:color w:val="0F1115"/>
          <w:kern w:val="0"/>
          <w14:ligatures w14:val="none"/>
        </w:rPr>
        <w:t> Given that 50% of respondents were married, and men often control household decisions, develop programs to educate husbands on danger signs and the importance of facility delivery.</w:t>
      </w:r>
    </w:p>
    <w:p w14:paraId="5E52CB84" w14:textId="77777777" w:rsidR="009F7EE3" w:rsidRPr="009F7EE3" w:rsidRDefault="009F7EE3" w:rsidP="009F7EE3">
      <w:pPr>
        <w:shd w:val="clear" w:color="auto" w:fill="FFFFFF"/>
        <w:spacing w:before="480" w:after="48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pict w14:anchorId="6990BCE1">
          <v:rect id="_x0000_i1030" style="width:0;height:.75pt" o:hralign="center" o:hrstd="t" o:hr="t" fillcolor="#a0a0a0" stroked="f"/>
        </w:pict>
      </w:r>
    </w:p>
    <w:p w14:paraId="29566E95" w14:textId="77777777" w:rsidR="009F7EE3" w:rsidRPr="009F7EE3" w:rsidRDefault="009F7EE3" w:rsidP="009F7EE3">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9F7EE3">
        <w:rPr>
          <w:rFonts w:ascii="Segoe UI" w:eastAsia="Times New Roman" w:hAnsi="Segoe UI" w:cs="Segoe UI"/>
          <w:b/>
          <w:bCs/>
          <w:color w:val="0F1115"/>
          <w:kern w:val="0"/>
          <w:sz w:val="33"/>
          <w:szCs w:val="33"/>
          <w14:ligatures w14:val="none"/>
        </w:rPr>
        <w:t>5. Conclusion</w:t>
      </w:r>
    </w:p>
    <w:p w14:paraId="73DD1C9F"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lastRenderedPageBreak/>
        <w:t>This study demonstrates that while the majority of the population of Mbandaka has positive attitudes toward maternal health services (76.7% favorable toward ANC, 88.4% prefer facility delivery, 85% recognize the importance of sensitization), significant gaps remain. Approximately </w:t>
      </w:r>
      <w:r w:rsidRPr="009F7EE3">
        <w:rPr>
          <w:rFonts w:ascii="Segoe UI" w:eastAsia="Times New Roman" w:hAnsi="Segoe UI" w:cs="Segoe UI"/>
          <w:b/>
          <w:bCs/>
          <w:color w:val="0F1115"/>
          <w:kern w:val="0"/>
          <w14:ligatures w14:val="none"/>
        </w:rPr>
        <w:t>30% have never heard of maternal mortality</w:t>
      </w:r>
      <w:r w:rsidRPr="009F7EE3">
        <w:rPr>
          <w:rFonts w:ascii="Segoe UI" w:eastAsia="Times New Roman" w:hAnsi="Segoe UI" w:cs="Segoe UI"/>
          <w:color w:val="0F1115"/>
          <w:kern w:val="0"/>
          <w14:ligatures w14:val="none"/>
        </w:rPr>
        <w:t>, </w:t>
      </w:r>
      <w:r w:rsidRPr="009F7EE3">
        <w:rPr>
          <w:rFonts w:ascii="Segoe UI" w:eastAsia="Times New Roman" w:hAnsi="Segoe UI" w:cs="Segoe UI"/>
          <w:b/>
          <w:bCs/>
          <w:color w:val="0F1115"/>
          <w:kern w:val="0"/>
          <w14:ligatures w14:val="none"/>
        </w:rPr>
        <w:t>11.6% still prefer home delivery</w:t>
      </w:r>
      <w:r w:rsidRPr="009F7EE3">
        <w:rPr>
          <w:rFonts w:ascii="Segoe UI" w:eastAsia="Times New Roman" w:hAnsi="Segoe UI" w:cs="Segoe UI"/>
          <w:color w:val="0F1115"/>
          <w:kern w:val="0"/>
          <w14:ligatures w14:val="none"/>
        </w:rPr>
        <w:t>, </w:t>
      </w:r>
      <w:r w:rsidRPr="009F7EE3">
        <w:rPr>
          <w:rFonts w:ascii="Segoe UI" w:eastAsia="Times New Roman" w:hAnsi="Segoe UI" w:cs="Segoe UI"/>
          <w:b/>
          <w:bCs/>
          <w:color w:val="0F1115"/>
          <w:kern w:val="0"/>
          <w14:ligatures w14:val="none"/>
        </w:rPr>
        <w:t>16.7% would consult a traditional healer first</w:t>
      </w:r>
      <w:r w:rsidRPr="009F7EE3">
        <w:rPr>
          <w:rFonts w:ascii="Segoe UI" w:eastAsia="Times New Roman" w:hAnsi="Segoe UI" w:cs="Segoe UI"/>
          <w:color w:val="0F1115"/>
          <w:kern w:val="0"/>
          <w14:ligatures w14:val="none"/>
        </w:rPr>
        <w:t> in case of complications, and </w:t>
      </w:r>
      <w:r w:rsidRPr="009F7EE3">
        <w:rPr>
          <w:rFonts w:ascii="Segoe UI" w:eastAsia="Times New Roman" w:hAnsi="Segoe UI" w:cs="Segoe UI"/>
          <w:b/>
          <w:bCs/>
          <w:color w:val="0F1115"/>
          <w:kern w:val="0"/>
          <w14:ligatures w14:val="none"/>
        </w:rPr>
        <w:t>10% would simply wait</w:t>
      </w:r>
      <w:r w:rsidRPr="009F7EE3">
        <w:rPr>
          <w:rFonts w:ascii="Segoe UI" w:eastAsia="Times New Roman" w:hAnsi="Segoe UI" w:cs="Segoe UI"/>
          <w:color w:val="0F1115"/>
          <w:kern w:val="0"/>
          <w14:ligatures w14:val="none"/>
        </w:rPr>
        <w:t>.</w:t>
      </w:r>
    </w:p>
    <w:p w14:paraId="049FFF72"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These findings confirm the study's hypothesis: insufficient perception (lack of knowledge) and unfavorable sociocultural attitudes contribute to the persistence of preventable maternal mortality in Mbandaka. The "first delay" (delay in deciding to seek care) remains a critical barrier.</w:t>
      </w:r>
    </w:p>
    <w:p w14:paraId="09175950"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Maternal mortality is largely preventable. Reducing it in Mbandaka requires not only strengthening the health system but also addressing community perceptions and attitudes through sustained, culturally adapted education. The high demand for sensitization (85%) indicates that the population is ready to receive such messages. Concerted action involving health authorities, community health workers, traditional leaders, men, and women is urgently needed to translate positive attitudes into effective behaviors that save mothers' lives.</w:t>
      </w:r>
    </w:p>
    <w:p w14:paraId="5FC9FB92" w14:textId="77777777" w:rsidR="009F7EE3" w:rsidRPr="009F7EE3" w:rsidRDefault="009F7EE3" w:rsidP="009F7EE3">
      <w:pPr>
        <w:shd w:val="clear" w:color="auto" w:fill="FFFFFF"/>
        <w:spacing w:before="480" w:after="48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pict w14:anchorId="70AAE691">
          <v:rect id="_x0000_i1031" style="width:0;height:.75pt" o:hralign="center" o:hrstd="t" o:hr="t" fillcolor="#a0a0a0" stroked="f"/>
        </w:pict>
      </w:r>
    </w:p>
    <w:p w14:paraId="62C50201" w14:textId="77777777" w:rsidR="009F7EE3" w:rsidRPr="009F7EE3" w:rsidRDefault="009F7EE3" w:rsidP="009F7EE3">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9F7EE3">
        <w:rPr>
          <w:rFonts w:ascii="Segoe UI" w:eastAsia="Times New Roman" w:hAnsi="Segoe UI" w:cs="Segoe UI"/>
          <w:b/>
          <w:bCs/>
          <w:color w:val="0F1115"/>
          <w:kern w:val="0"/>
          <w:sz w:val="33"/>
          <w:szCs w:val="33"/>
          <w14:ligatures w14:val="none"/>
        </w:rPr>
        <w:t>6. Recommendations</w:t>
      </w:r>
    </w:p>
    <w:tbl>
      <w:tblPr>
        <w:tblW w:w="11280" w:type="dxa"/>
        <w:tblCellMar>
          <w:top w:w="15" w:type="dxa"/>
          <w:left w:w="15" w:type="dxa"/>
          <w:bottom w:w="15" w:type="dxa"/>
          <w:right w:w="15" w:type="dxa"/>
        </w:tblCellMar>
        <w:tblLook w:val="04A0" w:firstRow="1" w:lastRow="0" w:firstColumn="1" w:lastColumn="0" w:noHBand="0" w:noVBand="1"/>
      </w:tblPr>
      <w:tblGrid>
        <w:gridCol w:w="2658"/>
        <w:gridCol w:w="8622"/>
      </w:tblGrid>
      <w:tr w:rsidR="009F7EE3" w:rsidRPr="009F7EE3" w14:paraId="112D764A" w14:textId="77777777">
        <w:trPr>
          <w:tblHeader/>
        </w:trPr>
        <w:tc>
          <w:tcPr>
            <w:tcW w:w="0" w:type="auto"/>
            <w:tcBorders>
              <w:top w:val="nil"/>
            </w:tcBorders>
            <w:tcMar>
              <w:top w:w="150" w:type="dxa"/>
              <w:left w:w="0" w:type="dxa"/>
              <w:bottom w:w="150" w:type="dxa"/>
              <w:right w:w="240" w:type="dxa"/>
            </w:tcMar>
            <w:vAlign w:val="center"/>
            <w:hideMark/>
          </w:tcPr>
          <w:p w14:paraId="3AEAC4C5"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Level</w:t>
            </w:r>
          </w:p>
        </w:tc>
        <w:tc>
          <w:tcPr>
            <w:tcW w:w="0" w:type="auto"/>
            <w:tcBorders>
              <w:top w:val="nil"/>
            </w:tcBorders>
            <w:tcMar>
              <w:top w:w="150" w:type="dxa"/>
              <w:left w:w="240" w:type="dxa"/>
              <w:bottom w:w="150" w:type="dxa"/>
              <w:right w:w="240" w:type="dxa"/>
            </w:tcMar>
            <w:vAlign w:val="center"/>
            <w:hideMark/>
          </w:tcPr>
          <w:p w14:paraId="5B8B7C53"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Recommendations</w:t>
            </w:r>
          </w:p>
        </w:tc>
      </w:tr>
      <w:tr w:rsidR="009F7EE3" w:rsidRPr="009F7EE3" w14:paraId="6D1360F3" w14:textId="77777777">
        <w:tc>
          <w:tcPr>
            <w:tcW w:w="0" w:type="auto"/>
            <w:tcMar>
              <w:top w:w="150" w:type="dxa"/>
              <w:left w:w="0" w:type="dxa"/>
              <w:bottom w:w="150" w:type="dxa"/>
              <w:right w:w="240" w:type="dxa"/>
            </w:tcMar>
            <w:vAlign w:val="center"/>
            <w:hideMark/>
          </w:tcPr>
          <w:p w14:paraId="181FAB35"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b/>
                <w:bCs/>
                <w:kern w:val="0"/>
                <w:sz w:val="23"/>
                <w:szCs w:val="23"/>
                <w14:ligatures w14:val="none"/>
              </w:rPr>
              <w:t>National Ministry of Health</w:t>
            </w:r>
          </w:p>
        </w:tc>
        <w:tc>
          <w:tcPr>
            <w:tcW w:w="0" w:type="auto"/>
            <w:tcMar>
              <w:top w:w="150" w:type="dxa"/>
              <w:left w:w="240" w:type="dxa"/>
              <w:bottom w:w="150" w:type="dxa"/>
              <w:right w:w="0" w:type="dxa"/>
            </w:tcMar>
            <w:vAlign w:val="center"/>
            <w:hideMark/>
          </w:tcPr>
          <w:p w14:paraId="11F7DE2F"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Strengthen policies and funding for maternal health; ensure availability of emergency obstetric care in all referral hospitals.</w:t>
            </w:r>
          </w:p>
        </w:tc>
      </w:tr>
      <w:tr w:rsidR="009F7EE3" w:rsidRPr="009F7EE3" w14:paraId="7C04509E" w14:textId="77777777">
        <w:tc>
          <w:tcPr>
            <w:tcW w:w="0" w:type="auto"/>
            <w:tcMar>
              <w:top w:w="150" w:type="dxa"/>
              <w:left w:w="0" w:type="dxa"/>
              <w:bottom w:w="150" w:type="dxa"/>
              <w:right w:w="240" w:type="dxa"/>
            </w:tcMar>
            <w:vAlign w:val="center"/>
            <w:hideMark/>
          </w:tcPr>
          <w:p w14:paraId="1B7B4D1B"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b/>
                <w:bCs/>
                <w:kern w:val="0"/>
                <w:sz w:val="23"/>
                <w:szCs w:val="23"/>
                <w14:ligatures w14:val="none"/>
              </w:rPr>
              <w:t>Provincial Health Division (DPS Équateur)</w:t>
            </w:r>
          </w:p>
        </w:tc>
        <w:tc>
          <w:tcPr>
            <w:tcW w:w="0" w:type="auto"/>
            <w:tcMar>
              <w:top w:w="150" w:type="dxa"/>
              <w:left w:w="240" w:type="dxa"/>
              <w:bottom w:w="150" w:type="dxa"/>
              <w:right w:w="0" w:type="dxa"/>
            </w:tcMar>
            <w:vAlign w:val="center"/>
            <w:hideMark/>
          </w:tcPr>
          <w:p w14:paraId="6449BDD4"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Intensify community sensitization campaigns using local languages and radio; train health workers on respectful, patient-centered care.</w:t>
            </w:r>
          </w:p>
        </w:tc>
      </w:tr>
      <w:tr w:rsidR="009F7EE3" w:rsidRPr="009F7EE3" w14:paraId="19CA4279" w14:textId="77777777">
        <w:tc>
          <w:tcPr>
            <w:tcW w:w="0" w:type="auto"/>
            <w:tcMar>
              <w:top w:w="150" w:type="dxa"/>
              <w:left w:w="0" w:type="dxa"/>
              <w:bottom w:w="150" w:type="dxa"/>
              <w:right w:w="240" w:type="dxa"/>
            </w:tcMar>
            <w:vAlign w:val="center"/>
            <w:hideMark/>
          </w:tcPr>
          <w:p w14:paraId="4C95BF19"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b/>
                <w:bCs/>
                <w:kern w:val="0"/>
                <w:sz w:val="23"/>
                <w:szCs w:val="23"/>
                <w14:ligatures w14:val="none"/>
              </w:rPr>
              <w:lastRenderedPageBreak/>
              <w:t>Health Zones</w:t>
            </w:r>
          </w:p>
        </w:tc>
        <w:tc>
          <w:tcPr>
            <w:tcW w:w="0" w:type="auto"/>
            <w:tcMar>
              <w:top w:w="150" w:type="dxa"/>
              <w:left w:w="240" w:type="dxa"/>
              <w:bottom w:w="150" w:type="dxa"/>
              <w:right w:w="0" w:type="dxa"/>
            </w:tcMar>
            <w:vAlign w:val="center"/>
            <w:hideMark/>
          </w:tcPr>
          <w:p w14:paraId="27D10C1B"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Promote ANC attendance (≥4 visits) and facility delivery; establish functional referral systems for obstetric emergencies; involve community health workers in home visits.</w:t>
            </w:r>
          </w:p>
        </w:tc>
      </w:tr>
      <w:tr w:rsidR="009F7EE3" w:rsidRPr="009F7EE3" w14:paraId="6283A612" w14:textId="77777777">
        <w:tc>
          <w:tcPr>
            <w:tcW w:w="0" w:type="auto"/>
            <w:tcMar>
              <w:top w:w="150" w:type="dxa"/>
              <w:left w:w="0" w:type="dxa"/>
              <w:bottom w:w="150" w:type="dxa"/>
              <w:right w:w="240" w:type="dxa"/>
            </w:tcMar>
            <w:vAlign w:val="center"/>
            <w:hideMark/>
          </w:tcPr>
          <w:p w14:paraId="7F64ED8D"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b/>
                <w:bCs/>
                <w:kern w:val="0"/>
                <w:sz w:val="23"/>
                <w:szCs w:val="23"/>
                <w14:ligatures w14:val="none"/>
              </w:rPr>
              <w:t>Community</w:t>
            </w:r>
          </w:p>
        </w:tc>
        <w:tc>
          <w:tcPr>
            <w:tcW w:w="0" w:type="auto"/>
            <w:tcMar>
              <w:top w:w="150" w:type="dxa"/>
              <w:left w:w="240" w:type="dxa"/>
              <w:bottom w:w="150" w:type="dxa"/>
              <w:right w:w="0" w:type="dxa"/>
            </w:tcMar>
            <w:vAlign w:val="center"/>
            <w:hideMark/>
          </w:tcPr>
          <w:p w14:paraId="5DFA3301"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Encourage pregnant women to attend ANC and deliver in health facilities; avoid home delivery and traditional healers for obstetric complications; involve men in ANC accompaniment.</w:t>
            </w:r>
          </w:p>
        </w:tc>
      </w:tr>
      <w:tr w:rsidR="009F7EE3" w:rsidRPr="009F7EE3" w14:paraId="330C933B" w14:textId="77777777">
        <w:tc>
          <w:tcPr>
            <w:tcW w:w="0" w:type="auto"/>
            <w:tcMar>
              <w:top w:w="150" w:type="dxa"/>
              <w:left w:w="0" w:type="dxa"/>
              <w:bottom w:w="150" w:type="dxa"/>
              <w:right w:w="240" w:type="dxa"/>
            </w:tcMar>
            <w:vAlign w:val="center"/>
            <w:hideMark/>
          </w:tcPr>
          <w:p w14:paraId="6F86F247"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b/>
                <w:bCs/>
                <w:kern w:val="0"/>
                <w:sz w:val="23"/>
                <w:szCs w:val="23"/>
                <w14:ligatures w14:val="none"/>
              </w:rPr>
              <w:t>Future Research</w:t>
            </w:r>
          </w:p>
        </w:tc>
        <w:tc>
          <w:tcPr>
            <w:tcW w:w="0" w:type="auto"/>
            <w:tcMar>
              <w:top w:w="150" w:type="dxa"/>
              <w:left w:w="240" w:type="dxa"/>
              <w:bottom w:w="150" w:type="dxa"/>
              <w:right w:w="0" w:type="dxa"/>
            </w:tcMar>
            <w:vAlign w:val="center"/>
            <w:hideMark/>
          </w:tcPr>
          <w:p w14:paraId="270983A8" w14:textId="77777777" w:rsidR="009F7EE3" w:rsidRPr="009F7EE3" w:rsidRDefault="009F7EE3" w:rsidP="009F7EE3">
            <w:pPr>
              <w:spacing w:after="0" w:line="375" w:lineRule="atLeast"/>
              <w:rPr>
                <w:rFonts w:ascii="Segoe UI" w:eastAsia="Times New Roman" w:hAnsi="Segoe UI" w:cs="Segoe UI"/>
                <w:kern w:val="0"/>
                <w:sz w:val="23"/>
                <w:szCs w:val="23"/>
                <w14:ligatures w14:val="none"/>
              </w:rPr>
            </w:pPr>
            <w:r w:rsidRPr="009F7EE3">
              <w:rPr>
                <w:rFonts w:ascii="Segoe UI" w:eastAsia="Times New Roman" w:hAnsi="Segoe UI" w:cs="Segoe UI"/>
                <w:kern w:val="0"/>
                <w:sz w:val="23"/>
                <w:szCs w:val="23"/>
                <w14:ligatures w14:val="none"/>
              </w:rPr>
              <w:t>Conduct qualitative studies to explore cultural beliefs underlying home delivery and traditional healer use; perform analytical studies (case-control) to measure odds ratios for specific risk factors.</w:t>
            </w:r>
          </w:p>
        </w:tc>
      </w:tr>
    </w:tbl>
    <w:p w14:paraId="0479180D" w14:textId="77777777" w:rsidR="009F7EE3" w:rsidRPr="009F7EE3" w:rsidRDefault="009F7EE3" w:rsidP="009F7EE3">
      <w:pPr>
        <w:shd w:val="clear" w:color="auto" w:fill="FFFFFF"/>
        <w:spacing w:before="480" w:after="48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pict w14:anchorId="675C38EB">
          <v:rect id="_x0000_i1032" style="width:0;height:.75pt" o:hralign="center" o:hrstd="t" o:hr="t" fillcolor="#a0a0a0" stroked="f"/>
        </w:pict>
      </w:r>
    </w:p>
    <w:p w14:paraId="349C677E" w14:textId="77777777" w:rsidR="009F7EE3" w:rsidRPr="009F7EE3" w:rsidRDefault="009F7EE3" w:rsidP="009F7EE3">
      <w:pPr>
        <w:shd w:val="clear" w:color="auto" w:fill="FFFFFF"/>
        <w:spacing w:before="480" w:after="240" w:line="480" w:lineRule="atLeast"/>
        <w:outlineLvl w:val="1"/>
        <w:rPr>
          <w:rFonts w:ascii="Segoe UI" w:eastAsia="Times New Roman" w:hAnsi="Segoe UI" w:cs="Segoe UI"/>
          <w:b/>
          <w:bCs/>
          <w:color w:val="0F1115"/>
          <w:kern w:val="0"/>
          <w:sz w:val="33"/>
          <w:szCs w:val="33"/>
          <w14:ligatures w14:val="none"/>
        </w:rPr>
      </w:pPr>
      <w:r w:rsidRPr="009F7EE3">
        <w:rPr>
          <w:rFonts w:ascii="Segoe UI" w:eastAsia="Times New Roman" w:hAnsi="Segoe UI" w:cs="Segoe UI"/>
          <w:b/>
          <w:bCs/>
          <w:color w:val="0F1115"/>
          <w:kern w:val="0"/>
          <w:sz w:val="33"/>
          <w:szCs w:val="33"/>
          <w14:ligatures w14:val="none"/>
        </w:rPr>
        <w:t>7. References</w:t>
      </w:r>
    </w:p>
    <w:p w14:paraId="6F3B0C29"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Ministère de la Santé Publique de la République Démocratique du Congo. (2022). </w:t>
      </w:r>
      <w:r w:rsidRPr="009F7EE3">
        <w:rPr>
          <w:rFonts w:ascii="Segoe UI" w:eastAsia="Times New Roman" w:hAnsi="Segoe UI" w:cs="Segoe UI"/>
          <w:i/>
          <w:iCs/>
          <w:color w:val="0F1115"/>
          <w:kern w:val="0"/>
          <w14:ligatures w14:val="none"/>
        </w:rPr>
        <w:t>Rapport annuel sur la santé maternelle en République Démocratique du Congo</w:t>
      </w:r>
      <w:r w:rsidRPr="009F7EE3">
        <w:rPr>
          <w:rFonts w:ascii="Segoe UI" w:eastAsia="Times New Roman" w:hAnsi="Segoe UI" w:cs="Segoe UI"/>
          <w:color w:val="0F1115"/>
          <w:kern w:val="0"/>
          <w14:ligatures w14:val="none"/>
        </w:rPr>
        <w:t>. Kinshasa.</w:t>
      </w:r>
    </w:p>
    <w:p w14:paraId="474E745C"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Pembe, A. B., Urassa, D. P., Carlstedt, A., Lindmark, G., Nyström, L., &amp; Darj, E. (2009). Rural Tanzanian women's awareness of danger signs of obstetric complications. </w:t>
      </w:r>
      <w:r w:rsidRPr="009F7EE3">
        <w:rPr>
          <w:rFonts w:ascii="Segoe UI" w:eastAsia="Times New Roman" w:hAnsi="Segoe UI" w:cs="Segoe UI"/>
          <w:i/>
          <w:iCs/>
          <w:color w:val="0F1115"/>
          <w:kern w:val="0"/>
          <w14:ligatures w14:val="none"/>
        </w:rPr>
        <w:t>BMC Pregnancy and Childbirth</w:t>
      </w:r>
      <w:r w:rsidRPr="009F7EE3">
        <w:rPr>
          <w:rFonts w:ascii="Segoe UI" w:eastAsia="Times New Roman" w:hAnsi="Segoe UI" w:cs="Segoe UI"/>
          <w:color w:val="0F1115"/>
          <w:kern w:val="0"/>
          <w14:ligatures w14:val="none"/>
        </w:rPr>
        <w:t>, 9(1), 12.</w:t>
      </w:r>
    </w:p>
    <w:p w14:paraId="27D2C3D1"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Thaddeus, S., &amp; Maine, D. (1994). Too far to walk: Maternal mortality in context. </w:t>
      </w:r>
      <w:r w:rsidRPr="009F7EE3">
        <w:rPr>
          <w:rFonts w:ascii="Segoe UI" w:eastAsia="Times New Roman" w:hAnsi="Segoe UI" w:cs="Segoe UI"/>
          <w:i/>
          <w:iCs/>
          <w:color w:val="0F1115"/>
          <w:kern w:val="0"/>
          <w14:ligatures w14:val="none"/>
        </w:rPr>
        <w:t>Social Science &amp; Medicine</w:t>
      </w:r>
      <w:r w:rsidRPr="009F7EE3">
        <w:rPr>
          <w:rFonts w:ascii="Segoe UI" w:eastAsia="Times New Roman" w:hAnsi="Segoe UI" w:cs="Segoe UI"/>
          <w:color w:val="0F1115"/>
          <w:kern w:val="0"/>
          <w14:ligatures w14:val="none"/>
        </w:rPr>
        <w:t>, 38(8), 1091–1110.</w:t>
      </w:r>
    </w:p>
    <w:p w14:paraId="5BAEECF6"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Tura, G., Fantahun, M., &amp; Worku, A. (2018). The effect of health facility delivery on neonatal mortality in Ethiopia. </w:t>
      </w:r>
      <w:r w:rsidRPr="009F7EE3">
        <w:rPr>
          <w:rFonts w:ascii="Segoe UI" w:eastAsia="Times New Roman" w:hAnsi="Segoe UI" w:cs="Segoe UI"/>
          <w:i/>
          <w:iCs/>
          <w:color w:val="0F1115"/>
          <w:kern w:val="0"/>
          <w14:ligatures w14:val="none"/>
        </w:rPr>
        <w:t>Ethiopian Journal of Health Development</w:t>
      </w:r>
      <w:r w:rsidRPr="009F7EE3">
        <w:rPr>
          <w:rFonts w:ascii="Segoe UI" w:eastAsia="Times New Roman" w:hAnsi="Segoe UI" w:cs="Segoe UI"/>
          <w:color w:val="0F1115"/>
          <w:kern w:val="0"/>
          <w14:ligatures w14:val="none"/>
        </w:rPr>
        <w:t>, 32(1), 1–9.</w:t>
      </w:r>
    </w:p>
    <w:p w14:paraId="60C57082"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lastRenderedPageBreak/>
        <w:t>UNICEF. (2021). </w:t>
      </w:r>
      <w:r w:rsidRPr="009F7EE3">
        <w:rPr>
          <w:rFonts w:ascii="Segoe UI" w:eastAsia="Times New Roman" w:hAnsi="Segoe UI" w:cs="Segoe UI"/>
          <w:i/>
          <w:iCs/>
          <w:color w:val="0F1115"/>
          <w:kern w:val="0"/>
          <w14:ligatures w14:val="none"/>
        </w:rPr>
        <w:t>La situation des femmes et des enfants en République Démocratique du Congo</w:t>
      </w:r>
      <w:r w:rsidRPr="009F7EE3">
        <w:rPr>
          <w:rFonts w:ascii="Segoe UI" w:eastAsia="Times New Roman" w:hAnsi="Segoe UI" w:cs="Segoe UI"/>
          <w:color w:val="0F1115"/>
          <w:kern w:val="0"/>
          <w14:ligatures w14:val="none"/>
        </w:rPr>
        <w:t>. New York: UNICEF.</w:t>
      </w:r>
    </w:p>
    <w:p w14:paraId="117A0E96"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World Health Organization. (2019). </w:t>
      </w:r>
      <w:r w:rsidRPr="009F7EE3">
        <w:rPr>
          <w:rFonts w:ascii="Segoe UI" w:eastAsia="Times New Roman" w:hAnsi="Segoe UI" w:cs="Segoe UI"/>
          <w:i/>
          <w:iCs/>
          <w:color w:val="0F1115"/>
          <w:kern w:val="0"/>
          <w14:ligatures w14:val="none"/>
        </w:rPr>
        <w:t>Trends in maternal mortality 2000 to 2017</w:t>
      </w:r>
      <w:r w:rsidRPr="009F7EE3">
        <w:rPr>
          <w:rFonts w:ascii="Segoe UI" w:eastAsia="Times New Roman" w:hAnsi="Segoe UI" w:cs="Segoe UI"/>
          <w:color w:val="0F1115"/>
          <w:kern w:val="0"/>
          <w14:ligatures w14:val="none"/>
        </w:rPr>
        <w:t>. Geneva: WHO.</w:t>
      </w:r>
    </w:p>
    <w:p w14:paraId="128E3E6D"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color w:val="0F1115"/>
          <w:kern w:val="0"/>
          <w14:ligatures w14:val="none"/>
        </w:rPr>
        <w:t>World Health Organization. (2023). </w:t>
      </w:r>
      <w:r w:rsidRPr="009F7EE3">
        <w:rPr>
          <w:rFonts w:ascii="Segoe UI" w:eastAsia="Times New Roman" w:hAnsi="Segoe UI" w:cs="Segoe UI"/>
          <w:i/>
          <w:iCs/>
          <w:color w:val="0F1115"/>
          <w:kern w:val="0"/>
          <w14:ligatures w14:val="none"/>
        </w:rPr>
        <w:t>Maternal mortality fact sheet</w:t>
      </w:r>
      <w:r w:rsidRPr="009F7EE3">
        <w:rPr>
          <w:rFonts w:ascii="Segoe UI" w:eastAsia="Times New Roman" w:hAnsi="Segoe UI" w:cs="Segoe UI"/>
          <w:color w:val="0F1115"/>
          <w:kern w:val="0"/>
          <w14:ligatures w14:val="none"/>
        </w:rPr>
        <w:t>. </w:t>
      </w:r>
      <w:hyperlink r:id="rId5" w:tgtFrame="_blank" w:history="1">
        <w:r w:rsidRPr="009F7EE3">
          <w:rPr>
            <w:rFonts w:ascii="Segoe UI" w:eastAsia="Times New Roman" w:hAnsi="Segoe UI" w:cs="Segoe UI"/>
            <w:color w:val="3964FE"/>
            <w:kern w:val="0"/>
            <w:bdr w:val="single" w:sz="12" w:space="0" w:color="auto" w:frame="1"/>
            <w14:ligatures w14:val="none"/>
          </w:rPr>
          <w:t>https://www.who.int/news-room/fact-sheets/detail/maternal-mortality</w:t>
        </w:r>
      </w:hyperlink>
    </w:p>
    <w:p w14:paraId="75FD9C55" w14:textId="77777777" w:rsidR="009F7EE3" w:rsidRPr="009F7EE3" w:rsidRDefault="007F72F6" w:rsidP="009F7EE3">
      <w:pPr>
        <w:shd w:val="clear" w:color="auto" w:fill="FFFFFF"/>
        <w:spacing w:before="480" w:after="480" w:line="420" w:lineRule="atLeast"/>
        <w:rPr>
          <w:rFonts w:ascii="Segoe UI" w:eastAsia="Times New Roman" w:hAnsi="Segoe UI" w:cs="Segoe UI"/>
          <w:color w:val="0F1115"/>
          <w:kern w:val="0"/>
          <w14:ligatures w14:val="none"/>
        </w:rPr>
      </w:pPr>
      <w:r w:rsidRPr="007F72F6">
        <w:rPr>
          <w:rFonts w:ascii="Segoe UI" w:eastAsia="Times New Roman" w:hAnsi="Segoe UI" w:cs="Segoe UI"/>
          <w:noProof/>
          <w:color w:val="0F1115"/>
          <w:kern w:val="0"/>
        </w:rPr>
        <w:pict w14:anchorId="171BE347">
          <v:rect id="_x0000_i1033" alt="" style="width:468pt;height:.05pt;mso-width-percent:0;mso-height-percent:0;mso-width-percent:0;mso-height-percent:0" o:hralign="center" o:hrstd="t" o:hr="t" fillcolor="#a0a0a0" stroked="f"/>
        </w:pict>
      </w:r>
    </w:p>
    <w:p w14:paraId="1D6366B0"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Corresponding Author:</w:t>
      </w:r>
      <w:r w:rsidRPr="009F7EE3">
        <w:rPr>
          <w:rFonts w:ascii="Segoe UI" w:eastAsia="Times New Roman" w:hAnsi="Segoe UI" w:cs="Segoe UI"/>
          <w:color w:val="0F1115"/>
          <w:kern w:val="0"/>
          <w14:ligatures w14:val="none"/>
        </w:rPr>
        <w:br/>
        <w:t>Tolomba Batu Aminata</w:t>
      </w:r>
      <w:r w:rsidRPr="009F7EE3">
        <w:rPr>
          <w:rFonts w:ascii="Segoe UI" w:eastAsia="Times New Roman" w:hAnsi="Segoe UI" w:cs="Segoe UI"/>
          <w:color w:val="0F1115"/>
          <w:kern w:val="0"/>
          <w14:ligatures w14:val="none"/>
        </w:rPr>
        <w:br/>
        <w:t>Institut Supérieur des Techniques Médicales (ISTM)</w:t>
      </w:r>
      <w:r w:rsidRPr="009F7EE3">
        <w:rPr>
          <w:rFonts w:ascii="Segoe UI" w:eastAsia="Times New Roman" w:hAnsi="Segoe UI" w:cs="Segoe UI"/>
          <w:color w:val="0F1115"/>
          <w:kern w:val="0"/>
          <w14:ligatures w14:val="none"/>
        </w:rPr>
        <w:br/>
        <w:t>Mbandaka, Democratic Republic of the Congo</w:t>
      </w:r>
      <w:r w:rsidRPr="009F7EE3">
        <w:rPr>
          <w:rFonts w:ascii="Segoe UI" w:eastAsia="Times New Roman" w:hAnsi="Segoe UI" w:cs="Segoe UI"/>
          <w:color w:val="0F1115"/>
          <w:kern w:val="0"/>
          <w14:ligatures w14:val="none"/>
        </w:rPr>
        <w:br/>
        <w:t>Email: istm_mbka@gmail.com</w:t>
      </w:r>
    </w:p>
    <w:p w14:paraId="545732BB" w14:textId="77777777" w:rsidR="009F7EE3" w:rsidRPr="009F7EE3" w:rsidRDefault="009F7EE3" w:rsidP="009F7EE3">
      <w:pPr>
        <w:shd w:val="clear" w:color="auto" w:fill="FFFFFF"/>
        <w:spacing w:before="240" w:after="24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Conflict of Interest Statement:</w:t>
      </w:r>
      <w:r w:rsidRPr="009F7EE3">
        <w:rPr>
          <w:rFonts w:ascii="Segoe UI" w:eastAsia="Times New Roman" w:hAnsi="Segoe UI" w:cs="Segoe UI"/>
          <w:color w:val="0F1115"/>
          <w:kern w:val="0"/>
          <w14:ligatures w14:val="none"/>
        </w:rPr>
        <w:t> The author declares no conflict of interest.</w:t>
      </w:r>
    </w:p>
    <w:p w14:paraId="3042146A" w14:textId="77777777" w:rsidR="009F7EE3" w:rsidRPr="009F7EE3" w:rsidRDefault="009F7EE3" w:rsidP="009F7EE3">
      <w:pPr>
        <w:shd w:val="clear" w:color="auto" w:fill="FFFFFF"/>
        <w:spacing w:before="240" w:after="0" w:line="420" w:lineRule="atLeast"/>
        <w:rPr>
          <w:rFonts w:ascii="Segoe UI" w:eastAsia="Times New Roman" w:hAnsi="Segoe UI" w:cs="Segoe UI"/>
          <w:color w:val="0F1115"/>
          <w:kern w:val="0"/>
          <w14:ligatures w14:val="none"/>
        </w:rPr>
      </w:pPr>
      <w:r w:rsidRPr="009F7EE3">
        <w:rPr>
          <w:rFonts w:ascii="Segoe UI" w:eastAsia="Times New Roman" w:hAnsi="Segoe UI" w:cs="Segoe UI"/>
          <w:b/>
          <w:bCs/>
          <w:color w:val="0F1115"/>
          <w:kern w:val="0"/>
          <w14:ligatures w14:val="none"/>
        </w:rPr>
        <w:t>Acknowledgments:</w:t>
      </w:r>
      <w:r w:rsidRPr="009F7EE3">
        <w:rPr>
          <w:rFonts w:ascii="Segoe UI" w:eastAsia="Times New Roman" w:hAnsi="Segoe UI" w:cs="Segoe UI"/>
          <w:color w:val="0F1115"/>
          <w:kern w:val="0"/>
          <w14:ligatures w14:val="none"/>
        </w:rPr>
        <w:t> The author thanks Prof. Dr. Ebengho Bokelo Max for supervision, Chef de Travaux Lofandjo Kawe Pierre for technical guidance, and all participants who contributed to this study.</w:t>
      </w:r>
    </w:p>
    <w:p w14:paraId="7215F03C" w14:textId="77777777" w:rsidR="009F7EE3" w:rsidRPr="009F7EE3" w:rsidRDefault="009F7EE3" w:rsidP="009F7EE3">
      <w:pPr>
        <w:spacing w:after="0" w:line="240" w:lineRule="auto"/>
        <w:rPr>
          <w:rFonts w:ascii="Times New Roman" w:eastAsia="Times New Roman" w:hAnsi="Times New Roman" w:cs="Times New Roman"/>
          <w:kern w:val="0"/>
          <w14:ligatures w14:val="none"/>
        </w:rPr>
      </w:pPr>
    </w:p>
    <w:p w14:paraId="16CFD608" w14:textId="77777777" w:rsidR="00B41904" w:rsidRDefault="00B41904"/>
    <w:sectPr w:rsidR="00B419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2059B9"/>
    <w:multiLevelType w:val="multilevel"/>
    <w:tmpl w:val="D018D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D26B78"/>
    <w:multiLevelType w:val="multilevel"/>
    <w:tmpl w:val="5AAC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B83BC7"/>
    <w:multiLevelType w:val="multilevel"/>
    <w:tmpl w:val="0C0EB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D75743"/>
    <w:multiLevelType w:val="multilevel"/>
    <w:tmpl w:val="DC4E4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8082408">
    <w:abstractNumId w:val="3"/>
  </w:num>
  <w:num w:numId="2" w16cid:durableId="1144008691">
    <w:abstractNumId w:val="2"/>
  </w:num>
  <w:num w:numId="3" w16cid:durableId="294606989">
    <w:abstractNumId w:val="1"/>
  </w:num>
  <w:num w:numId="4" w16cid:durableId="1016007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EE3"/>
    <w:rsid w:val="002C4B73"/>
    <w:rsid w:val="003F70DD"/>
    <w:rsid w:val="007F72F6"/>
    <w:rsid w:val="008F6EA0"/>
    <w:rsid w:val="009F7EE3"/>
    <w:rsid w:val="00AC0C13"/>
    <w:rsid w:val="00B41904"/>
    <w:rsid w:val="00C62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17A4E"/>
  <w15:chartTrackingRefBased/>
  <w15:docId w15:val="{F2B7050A-3128-ED44-BCB7-5999A917D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7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7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F7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7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7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7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7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7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7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F7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F7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7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7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7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7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7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7EE3"/>
    <w:rPr>
      <w:rFonts w:eastAsiaTheme="majorEastAsia" w:cstheme="majorBidi"/>
      <w:color w:val="272727" w:themeColor="text1" w:themeTint="D8"/>
    </w:rPr>
  </w:style>
  <w:style w:type="paragraph" w:styleId="Title">
    <w:name w:val="Title"/>
    <w:basedOn w:val="Normal"/>
    <w:next w:val="Normal"/>
    <w:link w:val="TitleChar"/>
    <w:uiPriority w:val="10"/>
    <w:qFormat/>
    <w:rsid w:val="009F7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EE3"/>
    <w:pPr>
      <w:spacing w:before="160"/>
      <w:jc w:val="center"/>
    </w:pPr>
    <w:rPr>
      <w:i/>
      <w:iCs/>
      <w:color w:val="404040" w:themeColor="text1" w:themeTint="BF"/>
    </w:rPr>
  </w:style>
  <w:style w:type="character" w:customStyle="1" w:styleId="QuoteChar">
    <w:name w:val="Quote Char"/>
    <w:basedOn w:val="DefaultParagraphFont"/>
    <w:link w:val="Quote"/>
    <w:uiPriority w:val="29"/>
    <w:rsid w:val="009F7EE3"/>
    <w:rPr>
      <w:i/>
      <w:iCs/>
      <w:color w:val="404040" w:themeColor="text1" w:themeTint="BF"/>
    </w:rPr>
  </w:style>
  <w:style w:type="paragraph" w:styleId="ListParagraph">
    <w:name w:val="List Paragraph"/>
    <w:basedOn w:val="Normal"/>
    <w:uiPriority w:val="34"/>
    <w:qFormat/>
    <w:rsid w:val="009F7EE3"/>
    <w:pPr>
      <w:ind w:left="720"/>
      <w:contextualSpacing/>
    </w:pPr>
  </w:style>
  <w:style w:type="character" w:styleId="IntenseEmphasis">
    <w:name w:val="Intense Emphasis"/>
    <w:basedOn w:val="DefaultParagraphFont"/>
    <w:uiPriority w:val="21"/>
    <w:qFormat/>
    <w:rsid w:val="009F7EE3"/>
    <w:rPr>
      <w:i/>
      <w:iCs/>
      <w:color w:val="0F4761" w:themeColor="accent1" w:themeShade="BF"/>
    </w:rPr>
  </w:style>
  <w:style w:type="paragraph" w:styleId="IntenseQuote">
    <w:name w:val="Intense Quote"/>
    <w:basedOn w:val="Normal"/>
    <w:next w:val="Normal"/>
    <w:link w:val="IntenseQuoteChar"/>
    <w:uiPriority w:val="30"/>
    <w:qFormat/>
    <w:rsid w:val="009F7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7EE3"/>
    <w:rPr>
      <w:i/>
      <w:iCs/>
      <w:color w:val="0F4761" w:themeColor="accent1" w:themeShade="BF"/>
    </w:rPr>
  </w:style>
  <w:style w:type="character" w:styleId="IntenseReference">
    <w:name w:val="Intense Reference"/>
    <w:basedOn w:val="DefaultParagraphFont"/>
    <w:uiPriority w:val="32"/>
    <w:qFormat/>
    <w:rsid w:val="009F7EE3"/>
    <w:rPr>
      <w:b/>
      <w:bCs/>
      <w:smallCaps/>
      <w:color w:val="0F4761" w:themeColor="accent1" w:themeShade="BF"/>
      <w:spacing w:val="5"/>
    </w:rPr>
  </w:style>
  <w:style w:type="paragraph" w:customStyle="1" w:styleId="ds-markdown-paragraph">
    <w:name w:val="ds-markdown-paragraph"/>
    <w:basedOn w:val="Normal"/>
    <w:rsid w:val="009F7EE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F7EE3"/>
    <w:rPr>
      <w:b/>
      <w:bCs/>
    </w:rPr>
  </w:style>
  <w:style w:type="character" w:styleId="Emphasis">
    <w:name w:val="Emphasis"/>
    <w:basedOn w:val="DefaultParagraphFont"/>
    <w:uiPriority w:val="20"/>
    <w:qFormat/>
    <w:rsid w:val="009F7EE3"/>
    <w:rPr>
      <w:i/>
      <w:iCs/>
    </w:rPr>
  </w:style>
  <w:style w:type="character" w:styleId="Hyperlink">
    <w:name w:val="Hyperlink"/>
    <w:basedOn w:val="DefaultParagraphFont"/>
    <w:uiPriority w:val="99"/>
    <w:semiHidden/>
    <w:unhideWhenUsed/>
    <w:rsid w:val="009F7E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ho.int/news-room/fact-sheets/detail/maternal-mortali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3271</Words>
  <Characters>18645</Characters>
  <Application>Microsoft Office Word</Application>
  <DocSecurity>0</DocSecurity>
  <Lines>155</Lines>
  <Paragraphs>43</Paragraphs>
  <ScaleCrop>false</ScaleCrop>
  <Company/>
  <LinksUpToDate>false</LinksUpToDate>
  <CharactersWithSpaces>21873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1</cp:revision>
  <dcterms:created xsi:type="dcterms:W3CDTF">2026-05-18T12:40:00Z</dcterms:created>
  <dcterms:modified xsi:type="dcterms:W3CDTF">2026-05-18T12:41:00Z</dcterms:modified>
</cp:coreProperties>
</file>