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844BE" w14:textId="77777777" w:rsidR="00FE15C7" w:rsidRPr="00FE15C7" w:rsidRDefault="00FE15C7" w:rsidP="00FE15C7">
      <w:pPr>
        <w:shd w:val="clear" w:color="auto" w:fill="FFFFFF"/>
        <w:spacing w:before="480" w:after="240" w:line="510" w:lineRule="atLeast"/>
        <w:outlineLvl w:val="0"/>
        <w:rPr>
          <w:rFonts w:ascii="Times New Roman" w:eastAsia="Times New Roman" w:hAnsi="Times New Roman" w:cs="Times New Roman"/>
          <w:b/>
          <w:bCs/>
          <w:color w:val="0F1115"/>
          <w:kern w:val="36"/>
          <w:sz w:val="36"/>
          <w:szCs w:val="36"/>
          <w14:ligatures w14:val="none"/>
        </w:rPr>
      </w:pPr>
      <w:r w:rsidRPr="00FE15C7">
        <w:rPr>
          <w:rFonts w:ascii="Times New Roman" w:eastAsia="Times New Roman" w:hAnsi="Times New Roman" w:cs="Times New Roman"/>
          <w:b/>
          <w:bCs/>
          <w:color w:val="0F1115"/>
          <w:kern w:val="36"/>
          <w:sz w:val="36"/>
          <w:szCs w:val="36"/>
          <w14:ligatures w14:val="none"/>
        </w:rPr>
        <w:t xml:space="preserve">Health Education in </w:t>
      </w:r>
      <w:proofErr w:type="spellStart"/>
      <w:r w:rsidRPr="00FE15C7">
        <w:rPr>
          <w:rFonts w:ascii="Times New Roman" w:eastAsia="Times New Roman" w:hAnsi="Times New Roman" w:cs="Times New Roman"/>
          <w:b/>
          <w:bCs/>
          <w:color w:val="0F1115"/>
          <w:kern w:val="36"/>
          <w:sz w:val="36"/>
          <w:szCs w:val="36"/>
          <w14:ligatures w14:val="none"/>
        </w:rPr>
        <w:t>Mbandaka</w:t>
      </w:r>
      <w:proofErr w:type="spellEnd"/>
      <w:r w:rsidRPr="00FE15C7">
        <w:rPr>
          <w:rFonts w:ascii="Times New Roman" w:eastAsia="Times New Roman" w:hAnsi="Times New Roman" w:cs="Times New Roman"/>
          <w:b/>
          <w:bCs/>
          <w:color w:val="0F1115"/>
          <w:kern w:val="36"/>
          <w:sz w:val="36"/>
          <w:szCs w:val="36"/>
          <w14:ligatures w14:val="none"/>
        </w:rPr>
        <w:t>, Democratic Republic of the Congo: Perceptions, Practices, and Determinants of Behavioral Change Among Adults Attending Health Facilities – A Cross-Sectional Study</w:t>
      </w:r>
    </w:p>
    <w:p w14:paraId="7E4206DC" w14:textId="77A11AA8"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b/>
          <w:bCs/>
          <w:color w:val="0F1115"/>
          <w:kern w:val="0"/>
          <w14:ligatures w14:val="none"/>
        </w:rPr>
        <w:t>Author:</w:t>
      </w:r>
      <w:r w:rsidRPr="00FE15C7">
        <w:rPr>
          <w:rFonts w:ascii="Times New Roman" w:eastAsia="Times New Roman" w:hAnsi="Times New Roman" w:cs="Times New Roman"/>
          <w:color w:val="0F1115"/>
          <w:kern w:val="0"/>
          <w14:ligatures w14:val="none"/>
        </w:rPr>
        <w:t> </w:t>
      </w:r>
      <w:proofErr w:type="spellStart"/>
      <w:r w:rsidRPr="00FE15C7">
        <w:rPr>
          <w:rFonts w:ascii="Times New Roman" w:eastAsia="Times New Roman" w:hAnsi="Times New Roman" w:cs="Times New Roman"/>
          <w:color w:val="0F1115"/>
          <w:kern w:val="0"/>
          <w14:ligatures w14:val="none"/>
        </w:rPr>
        <w:t>Nkuya</w:t>
      </w:r>
      <w:proofErr w:type="spellEnd"/>
      <w:r w:rsidRPr="00FE15C7">
        <w:rPr>
          <w:rFonts w:ascii="Times New Roman" w:eastAsia="Times New Roman" w:hAnsi="Times New Roman" w:cs="Times New Roman"/>
          <w:color w:val="0F1115"/>
          <w:kern w:val="0"/>
          <w14:ligatures w14:val="none"/>
        </w:rPr>
        <w:t xml:space="preserve"> Nsom</w:t>
      </w:r>
      <w:r w:rsidR="00EF7A3A">
        <w:rPr>
          <w:rFonts w:ascii="Times New Roman" w:eastAsia="Times New Roman" w:hAnsi="Times New Roman" w:cs="Times New Roman"/>
          <w:color w:val="0F1115"/>
          <w:kern w:val="0"/>
          <w14:ligatures w14:val="none"/>
        </w:rPr>
        <w:t>i</w:t>
      </w:r>
      <w:r w:rsidRPr="00FE15C7">
        <w:rPr>
          <w:rFonts w:ascii="Times New Roman" w:eastAsia="Times New Roman" w:hAnsi="Times New Roman" w:cs="Times New Roman"/>
          <w:color w:val="0F1115"/>
          <w:kern w:val="0"/>
          <w14:ligatures w14:val="none"/>
        </w:rPr>
        <w:t xml:space="preserve"> </w:t>
      </w:r>
      <w:proofErr w:type="spellStart"/>
      <w:r w:rsidRPr="00FE15C7">
        <w:rPr>
          <w:rFonts w:ascii="Times New Roman" w:eastAsia="Times New Roman" w:hAnsi="Times New Roman" w:cs="Times New Roman"/>
          <w:color w:val="0F1115"/>
          <w:kern w:val="0"/>
          <w14:ligatures w14:val="none"/>
        </w:rPr>
        <w:t>Guelord</w:t>
      </w:r>
      <w:proofErr w:type="spellEnd"/>
      <w:r w:rsidRPr="00FE15C7">
        <w:rPr>
          <w:rFonts w:ascii="Times New Roman" w:eastAsia="Times New Roman" w:hAnsi="Times New Roman" w:cs="Times New Roman"/>
          <w:color w:val="0F1115"/>
          <w:kern w:val="0"/>
          <w14:ligatures w14:val="none"/>
        </w:rPr>
        <w:br/>
      </w:r>
      <w:r w:rsidRPr="00FE15C7">
        <w:rPr>
          <w:rFonts w:ascii="Times New Roman" w:eastAsia="Times New Roman" w:hAnsi="Times New Roman" w:cs="Times New Roman"/>
          <w:b/>
          <w:bCs/>
          <w:color w:val="0F1115"/>
          <w:kern w:val="0"/>
          <w14:ligatures w14:val="none"/>
        </w:rPr>
        <w:t>Affiliation:</w:t>
      </w:r>
      <w:r w:rsidRPr="00FE15C7">
        <w:rPr>
          <w:rFonts w:ascii="Times New Roman" w:eastAsia="Times New Roman" w:hAnsi="Times New Roman" w:cs="Times New Roman"/>
          <w:color w:val="0F1115"/>
          <w:kern w:val="0"/>
          <w14:ligatures w14:val="none"/>
        </w:rPr>
        <w:t> </w:t>
      </w:r>
      <w:proofErr w:type="spellStart"/>
      <w:r w:rsidRPr="00FE15C7">
        <w:rPr>
          <w:rFonts w:ascii="Times New Roman" w:eastAsia="Times New Roman" w:hAnsi="Times New Roman" w:cs="Times New Roman"/>
          <w:color w:val="0F1115"/>
          <w:kern w:val="0"/>
          <w14:ligatures w14:val="none"/>
        </w:rPr>
        <w:t>Institut</w:t>
      </w:r>
      <w:proofErr w:type="spellEnd"/>
      <w:r w:rsidRPr="00FE15C7">
        <w:rPr>
          <w:rFonts w:ascii="Times New Roman" w:eastAsia="Times New Roman" w:hAnsi="Times New Roman" w:cs="Times New Roman"/>
          <w:color w:val="0F1115"/>
          <w:kern w:val="0"/>
          <w14:ligatures w14:val="none"/>
        </w:rPr>
        <w:t xml:space="preserve"> Supérieur des Techniques </w:t>
      </w:r>
      <w:proofErr w:type="spellStart"/>
      <w:r w:rsidRPr="00FE15C7">
        <w:rPr>
          <w:rFonts w:ascii="Times New Roman" w:eastAsia="Times New Roman" w:hAnsi="Times New Roman" w:cs="Times New Roman"/>
          <w:color w:val="0F1115"/>
          <w:kern w:val="0"/>
          <w14:ligatures w14:val="none"/>
        </w:rPr>
        <w:t>Médicales</w:t>
      </w:r>
      <w:proofErr w:type="spellEnd"/>
      <w:r w:rsidRPr="00FE15C7">
        <w:rPr>
          <w:rFonts w:ascii="Times New Roman" w:eastAsia="Times New Roman" w:hAnsi="Times New Roman" w:cs="Times New Roman"/>
          <w:color w:val="0F1115"/>
          <w:kern w:val="0"/>
          <w14:ligatures w14:val="none"/>
        </w:rPr>
        <w:t xml:space="preserve"> (ISTM), </w:t>
      </w:r>
      <w:proofErr w:type="spellStart"/>
      <w:r w:rsidRPr="00FE15C7">
        <w:rPr>
          <w:rFonts w:ascii="Times New Roman" w:eastAsia="Times New Roman" w:hAnsi="Times New Roman" w:cs="Times New Roman"/>
          <w:color w:val="0F1115"/>
          <w:kern w:val="0"/>
          <w14:ligatures w14:val="none"/>
        </w:rPr>
        <w:t>Mbandaka</w:t>
      </w:r>
      <w:proofErr w:type="spellEnd"/>
      <w:r w:rsidRPr="00FE15C7">
        <w:rPr>
          <w:rFonts w:ascii="Times New Roman" w:eastAsia="Times New Roman" w:hAnsi="Times New Roman" w:cs="Times New Roman"/>
          <w:color w:val="0F1115"/>
          <w:kern w:val="0"/>
          <w14:ligatures w14:val="none"/>
        </w:rPr>
        <w:t>, Democratic Republic of Congo</w:t>
      </w:r>
      <w:r w:rsidRPr="00FE15C7">
        <w:rPr>
          <w:rFonts w:ascii="Times New Roman" w:eastAsia="Times New Roman" w:hAnsi="Times New Roman" w:cs="Times New Roman"/>
          <w:color w:val="0F1115"/>
          <w:kern w:val="0"/>
          <w14:ligatures w14:val="none"/>
        </w:rPr>
        <w:br/>
      </w:r>
      <w:r w:rsidRPr="00FE15C7">
        <w:rPr>
          <w:rFonts w:ascii="Times New Roman" w:eastAsia="Times New Roman" w:hAnsi="Times New Roman" w:cs="Times New Roman"/>
          <w:b/>
          <w:bCs/>
          <w:color w:val="0F1115"/>
          <w:kern w:val="0"/>
          <w14:ligatures w14:val="none"/>
        </w:rPr>
        <w:t>Program:</w:t>
      </w:r>
      <w:r w:rsidRPr="00FE15C7">
        <w:rPr>
          <w:rFonts w:ascii="Times New Roman" w:eastAsia="Times New Roman" w:hAnsi="Times New Roman" w:cs="Times New Roman"/>
          <w:color w:val="0F1115"/>
          <w:kern w:val="0"/>
          <w14:ligatures w14:val="none"/>
        </w:rPr>
        <w:t> </w:t>
      </w:r>
      <w:proofErr w:type="gramStart"/>
      <w:r w:rsidRPr="00FE15C7">
        <w:rPr>
          <w:rFonts w:ascii="Times New Roman" w:eastAsia="Times New Roman" w:hAnsi="Times New Roman" w:cs="Times New Roman"/>
          <w:color w:val="0F1115"/>
          <w:kern w:val="0"/>
          <w14:ligatures w14:val="none"/>
        </w:rPr>
        <w:t>Master in Nursing Sciences</w:t>
      </w:r>
      <w:proofErr w:type="gramEnd"/>
      <w:r w:rsidRPr="00FE15C7">
        <w:rPr>
          <w:rFonts w:ascii="Times New Roman" w:eastAsia="Times New Roman" w:hAnsi="Times New Roman" w:cs="Times New Roman"/>
          <w:color w:val="0F1115"/>
          <w:kern w:val="0"/>
          <w14:ligatures w14:val="none"/>
        </w:rPr>
        <w:t xml:space="preserve"> – Surgical and Internal Medicine Care</w:t>
      </w:r>
      <w:r w:rsidRPr="00FE15C7">
        <w:rPr>
          <w:rFonts w:ascii="Times New Roman" w:eastAsia="Times New Roman" w:hAnsi="Times New Roman" w:cs="Times New Roman"/>
          <w:color w:val="0F1115"/>
          <w:kern w:val="0"/>
          <w14:ligatures w14:val="none"/>
        </w:rPr>
        <w:br/>
      </w:r>
      <w:r w:rsidRPr="00FE15C7">
        <w:rPr>
          <w:rFonts w:ascii="Times New Roman" w:eastAsia="Times New Roman" w:hAnsi="Times New Roman" w:cs="Times New Roman"/>
          <w:b/>
          <w:bCs/>
          <w:color w:val="0F1115"/>
          <w:kern w:val="0"/>
          <w14:ligatures w14:val="none"/>
        </w:rPr>
        <w:t>Director:</w:t>
      </w:r>
      <w:r w:rsidRPr="00FE15C7">
        <w:rPr>
          <w:rFonts w:ascii="Times New Roman" w:eastAsia="Times New Roman" w:hAnsi="Times New Roman" w:cs="Times New Roman"/>
          <w:color w:val="0F1115"/>
          <w:kern w:val="0"/>
          <w14:ligatures w14:val="none"/>
        </w:rPr>
        <w:t xml:space="preserve"> Professor Ordinaire Ekoko </w:t>
      </w:r>
      <w:proofErr w:type="spellStart"/>
      <w:r w:rsidRPr="00FE15C7">
        <w:rPr>
          <w:rFonts w:ascii="Times New Roman" w:eastAsia="Times New Roman" w:hAnsi="Times New Roman" w:cs="Times New Roman"/>
          <w:color w:val="0F1115"/>
          <w:kern w:val="0"/>
          <w14:ligatures w14:val="none"/>
        </w:rPr>
        <w:t>Bakambo</w:t>
      </w:r>
      <w:proofErr w:type="spellEnd"/>
      <w:r w:rsidRPr="00FE15C7">
        <w:rPr>
          <w:rFonts w:ascii="Times New Roman" w:eastAsia="Times New Roman" w:hAnsi="Times New Roman" w:cs="Times New Roman"/>
          <w:color w:val="0F1115"/>
          <w:kern w:val="0"/>
          <w14:ligatures w14:val="none"/>
        </w:rPr>
        <w:t xml:space="preserve"> Gracia</w:t>
      </w:r>
      <w:r w:rsidRPr="00FE15C7">
        <w:rPr>
          <w:rFonts w:ascii="Times New Roman" w:eastAsia="Times New Roman" w:hAnsi="Times New Roman" w:cs="Times New Roman"/>
          <w:color w:val="0F1115"/>
          <w:kern w:val="0"/>
          <w14:ligatures w14:val="none"/>
        </w:rPr>
        <w:br/>
      </w:r>
      <w:r w:rsidRPr="00FE15C7">
        <w:rPr>
          <w:rFonts w:ascii="Times New Roman" w:eastAsia="Times New Roman" w:hAnsi="Times New Roman" w:cs="Times New Roman"/>
          <w:b/>
          <w:bCs/>
          <w:color w:val="0F1115"/>
          <w:kern w:val="0"/>
          <w14:ligatures w14:val="none"/>
        </w:rPr>
        <w:t>Supervisor:</w:t>
      </w:r>
      <w:r w:rsidRPr="00FE15C7">
        <w:rPr>
          <w:rFonts w:ascii="Times New Roman" w:eastAsia="Times New Roman" w:hAnsi="Times New Roman" w:cs="Times New Roman"/>
          <w:color w:val="0F1115"/>
          <w:kern w:val="0"/>
          <w14:ligatures w14:val="none"/>
        </w:rPr>
        <w:t xml:space="preserve"> CT. </w:t>
      </w:r>
      <w:proofErr w:type="spellStart"/>
      <w:r w:rsidRPr="00FE15C7">
        <w:rPr>
          <w:rFonts w:ascii="Times New Roman" w:eastAsia="Times New Roman" w:hAnsi="Times New Roman" w:cs="Times New Roman"/>
          <w:color w:val="0F1115"/>
          <w:kern w:val="0"/>
          <w14:ligatures w14:val="none"/>
        </w:rPr>
        <w:t>Likulu</w:t>
      </w:r>
      <w:proofErr w:type="spellEnd"/>
      <w:r w:rsidRPr="00FE15C7">
        <w:rPr>
          <w:rFonts w:ascii="Times New Roman" w:eastAsia="Times New Roman" w:hAnsi="Times New Roman" w:cs="Times New Roman"/>
          <w:color w:val="0F1115"/>
          <w:kern w:val="0"/>
          <w14:ligatures w14:val="none"/>
        </w:rPr>
        <w:t xml:space="preserve"> </w:t>
      </w:r>
      <w:proofErr w:type="spellStart"/>
      <w:r w:rsidRPr="00FE15C7">
        <w:rPr>
          <w:rFonts w:ascii="Times New Roman" w:eastAsia="Times New Roman" w:hAnsi="Times New Roman" w:cs="Times New Roman"/>
          <w:color w:val="0F1115"/>
          <w:kern w:val="0"/>
          <w14:ligatures w14:val="none"/>
        </w:rPr>
        <w:t>Efoloko</w:t>
      </w:r>
      <w:proofErr w:type="spellEnd"/>
      <w:r w:rsidRPr="00FE15C7">
        <w:rPr>
          <w:rFonts w:ascii="Times New Roman" w:eastAsia="Times New Roman" w:hAnsi="Times New Roman" w:cs="Times New Roman"/>
          <w:color w:val="0F1115"/>
          <w:kern w:val="0"/>
          <w14:ligatures w14:val="none"/>
        </w:rPr>
        <w:t xml:space="preserve"> J.C.</w:t>
      </w:r>
      <w:r w:rsidRPr="00FE15C7">
        <w:rPr>
          <w:rFonts w:ascii="Times New Roman" w:eastAsia="Times New Roman" w:hAnsi="Times New Roman" w:cs="Times New Roman"/>
          <w:color w:val="0F1115"/>
          <w:kern w:val="0"/>
          <w14:ligatures w14:val="none"/>
        </w:rPr>
        <w:br/>
      </w:r>
      <w:r w:rsidRPr="00FE15C7">
        <w:rPr>
          <w:rFonts w:ascii="Times New Roman" w:eastAsia="Times New Roman" w:hAnsi="Times New Roman" w:cs="Times New Roman"/>
          <w:b/>
          <w:bCs/>
          <w:color w:val="0F1115"/>
          <w:kern w:val="0"/>
          <w14:ligatures w14:val="none"/>
        </w:rPr>
        <w:t>Academic Year:</w:t>
      </w:r>
      <w:r w:rsidRPr="00FE15C7">
        <w:rPr>
          <w:rFonts w:ascii="Times New Roman" w:eastAsia="Times New Roman" w:hAnsi="Times New Roman" w:cs="Times New Roman"/>
          <w:color w:val="0F1115"/>
          <w:kern w:val="0"/>
          <w14:ligatures w14:val="none"/>
        </w:rPr>
        <w:t> 2025–2026</w:t>
      </w:r>
    </w:p>
    <w:p w14:paraId="26A01965" w14:textId="77777777" w:rsidR="00FE15C7" w:rsidRPr="00FE15C7" w:rsidRDefault="00FE15C7" w:rsidP="00FE15C7">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FE15C7">
        <w:rPr>
          <w:rFonts w:ascii="Times New Roman" w:eastAsia="Times New Roman" w:hAnsi="Times New Roman" w:cs="Times New Roman"/>
          <w:b/>
          <w:bCs/>
          <w:color w:val="0F1115"/>
          <w:kern w:val="0"/>
          <w:sz w:val="33"/>
          <w:szCs w:val="33"/>
          <w14:ligatures w14:val="none"/>
        </w:rPr>
        <w:t>Abstract</w:t>
      </w:r>
    </w:p>
    <w:p w14:paraId="66FB05EA"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b/>
          <w:bCs/>
          <w:color w:val="0F1115"/>
          <w:kern w:val="0"/>
          <w14:ligatures w14:val="none"/>
        </w:rPr>
        <w:t>Introduction:</w:t>
      </w:r>
      <w:r w:rsidRPr="00FE15C7">
        <w:rPr>
          <w:rFonts w:ascii="Times New Roman" w:eastAsia="Times New Roman" w:hAnsi="Times New Roman" w:cs="Times New Roman"/>
          <w:color w:val="0F1115"/>
          <w:kern w:val="0"/>
          <w14:ligatures w14:val="none"/>
        </w:rPr>
        <w:t xml:space="preserve"> Health education is a fundamental pillar of nursing care and public health, particularly in contexts where infectious diseases and hygiene problems remain endemic. In </w:t>
      </w:r>
      <w:proofErr w:type="spellStart"/>
      <w:r w:rsidRPr="00FE15C7">
        <w:rPr>
          <w:rFonts w:ascii="Times New Roman" w:eastAsia="Times New Roman" w:hAnsi="Times New Roman" w:cs="Times New Roman"/>
          <w:color w:val="0F1115"/>
          <w:kern w:val="0"/>
          <w14:ligatures w14:val="none"/>
        </w:rPr>
        <w:t>Mbandaka</w:t>
      </w:r>
      <w:proofErr w:type="spellEnd"/>
      <w:r w:rsidRPr="00FE15C7">
        <w:rPr>
          <w:rFonts w:ascii="Times New Roman" w:eastAsia="Times New Roman" w:hAnsi="Times New Roman" w:cs="Times New Roman"/>
          <w:color w:val="0F1115"/>
          <w:kern w:val="0"/>
          <w14:ligatures w14:val="none"/>
        </w:rPr>
        <w:t xml:space="preserve">, Équateur Province, Democratic Republic of the Congo, health challenges persist despite deployed educational interventions. This study analyzed perceptions and practices related to health education among adults attending health facilities in </w:t>
      </w:r>
      <w:proofErr w:type="spellStart"/>
      <w:r w:rsidRPr="00FE15C7">
        <w:rPr>
          <w:rFonts w:ascii="Times New Roman" w:eastAsia="Times New Roman" w:hAnsi="Times New Roman" w:cs="Times New Roman"/>
          <w:color w:val="0F1115"/>
          <w:kern w:val="0"/>
          <w14:ligatures w14:val="none"/>
        </w:rPr>
        <w:t>Mbandaka</w:t>
      </w:r>
      <w:proofErr w:type="spellEnd"/>
      <w:r w:rsidRPr="00FE15C7">
        <w:rPr>
          <w:rFonts w:ascii="Times New Roman" w:eastAsia="Times New Roman" w:hAnsi="Times New Roman" w:cs="Times New Roman"/>
          <w:color w:val="0F1115"/>
          <w:kern w:val="0"/>
          <w14:ligatures w14:val="none"/>
        </w:rPr>
        <w:t>.</w:t>
      </w:r>
    </w:p>
    <w:p w14:paraId="471ED420"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b/>
          <w:bCs/>
          <w:color w:val="0F1115"/>
          <w:kern w:val="0"/>
          <w14:ligatures w14:val="none"/>
        </w:rPr>
        <w:t>Methods:</w:t>
      </w:r>
      <w:r w:rsidRPr="00FE15C7">
        <w:rPr>
          <w:rFonts w:ascii="Times New Roman" w:eastAsia="Times New Roman" w:hAnsi="Times New Roman" w:cs="Times New Roman"/>
          <w:color w:val="0F1115"/>
          <w:kern w:val="0"/>
          <w14:ligatures w14:val="none"/>
        </w:rPr>
        <w:t xml:space="preserve"> A descriptive cross-sectional study was conducted with a sample of 100 participants recruited from health facilities in </w:t>
      </w:r>
      <w:proofErr w:type="spellStart"/>
      <w:r w:rsidRPr="00FE15C7">
        <w:rPr>
          <w:rFonts w:ascii="Times New Roman" w:eastAsia="Times New Roman" w:hAnsi="Times New Roman" w:cs="Times New Roman"/>
          <w:color w:val="0F1115"/>
          <w:kern w:val="0"/>
          <w14:ligatures w14:val="none"/>
        </w:rPr>
        <w:t>Mbandaka</w:t>
      </w:r>
      <w:proofErr w:type="spellEnd"/>
      <w:r w:rsidRPr="00FE15C7">
        <w:rPr>
          <w:rFonts w:ascii="Times New Roman" w:eastAsia="Times New Roman" w:hAnsi="Times New Roman" w:cs="Times New Roman"/>
          <w:color w:val="0F1115"/>
          <w:kern w:val="0"/>
          <w14:ligatures w14:val="none"/>
        </w:rPr>
        <w:t>. A structured questionnaire collected data on sociodemographic characteristics, conceptions of health education, information sources, participation in educational activities, reported behavioral changes, and perceived effective strategies. Data were analyzed using descriptive statistics and chi-square tests (significance threshold: α = 0.05).</w:t>
      </w:r>
    </w:p>
    <w:p w14:paraId="04BC9B9B"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b/>
          <w:bCs/>
          <w:color w:val="0F1115"/>
          <w:kern w:val="0"/>
          <w14:ligatures w14:val="none"/>
        </w:rPr>
        <w:t>Results:</w:t>
      </w:r>
      <w:r w:rsidRPr="00FE15C7">
        <w:rPr>
          <w:rFonts w:ascii="Times New Roman" w:eastAsia="Times New Roman" w:hAnsi="Times New Roman" w:cs="Times New Roman"/>
          <w:color w:val="0F1115"/>
          <w:kern w:val="0"/>
          <w14:ligatures w14:val="none"/>
        </w:rPr>
        <w:t xml:space="preserve"> The sample was predominantly female (80.0%) with a predominance of the 46–50 age group (32.0%). Health education was primarily conceived as "information and awareness" </w:t>
      </w:r>
      <w:r w:rsidRPr="00FE15C7">
        <w:rPr>
          <w:rFonts w:ascii="Times New Roman" w:eastAsia="Times New Roman" w:hAnsi="Times New Roman" w:cs="Times New Roman"/>
          <w:color w:val="0F1115"/>
          <w:kern w:val="0"/>
          <w14:ligatures w14:val="none"/>
        </w:rPr>
        <w:lastRenderedPageBreak/>
        <w:t xml:space="preserve">(48.0%), while 36.0% did not know its meaning. Information sources were mainly non-medical (school, media, friends: 84.0%), with only 16.0% from health professionals. Participation in educational activities was low (16.0%), mainly through antenatal care consultations. Despite this, 84.0% reported changing their behavior through health education, but only 32.0% maintained these changes consistently. Hygiene was the main health concern (64.0%), followed by malaria, cough, and sexually transmitted infections (36.0%). A highly significant association was found between age and behavioral change (χ² = 300.000 &gt; 31.41; </w:t>
      </w:r>
      <w:proofErr w:type="spellStart"/>
      <w:r w:rsidRPr="00FE15C7">
        <w:rPr>
          <w:rFonts w:ascii="Times New Roman" w:eastAsia="Times New Roman" w:hAnsi="Times New Roman" w:cs="Times New Roman"/>
          <w:color w:val="0F1115"/>
          <w:kern w:val="0"/>
          <w14:ligatures w14:val="none"/>
        </w:rPr>
        <w:t>df</w:t>
      </w:r>
      <w:proofErr w:type="spellEnd"/>
      <w:r w:rsidRPr="00FE15C7">
        <w:rPr>
          <w:rFonts w:ascii="Times New Roman" w:eastAsia="Times New Roman" w:hAnsi="Times New Roman" w:cs="Times New Roman"/>
          <w:color w:val="0F1115"/>
          <w:kern w:val="0"/>
          <w14:ligatures w14:val="none"/>
        </w:rPr>
        <w:t xml:space="preserve"> = 20; p &lt; 0.05), as well as a marked gendered division of health roles. "Awareness and training" </w:t>
      </w:r>
      <w:proofErr w:type="gramStart"/>
      <w:r w:rsidRPr="00FE15C7">
        <w:rPr>
          <w:rFonts w:ascii="Times New Roman" w:eastAsia="Times New Roman" w:hAnsi="Times New Roman" w:cs="Times New Roman"/>
          <w:color w:val="0F1115"/>
          <w:kern w:val="0"/>
          <w14:ligatures w14:val="none"/>
        </w:rPr>
        <w:t>was</w:t>
      </w:r>
      <w:proofErr w:type="gramEnd"/>
      <w:r w:rsidRPr="00FE15C7">
        <w:rPr>
          <w:rFonts w:ascii="Times New Roman" w:eastAsia="Times New Roman" w:hAnsi="Times New Roman" w:cs="Times New Roman"/>
          <w:color w:val="0F1115"/>
          <w:kern w:val="0"/>
          <w14:ligatures w14:val="none"/>
        </w:rPr>
        <w:t xml:space="preserve"> endorsed as a priority strategy (84.0%), with government support requested by 68.0%.</w:t>
      </w:r>
    </w:p>
    <w:p w14:paraId="52AA43D4"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b/>
          <w:bCs/>
          <w:color w:val="0F1115"/>
          <w:kern w:val="0"/>
          <w14:ligatures w14:val="none"/>
        </w:rPr>
        <w:t>Discussion:</w:t>
      </w:r>
      <w:r w:rsidRPr="00FE15C7">
        <w:rPr>
          <w:rFonts w:ascii="Times New Roman" w:eastAsia="Times New Roman" w:hAnsi="Times New Roman" w:cs="Times New Roman"/>
          <w:color w:val="0F1115"/>
          <w:kern w:val="0"/>
          <w14:ligatures w14:val="none"/>
        </w:rPr>
        <w:t> The predominance of the biomedical model (information) over the health promotion model (empowerment) reflects persistent traditional approaches. Low participation despite positive perception indicates an accessibility rather than acceptability problem. The gendered division of health roles corroborates local menstrual hygiene initiatives. The challenge of sustaining behavioral changes (68.0% non-constancy) is comparable to documented difficulties in community intervention sustainability.</w:t>
      </w:r>
    </w:p>
    <w:p w14:paraId="68F8F088"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b/>
          <w:bCs/>
          <w:color w:val="0F1115"/>
          <w:kern w:val="0"/>
          <w14:ligatures w14:val="none"/>
        </w:rPr>
        <w:t>Conclusion:</w:t>
      </w:r>
      <w:r w:rsidRPr="00FE15C7">
        <w:rPr>
          <w:rFonts w:ascii="Times New Roman" w:eastAsia="Times New Roman" w:hAnsi="Times New Roman" w:cs="Times New Roman"/>
          <w:color w:val="0F1115"/>
          <w:kern w:val="0"/>
          <w14:ligatures w14:val="none"/>
        </w:rPr>
        <w:t xml:space="preserve"> This study reveals a </w:t>
      </w:r>
      <w:proofErr w:type="spellStart"/>
      <w:r w:rsidRPr="00FE15C7">
        <w:rPr>
          <w:rFonts w:ascii="Times New Roman" w:eastAsia="Times New Roman" w:hAnsi="Times New Roman" w:cs="Times New Roman"/>
          <w:color w:val="0F1115"/>
          <w:kern w:val="0"/>
          <w14:ligatures w14:val="none"/>
        </w:rPr>
        <w:t>Mbandakan</w:t>
      </w:r>
      <w:proofErr w:type="spellEnd"/>
      <w:r w:rsidRPr="00FE15C7">
        <w:rPr>
          <w:rFonts w:ascii="Times New Roman" w:eastAsia="Times New Roman" w:hAnsi="Times New Roman" w:cs="Times New Roman"/>
          <w:color w:val="0F1115"/>
          <w:kern w:val="0"/>
          <w14:ligatures w14:val="none"/>
        </w:rPr>
        <w:t xml:space="preserve"> paradox: high trust capital in health education (perceived usefulness: 64.0%, positive impact: 84.0%, unanimous recommendation: 100.0%), but low effective coverage (participation: 16.0%) and fragility of behavioral changes (inconsistency: 68.0%). These findings argue for a conceptual evolution toward the health promotion model, diversification of communication channels, and establishment of sustainability mechanisms.</w:t>
      </w:r>
    </w:p>
    <w:p w14:paraId="31308D6A"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b/>
          <w:bCs/>
          <w:color w:val="0F1115"/>
          <w:kern w:val="0"/>
          <w14:ligatures w14:val="none"/>
        </w:rPr>
        <w:t>Keywords:</w:t>
      </w:r>
      <w:r w:rsidRPr="00FE15C7">
        <w:rPr>
          <w:rFonts w:ascii="Times New Roman" w:eastAsia="Times New Roman" w:hAnsi="Times New Roman" w:cs="Times New Roman"/>
          <w:color w:val="0F1115"/>
          <w:kern w:val="0"/>
          <w14:ligatures w14:val="none"/>
        </w:rPr>
        <w:t xml:space="preserve"> Health education, perceptions, practices, behavioral change, </w:t>
      </w:r>
      <w:proofErr w:type="spellStart"/>
      <w:r w:rsidRPr="00FE15C7">
        <w:rPr>
          <w:rFonts w:ascii="Times New Roman" w:eastAsia="Times New Roman" w:hAnsi="Times New Roman" w:cs="Times New Roman"/>
          <w:color w:val="0F1115"/>
          <w:kern w:val="0"/>
          <w14:ligatures w14:val="none"/>
        </w:rPr>
        <w:t>Mbandaka</w:t>
      </w:r>
      <w:proofErr w:type="spellEnd"/>
      <w:r w:rsidRPr="00FE15C7">
        <w:rPr>
          <w:rFonts w:ascii="Times New Roman" w:eastAsia="Times New Roman" w:hAnsi="Times New Roman" w:cs="Times New Roman"/>
          <w:color w:val="0F1115"/>
          <w:kern w:val="0"/>
          <w14:ligatures w14:val="none"/>
        </w:rPr>
        <w:t>, Democratic Republic of the Congo, nursing, public health, hygiene, social determinants.</w:t>
      </w:r>
    </w:p>
    <w:p w14:paraId="6073E27B" w14:textId="77777777" w:rsidR="00FE15C7" w:rsidRPr="00FE15C7" w:rsidRDefault="00FE15C7" w:rsidP="00FE15C7">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FE15C7">
        <w:rPr>
          <w:rFonts w:ascii="Times New Roman" w:eastAsia="Times New Roman" w:hAnsi="Times New Roman" w:cs="Times New Roman"/>
          <w:b/>
          <w:bCs/>
          <w:color w:val="0F1115"/>
          <w:kern w:val="0"/>
          <w:sz w:val="33"/>
          <w:szCs w:val="33"/>
          <w14:ligatures w14:val="none"/>
        </w:rPr>
        <w:t>1. Introduction</w:t>
      </w:r>
    </w:p>
    <w:p w14:paraId="58C4684A" w14:textId="77777777" w:rsidR="00FE15C7" w:rsidRPr="00FE15C7" w:rsidRDefault="00FE15C7" w:rsidP="00FE15C7">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FE15C7">
        <w:rPr>
          <w:rFonts w:ascii="Times New Roman" w:eastAsia="Times New Roman" w:hAnsi="Times New Roman" w:cs="Times New Roman"/>
          <w:b/>
          <w:bCs/>
          <w:color w:val="0F1115"/>
          <w:kern w:val="0"/>
          <w:sz w:val="30"/>
          <w:szCs w:val="30"/>
          <w14:ligatures w14:val="none"/>
        </w:rPr>
        <w:t>1.1. Background</w:t>
      </w:r>
    </w:p>
    <w:p w14:paraId="01E1D666"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lastRenderedPageBreak/>
        <w:t xml:space="preserve">Health education constitutes a fundamental pillar of contemporary nursing care and public health. According to the Ottawa Charter (World Health Organization [WHO], 1986), health promotion includes health education as one of its five essential components. The WHO (2021) defines health education as "a set of information and communication activities aimed at developing in individuals and </w:t>
      </w:r>
      <w:proofErr w:type="gramStart"/>
      <w:r w:rsidRPr="00FE15C7">
        <w:rPr>
          <w:rFonts w:ascii="Times New Roman" w:eastAsia="Times New Roman" w:hAnsi="Times New Roman" w:cs="Times New Roman"/>
          <w:color w:val="0F1115"/>
          <w:kern w:val="0"/>
          <w14:ligatures w14:val="none"/>
        </w:rPr>
        <w:t>communities</w:t>
      </w:r>
      <w:proofErr w:type="gramEnd"/>
      <w:r w:rsidRPr="00FE15C7">
        <w:rPr>
          <w:rFonts w:ascii="Times New Roman" w:eastAsia="Times New Roman" w:hAnsi="Times New Roman" w:cs="Times New Roman"/>
          <w:color w:val="0F1115"/>
          <w:kern w:val="0"/>
          <w14:ligatures w14:val="none"/>
        </w:rPr>
        <w:t xml:space="preserve"> health-promoting behaviors, by strengthening their knowledge and action capacities" (p. 15).</w:t>
      </w:r>
    </w:p>
    <w:p w14:paraId="4FEAAFAA"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Globally, structured educational programs have demonstrated effectiveness in various domains, including chronic disease management, infection prevention, and adoption of healthy lifestyles (</w:t>
      </w:r>
      <w:proofErr w:type="spellStart"/>
      <w:r w:rsidRPr="00FE15C7">
        <w:rPr>
          <w:rFonts w:ascii="Times New Roman" w:eastAsia="Times New Roman" w:hAnsi="Times New Roman" w:cs="Times New Roman"/>
          <w:color w:val="0F1115"/>
          <w:kern w:val="0"/>
          <w14:ligatures w14:val="none"/>
        </w:rPr>
        <w:t>Khajedaluee</w:t>
      </w:r>
      <w:proofErr w:type="spellEnd"/>
      <w:r w:rsidRPr="00FE15C7">
        <w:rPr>
          <w:rFonts w:ascii="Times New Roman" w:eastAsia="Times New Roman" w:hAnsi="Times New Roman" w:cs="Times New Roman"/>
          <w:color w:val="0F1115"/>
          <w:kern w:val="0"/>
          <w14:ligatures w14:val="none"/>
        </w:rPr>
        <w:t xml:space="preserve"> et al., 2023). However, the scientific literature increasingly highlights a persistent paradox: the gap between knowledge acquisition and effective, durable behavioral change. This observation is particularly marked in vulnerable contexts—whether social, economic, or geographic (Owens, 2022; Short et al., 2024).</w:t>
      </w:r>
    </w:p>
    <w:p w14:paraId="7961F7D4"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Theoretical models such as the Health Belief Model (Becker, 1974) and the Theory of Planned Behavior (Ajzen, 1991) offer useful frameworks for understanding determinants of health behaviors, emphasizing concepts such as perceived threat, evaluation of benefits and obstacles, and influence of social norms. However, these models—often developed in Western contexts—struggle to account for the complexity of realities in low- and middle-income countries, particularly in semi-urban areas of sub-Saharan Africa (Govender et al., 2021).</w:t>
      </w:r>
    </w:p>
    <w:p w14:paraId="3E6D8683" w14:textId="77777777" w:rsidR="00FE15C7" w:rsidRPr="00FE15C7" w:rsidRDefault="00FE15C7" w:rsidP="00FE15C7">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FE15C7">
        <w:rPr>
          <w:rFonts w:ascii="Times New Roman" w:eastAsia="Times New Roman" w:hAnsi="Times New Roman" w:cs="Times New Roman"/>
          <w:b/>
          <w:bCs/>
          <w:color w:val="0F1115"/>
          <w:kern w:val="0"/>
          <w:sz w:val="30"/>
          <w:szCs w:val="30"/>
          <w14:ligatures w14:val="none"/>
        </w:rPr>
        <w:t>1.2. Context of the Study</w:t>
      </w:r>
    </w:p>
    <w:p w14:paraId="0ACE2B3B"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 xml:space="preserve">In the Democratic Republic of the Congo (DRC), and particularly in cities like </w:t>
      </w:r>
      <w:proofErr w:type="spellStart"/>
      <w:r w:rsidRPr="00FE15C7">
        <w:rPr>
          <w:rFonts w:ascii="Times New Roman" w:eastAsia="Times New Roman" w:hAnsi="Times New Roman" w:cs="Times New Roman"/>
          <w:color w:val="0F1115"/>
          <w:kern w:val="0"/>
          <w14:ligatures w14:val="none"/>
        </w:rPr>
        <w:t>Mbandaka</w:t>
      </w:r>
      <w:proofErr w:type="spellEnd"/>
      <w:r w:rsidRPr="00FE15C7">
        <w:rPr>
          <w:rFonts w:ascii="Times New Roman" w:eastAsia="Times New Roman" w:hAnsi="Times New Roman" w:cs="Times New Roman"/>
          <w:color w:val="0F1115"/>
          <w:kern w:val="0"/>
          <w14:ligatures w14:val="none"/>
        </w:rPr>
        <w:t>, several contextual specificities influence health dynamics:</w:t>
      </w:r>
    </w:p>
    <w:p w14:paraId="225D2F88" w14:textId="77777777" w:rsidR="00FE15C7" w:rsidRPr="00FE15C7" w:rsidRDefault="00FE15C7" w:rsidP="00FE15C7">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b/>
          <w:bCs/>
          <w:color w:val="0F1115"/>
          <w:kern w:val="0"/>
          <w14:ligatures w14:val="none"/>
        </w:rPr>
        <w:t>Medical pluralism:</w:t>
      </w:r>
      <w:r w:rsidRPr="00FE15C7">
        <w:rPr>
          <w:rFonts w:ascii="Times New Roman" w:eastAsia="Times New Roman" w:hAnsi="Times New Roman" w:cs="Times New Roman"/>
          <w:color w:val="0F1115"/>
          <w:kern w:val="0"/>
          <w14:ligatures w14:val="none"/>
        </w:rPr>
        <w:t> Populations use both modern medicine (health facilities) and traditional medicine. Local representations of illness and health, often rooted in cultural or religious beliefs, may conflict with biomedical messages delivered during health education sessions (Ngalamulume, 2019).</w:t>
      </w:r>
    </w:p>
    <w:p w14:paraId="6BF5379D" w14:textId="77777777" w:rsidR="00FE15C7" w:rsidRPr="00FE15C7" w:rsidRDefault="00FE15C7" w:rsidP="00FE15C7">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b/>
          <w:bCs/>
          <w:color w:val="0F1115"/>
          <w:kern w:val="0"/>
          <w14:ligatures w14:val="none"/>
        </w:rPr>
        <w:t>Structural barriers:</w:t>
      </w:r>
      <w:r w:rsidRPr="00FE15C7">
        <w:rPr>
          <w:rFonts w:ascii="Times New Roman" w:eastAsia="Times New Roman" w:hAnsi="Times New Roman" w:cs="Times New Roman"/>
          <w:color w:val="0F1115"/>
          <w:kern w:val="0"/>
          <w14:ligatures w14:val="none"/>
        </w:rPr>
        <w:t xml:space="preserve"> Access to care is limited by geographic (remoteness of certain areas), economic (low purchasing power, direct and indirect costs of care), and </w:t>
      </w:r>
      <w:r w:rsidRPr="00FE15C7">
        <w:rPr>
          <w:rFonts w:ascii="Times New Roman" w:eastAsia="Times New Roman" w:hAnsi="Times New Roman" w:cs="Times New Roman"/>
          <w:color w:val="0F1115"/>
          <w:kern w:val="0"/>
          <w14:ligatures w14:val="none"/>
        </w:rPr>
        <w:lastRenderedPageBreak/>
        <w:t>organizational (under-equipment of facilities, staff turnover) constraints (</w:t>
      </w:r>
      <w:proofErr w:type="spellStart"/>
      <w:r w:rsidRPr="00FE15C7">
        <w:rPr>
          <w:rFonts w:ascii="Times New Roman" w:eastAsia="Times New Roman" w:hAnsi="Times New Roman" w:cs="Times New Roman"/>
          <w:color w:val="0F1115"/>
          <w:kern w:val="0"/>
          <w14:ligatures w14:val="none"/>
        </w:rPr>
        <w:t>Brundisini</w:t>
      </w:r>
      <w:proofErr w:type="spellEnd"/>
      <w:r w:rsidRPr="00FE15C7">
        <w:rPr>
          <w:rFonts w:ascii="Times New Roman" w:eastAsia="Times New Roman" w:hAnsi="Times New Roman" w:cs="Times New Roman"/>
          <w:color w:val="0F1115"/>
          <w:kern w:val="0"/>
          <w14:ligatures w14:val="none"/>
        </w:rPr>
        <w:t xml:space="preserve"> et al., 2013).</w:t>
      </w:r>
    </w:p>
    <w:p w14:paraId="39637F9E" w14:textId="77777777" w:rsidR="00FE15C7" w:rsidRPr="00FE15C7" w:rsidRDefault="00FE15C7" w:rsidP="00FE15C7">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b/>
          <w:bCs/>
          <w:color w:val="0F1115"/>
          <w:kern w:val="0"/>
          <w14:ligatures w14:val="none"/>
        </w:rPr>
        <w:t>Health literacy:</w:t>
      </w:r>
      <w:r w:rsidRPr="00FE15C7">
        <w:rPr>
          <w:rFonts w:ascii="Times New Roman" w:eastAsia="Times New Roman" w:hAnsi="Times New Roman" w:cs="Times New Roman"/>
          <w:color w:val="0F1115"/>
          <w:kern w:val="0"/>
          <w14:ligatures w14:val="none"/>
        </w:rPr>
        <w:t> In a context where formal education levels vary, the ability to understand, evaluate, and use health information to make informed decisions—health literacy—constitutes a major challenge (Short et al., 2024).</w:t>
      </w:r>
    </w:p>
    <w:p w14:paraId="3923945C"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 xml:space="preserve">In </w:t>
      </w:r>
      <w:proofErr w:type="spellStart"/>
      <w:r w:rsidRPr="00FE15C7">
        <w:rPr>
          <w:rFonts w:ascii="Times New Roman" w:eastAsia="Times New Roman" w:hAnsi="Times New Roman" w:cs="Times New Roman"/>
          <w:color w:val="0F1115"/>
          <w:kern w:val="0"/>
          <w14:ligatures w14:val="none"/>
        </w:rPr>
        <w:t>Mbandaka</w:t>
      </w:r>
      <w:proofErr w:type="spellEnd"/>
      <w:r w:rsidRPr="00FE15C7">
        <w:rPr>
          <w:rFonts w:ascii="Times New Roman" w:eastAsia="Times New Roman" w:hAnsi="Times New Roman" w:cs="Times New Roman"/>
          <w:color w:val="0F1115"/>
          <w:kern w:val="0"/>
          <w14:ligatures w14:val="none"/>
        </w:rPr>
        <w:t>, health facilities (hospitals, health centers, dispensaries) constitute the primary point of contact between modern medicine and the population. Nurses, as frontline providers, are key actors in health education. Yet their educational practice often faces multiple difficulties: lack of time, absence of specific pedagogical training, low availability of adapted materials, and sometimes, misunderstanding of patients' representations (Yim, 1998).</w:t>
      </w:r>
    </w:p>
    <w:p w14:paraId="24FF5D99" w14:textId="77777777" w:rsidR="00FE15C7" w:rsidRPr="00FE15C7" w:rsidRDefault="00FE15C7" w:rsidP="00FE15C7">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FE15C7">
        <w:rPr>
          <w:rFonts w:ascii="Times New Roman" w:eastAsia="Times New Roman" w:hAnsi="Times New Roman" w:cs="Times New Roman"/>
          <w:b/>
          <w:bCs/>
          <w:color w:val="0F1115"/>
          <w:kern w:val="0"/>
          <w:sz w:val="30"/>
          <w:szCs w:val="30"/>
          <w14:ligatures w14:val="none"/>
        </w:rPr>
        <w:t>1.3. Research Question and Objectives</w:t>
      </w:r>
    </w:p>
    <w:p w14:paraId="73B677B1"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b/>
          <w:bCs/>
          <w:color w:val="0F1115"/>
          <w:kern w:val="0"/>
          <w14:ligatures w14:val="none"/>
        </w:rPr>
        <w:t>Research question:</w:t>
      </w:r>
      <w:r w:rsidRPr="00FE15C7">
        <w:rPr>
          <w:rFonts w:ascii="Times New Roman" w:eastAsia="Times New Roman" w:hAnsi="Times New Roman" w:cs="Times New Roman"/>
          <w:color w:val="0F1115"/>
          <w:kern w:val="0"/>
          <w14:ligatures w14:val="none"/>
        </w:rPr>
        <w:t xml:space="preserve"> How do perceptions and practices related to health education influence behavioral change among adults in </w:t>
      </w:r>
      <w:proofErr w:type="spellStart"/>
      <w:r w:rsidRPr="00FE15C7">
        <w:rPr>
          <w:rFonts w:ascii="Times New Roman" w:eastAsia="Times New Roman" w:hAnsi="Times New Roman" w:cs="Times New Roman"/>
          <w:color w:val="0F1115"/>
          <w:kern w:val="0"/>
          <w14:ligatures w14:val="none"/>
        </w:rPr>
        <w:t>Mbandaka</w:t>
      </w:r>
      <w:proofErr w:type="spellEnd"/>
      <w:r w:rsidRPr="00FE15C7">
        <w:rPr>
          <w:rFonts w:ascii="Times New Roman" w:eastAsia="Times New Roman" w:hAnsi="Times New Roman" w:cs="Times New Roman"/>
          <w:color w:val="0F1115"/>
          <w:kern w:val="0"/>
          <w14:ligatures w14:val="none"/>
        </w:rPr>
        <w:t>, and what contextual strategies can be proposed to strengthen the effectiveness of educational interventions?</w:t>
      </w:r>
    </w:p>
    <w:p w14:paraId="3A1ABB96"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b/>
          <w:bCs/>
          <w:color w:val="0F1115"/>
          <w:kern w:val="0"/>
          <w14:ligatures w14:val="none"/>
        </w:rPr>
        <w:t>General objective:</w:t>
      </w:r>
      <w:r w:rsidRPr="00FE15C7">
        <w:rPr>
          <w:rFonts w:ascii="Times New Roman" w:eastAsia="Times New Roman" w:hAnsi="Times New Roman" w:cs="Times New Roman"/>
          <w:color w:val="0F1115"/>
          <w:kern w:val="0"/>
          <w14:ligatures w14:val="none"/>
        </w:rPr>
        <w:t xml:space="preserve"> To analyze health education strategies in </w:t>
      </w:r>
      <w:proofErr w:type="spellStart"/>
      <w:r w:rsidRPr="00FE15C7">
        <w:rPr>
          <w:rFonts w:ascii="Times New Roman" w:eastAsia="Times New Roman" w:hAnsi="Times New Roman" w:cs="Times New Roman"/>
          <w:color w:val="0F1115"/>
          <w:kern w:val="0"/>
          <w14:ligatures w14:val="none"/>
        </w:rPr>
        <w:t>Mbandaka</w:t>
      </w:r>
      <w:proofErr w:type="spellEnd"/>
      <w:r w:rsidRPr="00FE15C7">
        <w:rPr>
          <w:rFonts w:ascii="Times New Roman" w:eastAsia="Times New Roman" w:hAnsi="Times New Roman" w:cs="Times New Roman"/>
          <w:color w:val="0F1115"/>
          <w:kern w:val="0"/>
          <w14:ligatures w14:val="none"/>
        </w:rPr>
        <w:t xml:space="preserve"> by proposing a reinforcement model based on local contexts.</w:t>
      </w:r>
    </w:p>
    <w:p w14:paraId="2E9B2DC1"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b/>
          <w:bCs/>
          <w:color w:val="0F1115"/>
          <w:kern w:val="0"/>
          <w14:ligatures w14:val="none"/>
        </w:rPr>
        <w:t>Specific objectives:</w:t>
      </w:r>
    </w:p>
    <w:p w14:paraId="12370ACD" w14:textId="77777777" w:rsidR="00FE15C7" w:rsidRPr="00FE15C7" w:rsidRDefault="00FE15C7" w:rsidP="00FE15C7">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 xml:space="preserve">To assess knowledge levels and preferred information sources among </w:t>
      </w:r>
      <w:proofErr w:type="spellStart"/>
      <w:r w:rsidRPr="00FE15C7">
        <w:rPr>
          <w:rFonts w:ascii="Times New Roman" w:eastAsia="Times New Roman" w:hAnsi="Times New Roman" w:cs="Times New Roman"/>
          <w:color w:val="0F1115"/>
          <w:kern w:val="0"/>
          <w14:ligatures w14:val="none"/>
        </w:rPr>
        <w:t>Mbandaka</w:t>
      </w:r>
      <w:proofErr w:type="spellEnd"/>
      <w:r w:rsidRPr="00FE15C7">
        <w:rPr>
          <w:rFonts w:ascii="Times New Roman" w:eastAsia="Times New Roman" w:hAnsi="Times New Roman" w:cs="Times New Roman"/>
          <w:color w:val="0F1115"/>
          <w:kern w:val="0"/>
          <w14:ligatures w14:val="none"/>
        </w:rPr>
        <w:t xml:space="preserve"> residents.</w:t>
      </w:r>
    </w:p>
    <w:p w14:paraId="64A60B19" w14:textId="77777777" w:rsidR="00FE15C7" w:rsidRPr="00FE15C7" w:rsidRDefault="00FE15C7" w:rsidP="00FE15C7">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To identify factors associated with consistency of behavioral change after educational intervention.</w:t>
      </w:r>
    </w:p>
    <w:p w14:paraId="5104B9DD" w14:textId="77777777" w:rsidR="00FE15C7" w:rsidRPr="00FE15C7" w:rsidRDefault="00FE15C7" w:rsidP="00FE15C7">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To determine the influence of gender and education level on perception of health priorities.</w:t>
      </w:r>
    </w:p>
    <w:p w14:paraId="3D5B2FD2" w14:textId="77777777" w:rsidR="00FE15C7" w:rsidRPr="00FE15C7" w:rsidRDefault="00FE15C7" w:rsidP="00FE15C7">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To formulate operational recommendations for integrating health education transversally into nursing care.</w:t>
      </w:r>
    </w:p>
    <w:p w14:paraId="6E4671A3" w14:textId="77777777" w:rsidR="00FE15C7" w:rsidRPr="00FE15C7" w:rsidRDefault="00FE15C7" w:rsidP="00FE15C7">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FE15C7">
        <w:rPr>
          <w:rFonts w:ascii="Times New Roman" w:eastAsia="Times New Roman" w:hAnsi="Times New Roman" w:cs="Times New Roman"/>
          <w:b/>
          <w:bCs/>
          <w:color w:val="0F1115"/>
          <w:kern w:val="0"/>
          <w:sz w:val="30"/>
          <w:szCs w:val="30"/>
          <w14:ligatures w14:val="none"/>
        </w:rPr>
        <w:lastRenderedPageBreak/>
        <w:t>1.4. Hypotheses</w:t>
      </w:r>
    </w:p>
    <w:p w14:paraId="1F827F11" w14:textId="77777777" w:rsidR="00FE15C7" w:rsidRPr="00FE15C7" w:rsidRDefault="00FE15C7" w:rsidP="00FE15C7">
      <w:pPr>
        <w:numPr>
          <w:ilvl w:val="0"/>
          <w:numId w:val="3"/>
        </w:numPr>
        <w:shd w:val="clear" w:color="auto" w:fill="FFFFFF"/>
        <w:spacing w:after="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b/>
          <w:bCs/>
          <w:color w:val="0F1115"/>
          <w:kern w:val="0"/>
          <w14:ligatures w14:val="none"/>
        </w:rPr>
        <w:t>H1:</w:t>
      </w:r>
      <w:r w:rsidRPr="00FE15C7">
        <w:rPr>
          <w:rFonts w:ascii="Times New Roman" w:eastAsia="Times New Roman" w:hAnsi="Times New Roman" w:cs="Times New Roman"/>
          <w:color w:val="0F1115"/>
          <w:kern w:val="0"/>
          <w14:ligatures w14:val="none"/>
        </w:rPr>
        <w:t xml:space="preserve"> Perceptions of health education in </w:t>
      </w:r>
      <w:proofErr w:type="spellStart"/>
      <w:r w:rsidRPr="00FE15C7">
        <w:rPr>
          <w:rFonts w:ascii="Times New Roman" w:eastAsia="Times New Roman" w:hAnsi="Times New Roman" w:cs="Times New Roman"/>
          <w:color w:val="0F1115"/>
          <w:kern w:val="0"/>
          <w14:ligatures w14:val="none"/>
        </w:rPr>
        <w:t>Mbandaka</w:t>
      </w:r>
      <w:proofErr w:type="spellEnd"/>
      <w:r w:rsidRPr="00FE15C7">
        <w:rPr>
          <w:rFonts w:ascii="Times New Roman" w:eastAsia="Times New Roman" w:hAnsi="Times New Roman" w:cs="Times New Roman"/>
          <w:color w:val="0F1115"/>
          <w:kern w:val="0"/>
          <w14:ligatures w14:val="none"/>
        </w:rPr>
        <w:t xml:space="preserve"> are primarily associated with the biomedical model (information and awareness) rather than the health promotion model (empowerment).</w:t>
      </w:r>
    </w:p>
    <w:p w14:paraId="6C516499" w14:textId="77777777" w:rsidR="00FE15C7" w:rsidRPr="00FE15C7" w:rsidRDefault="00FE15C7" w:rsidP="00FE15C7">
      <w:pPr>
        <w:numPr>
          <w:ilvl w:val="0"/>
          <w:numId w:val="3"/>
        </w:numPr>
        <w:shd w:val="clear" w:color="auto" w:fill="FFFFFF"/>
        <w:spacing w:after="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b/>
          <w:bCs/>
          <w:color w:val="0F1115"/>
          <w:kern w:val="0"/>
          <w14:ligatures w14:val="none"/>
        </w:rPr>
        <w:t>H2:</w:t>
      </w:r>
      <w:r w:rsidRPr="00FE15C7">
        <w:rPr>
          <w:rFonts w:ascii="Times New Roman" w:eastAsia="Times New Roman" w:hAnsi="Times New Roman" w:cs="Times New Roman"/>
          <w:color w:val="0F1115"/>
          <w:kern w:val="0"/>
          <w14:ligatures w14:val="none"/>
        </w:rPr>
        <w:t> There is a significant gap between positive perception of health education and effective participation in educational activities.</w:t>
      </w:r>
    </w:p>
    <w:p w14:paraId="098D2EFB" w14:textId="77777777" w:rsidR="00FE15C7" w:rsidRPr="00FE15C7" w:rsidRDefault="00FE15C7" w:rsidP="00FE15C7">
      <w:pPr>
        <w:numPr>
          <w:ilvl w:val="0"/>
          <w:numId w:val="3"/>
        </w:numPr>
        <w:shd w:val="clear" w:color="auto" w:fill="FFFFFF"/>
        <w:spacing w:after="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b/>
          <w:bCs/>
          <w:color w:val="0F1115"/>
          <w:kern w:val="0"/>
          <w14:ligatures w14:val="none"/>
        </w:rPr>
        <w:t>H3:</w:t>
      </w:r>
      <w:r w:rsidRPr="00FE15C7">
        <w:rPr>
          <w:rFonts w:ascii="Times New Roman" w:eastAsia="Times New Roman" w:hAnsi="Times New Roman" w:cs="Times New Roman"/>
          <w:color w:val="0F1115"/>
          <w:kern w:val="0"/>
          <w14:ligatures w14:val="none"/>
        </w:rPr>
        <w:t> Health education has a positive impact on behavioral change, but these changes are difficult to sustain over time.</w:t>
      </w:r>
    </w:p>
    <w:p w14:paraId="08500E28" w14:textId="77777777" w:rsidR="00FE15C7" w:rsidRPr="00FE15C7" w:rsidRDefault="00FE15C7" w:rsidP="00FE15C7">
      <w:pPr>
        <w:numPr>
          <w:ilvl w:val="0"/>
          <w:numId w:val="3"/>
        </w:numPr>
        <w:shd w:val="clear" w:color="auto" w:fill="FFFFFF"/>
        <w:spacing w:after="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b/>
          <w:bCs/>
          <w:color w:val="0F1115"/>
          <w:kern w:val="0"/>
          <w14:ligatures w14:val="none"/>
        </w:rPr>
        <w:t>H4:</w:t>
      </w:r>
      <w:r w:rsidRPr="00FE15C7">
        <w:rPr>
          <w:rFonts w:ascii="Times New Roman" w:eastAsia="Times New Roman" w:hAnsi="Times New Roman" w:cs="Times New Roman"/>
          <w:color w:val="0F1115"/>
          <w:kern w:val="0"/>
          <w14:ligatures w14:val="none"/>
        </w:rPr>
        <w:t> Behavioral changes are associated with sociodemographic factors such as age and gender.</w:t>
      </w:r>
    </w:p>
    <w:p w14:paraId="023BC623" w14:textId="77777777" w:rsidR="00FE15C7" w:rsidRPr="00FE15C7" w:rsidRDefault="00FE15C7" w:rsidP="00FE15C7">
      <w:pPr>
        <w:numPr>
          <w:ilvl w:val="0"/>
          <w:numId w:val="3"/>
        </w:numPr>
        <w:shd w:val="clear" w:color="auto" w:fill="FFFFFF"/>
        <w:spacing w:after="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b/>
          <w:bCs/>
          <w:color w:val="0F1115"/>
          <w:kern w:val="0"/>
          <w14:ligatures w14:val="none"/>
        </w:rPr>
        <w:t>H5:</w:t>
      </w:r>
      <w:r w:rsidRPr="00FE15C7">
        <w:rPr>
          <w:rFonts w:ascii="Times New Roman" w:eastAsia="Times New Roman" w:hAnsi="Times New Roman" w:cs="Times New Roman"/>
          <w:color w:val="0F1115"/>
          <w:kern w:val="0"/>
          <w14:ligatures w14:val="none"/>
        </w:rPr>
        <w:t> There is no significant association between religious affiliation and perception of health education's usefulness.</w:t>
      </w:r>
    </w:p>
    <w:p w14:paraId="380BB92E" w14:textId="77777777" w:rsidR="00FE15C7" w:rsidRPr="00FE15C7" w:rsidRDefault="00FE15C7" w:rsidP="00FE15C7">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FE15C7">
        <w:rPr>
          <w:rFonts w:ascii="Times New Roman" w:eastAsia="Times New Roman" w:hAnsi="Times New Roman" w:cs="Times New Roman"/>
          <w:b/>
          <w:bCs/>
          <w:color w:val="0F1115"/>
          <w:kern w:val="0"/>
          <w:sz w:val="33"/>
          <w:szCs w:val="33"/>
          <w14:ligatures w14:val="none"/>
        </w:rPr>
        <w:t>2. Methods</w:t>
      </w:r>
    </w:p>
    <w:p w14:paraId="34CBF593" w14:textId="77777777" w:rsidR="00FE15C7" w:rsidRPr="00FE15C7" w:rsidRDefault="00FE15C7" w:rsidP="00FE15C7">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FE15C7">
        <w:rPr>
          <w:rFonts w:ascii="Times New Roman" w:eastAsia="Times New Roman" w:hAnsi="Times New Roman" w:cs="Times New Roman"/>
          <w:b/>
          <w:bCs/>
          <w:color w:val="0F1115"/>
          <w:kern w:val="0"/>
          <w:sz w:val="30"/>
          <w:szCs w:val="30"/>
          <w14:ligatures w14:val="none"/>
        </w:rPr>
        <w:t>2.1. Study Design and Setting</w:t>
      </w:r>
    </w:p>
    <w:p w14:paraId="0F98D668"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A </w:t>
      </w:r>
      <w:r w:rsidRPr="00FE15C7">
        <w:rPr>
          <w:rFonts w:ascii="Times New Roman" w:eastAsia="Times New Roman" w:hAnsi="Times New Roman" w:cs="Times New Roman"/>
          <w:b/>
          <w:bCs/>
          <w:color w:val="0F1115"/>
          <w:kern w:val="0"/>
          <w14:ligatures w14:val="none"/>
        </w:rPr>
        <w:t>descriptive cross-sectional study with analytical aims</w:t>
      </w:r>
      <w:r w:rsidRPr="00FE15C7">
        <w:rPr>
          <w:rFonts w:ascii="Times New Roman" w:eastAsia="Times New Roman" w:hAnsi="Times New Roman" w:cs="Times New Roman"/>
          <w:color w:val="0F1115"/>
          <w:kern w:val="0"/>
          <w14:ligatures w14:val="none"/>
        </w:rPr>
        <w:t xml:space="preserve"> was conducted in </w:t>
      </w:r>
      <w:proofErr w:type="spellStart"/>
      <w:r w:rsidRPr="00FE15C7">
        <w:rPr>
          <w:rFonts w:ascii="Times New Roman" w:eastAsia="Times New Roman" w:hAnsi="Times New Roman" w:cs="Times New Roman"/>
          <w:color w:val="0F1115"/>
          <w:kern w:val="0"/>
          <w14:ligatures w14:val="none"/>
        </w:rPr>
        <w:t>Mbandaka</w:t>
      </w:r>
      <w:proofErr w:type="spellEnd"/>
      <w:r w:rsidRPr="00FE15C7">
        <w:rPr>
          <w:rFonts w:ascii="Times New Roman" w:eastAsia="Times New Roman" w:hAnsi="Times New Roman" w:cs="Times New Roman"/>
          <w:color w:val="0F1115"/>
          <w:kern w:val="0"/>
          <w14:ligatures w14:val="none"/>
        </w:rPr>
        <w:t xml:space="preserve">, the capital of Équateur Province, Democratic Republic of </w:t>
      </w:r>
      <w:proofErr w:type="gramStart"/>
      <w:r w:rsidRPr="00FE15C7">
        <w:rPr>
          <w:rFonts w:ascii="Times New Roman" w:eastAsia="Times New Roman" w:hAnsi="Times New Roman" w:cs="Times New Roman"/>
          <w:color w:val="0F1115"/>
          <w:kern w:val="0"/>
          <w14:ligatures w14:val="none"/>
        </w:rPr>
        <w:t>the Congo</w:t>
      </w:r>
      <w:proofErr w:type="gramEnd"/>
      <w:r w:rsidRPr="00FE15C7">
        <w:rPr>
          <w:rFonts w:ascii="Times New Roman" w:eastAsia="Times New Roman" w:hAnsi="Times New Roman" w:cs="Times New Roman"/>
          <w:color w:val="0F1115"/>
          <w:kern w:val="0"/>
          <w14:ligatures w14:val="none"/>
        </w:rPr>
        <w:t xml:space="preserve">. The study took place from September 2024 to July 2025, with data collection occurring over a defined period within health facilities (CSR Mama Balako and HGR </w:t>
      </w:r>
      <w:proofErr w:type="spellStart"/>
      <w:r w:rsidRPr="00FE15C7">
        <w:rPr>
          <w:rFonts w:ascii="Times New Roman" w:eastAsia="Times New Roman" w:hAnsi="Times New Roman" w:cs="Times New Roman"/>
          <w:color w:val="0F1115"/>
          <w:kern w:val="0"/>
          <w14:ligatures w14:val="none"/>
        </w:rPr>
        <w:t>Wangata</w:t>
      </w:r>
      <w:proofErr w:type="spellEnd"/>
      <w:r w:rsidRPr="00FE15C7">
        <w:rPr>
          <w:rFonts w:ascii="Times New Roman" w:eastAsia="Times New Roman" w:hAnsi="Times New Roman" w:cs="Times New Roman"/>
          <w:color w:val="0F1115"/>
          <w:kern w:val="0"/>
          <w14:ligatures w14:val="none"/>
        </w:rPr>
        <w:t>) and community settings (markets, churches, peripheral neighborhoods).</w:t>
      </w:r>
    </w:p>
    <w:p w14:paraId="75660AA0" w14:textId="77777777" w:rsidR="00FE15C7" w:rsidRPr="00FE15C7" w:rsidRDefault="00FE15C7" w:rsidP="00FE15C7">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FE15C7">
        <w:rPr>
          <w:rFonts w:ascii="Times New Roman" w:eastAsia="Times New Roman" w:hAnsi="Times New Roman" w:cs="Times New Roman"/>
          <w:b/>
          <w:bCs/>
          <w:color w:val="0F1115"/>
          <w:kern w:val="0"/>
          <w:sz w:val="30"/>
          <w:szCs w:val="30"/>
          <w14:ligatures w14:val="none"/>
        </w:rPr>
        <w:t>2.2. Study Population and Sampling</w:t>
      </w:r>
    </w:p>
    <w:p w14:paraId="66B29AD4"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 xml:space="preserve">The target population comprised adults (men and women) residing in </w:t>
      </w:r>
      <w:proofErr w:type="spellStart"/>
      <w:r w:rsidRPr="00FE15C7">
        <w:rPr>
          <w:rFonts w:ascii="Times New Roman" w:eastAsia="Times New Roman" w:hAnsi="Times New Roman" w:cs="Times New Roman"/>
          <w:color w:val="0F1115"/>
          <w:kern w:val="0"/>
          <w14:ligatures w14:val="none"/>
        </w:rPr>
        <w:t>Mbandaka</w:t>
      </w:r>
      <w:proofErr w:type="spellEnd"/>
      <w:r w:rsidRPr="00FE15C7">
        <w:rPr>
          <w:rFonts w:ascii="Times New Roman" w:eastAsia="Times New Roman" w:hAnsi="Times New Roman" w:cs="Times New Roman"/>
          <w:color w:val="0F1115"/>
          <w:kern w:val="0"/>
          <w14:ligatures w14:val="none"/>
        </w:rPr>
        <w:t xml:space="preserve"> for at least six months. A </w:t>
      </w:r>
      <w:r w:rsidRPr="00FE15C7">
        <w:rPr>
          <w:rFonts w:ascii="Times New Roman" w:eastAsia="Times New Roman" w:hAnsi="Times New Roman" w:cs="Times New Roman"/>
          <w:b/>
          <w:bCs/>
          <w:color w:val="0F1115"/>
          <w:kern w:val="0"/>
          <w14:ligatures w14:val="none"/>
        </w:rPr>
        <w:t>convenience non-probability sampling</w:t>
      </w:r>
      <w:r w:rsidRPr="00FE15C7">
        <w:rPr>
          <w:rFonts w:ascii="Times New Roman" w:eastAsia="Times New Roman" w:hAnsi="Times New Roman" w:cs="Times New Roman"/>
          <w:color w:val="0F1115"/>
          <w:kern w:val="0"/>
          <w14:ligatures w14:val="none"/>
        </w:rPr>
        <w:t> method was used. The sample size was set at </w:t>
      </w:r>
      <w:r w:rsidRPr="00FE15C7">
        <w:rPr>
          <w:rFonts w:ascii="Times New Roman" w:eastAsia="Times New Roman" w:hAnsi="Times New Roman" w:cs="Times New Roman"/>
          <w:b/>
          <w:bCs/>
          <w:color w:val="0F1115"/>
          <w:kern w:val="0"/>
          <w14:ligatures w14:val="none"/>
        </w:rPr>
        <w:t>100 respondents</w:t>
      </w:r>
      <w:r w:rsidRPr="00FE15C7">
        <w:rPr>
          <w:rFonts w:ascii="Times New Roman" w:eastAsia="Times New Roman" w:hAnsi="Times New Roman" w:cs="Times New Roman"/>
          <w:color w:val="0F1115"/>
          <w:kern w:val="0"/>
          <w14:ligatures w14:val="none"/>
        </w:rPr>
        <w:t>, allowing for meaningful statistical analysis while respecting logistical constraints.</w:t>
      </w:r>
    </w:p>
    <w:p w14:paraId="6CEA96D9"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b/>
          <w:bCs/>
          <w:color w:val="0F1115"/>
          <w:kern w:val="0"/>
          <w14:ligatures w14:val="none"/>
        </w:rPr>
        <w:lastRenderedPageBreak/>
        <w:t>Inclusion criteria:</w:t>
      </w:r>
    </w:p>
    <w:p w14:paraId="7EA9E8E2" w14:textId="77777777" w:rsidR="00FE15C7" w:rsidRPr="00FE15C7" w:rsidRDefault="00FE15C7" w:rsidP="00FE15C7">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Age ≥ 18 years</w:t>
      </w:r>
    </w:p>
    <w:p w14:paraId="57580F13" w14:textId="77777777" w:rsidR="00FE15C7" w:rsidRPr="00FE15C7" w:rsidRDefault="00FE15C7" w:rsidP="00FE15C7">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 xml:space="preserve">Residency in </w:t>
      </w:r>
      <w:proofErr w:type="spellStart"/>
      <w:r w:rsidRPr="00FE15C7">
        <w:rPr>
          <w:rFonts w:ascii="Times New Roman" w:eastAsia="Times New Roman" w:hAnsi="Times New Roman" w:cs="Times New Roman"/>
          <w:color w:val="0F1115"/>
          <w:kern w:val="0"/>
          <w14:ligatures w14:val="none"/>
        </w:rPr>
        <w:t>Mbandaka</w:t>
      </w:r>
      <w:proofErr w:type="spellEnd"/>
    </w:p>
    <w:p w14:paraId="6847382C" w14:textId="77777777" w:rsidR="00FE15C7" w:rsidRPr="00FE15C7" w:rsidRDefault="00FE15C7" w:rsidP="00FE15C7">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Provision of informed consent</w:t>
      </w:r>
    </w:p>
    <w:p w14:paraId="0F42DBE2"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b/>
          <w:bCs/>
          <w:color w:val="0F1115"/>
          <w:kern w:val="0"/>
          <w14:ligatures w14:val="none"/>
        </w:rPr>
        <w:t>Exclusion criteria:</w:t>
      </w:r>
    </w:p>
    <w:p w14:paraId="12FA3629" w14:textId="77777777" w:rsidR="00FE15C7" w:rsidRPr="00FE15C7" w:rsidRDefault="00FE15C7" w:rsidP="00FE15C7">
      <w:pPr>
        <w:numPr>
          <w:ilvl w:val="0"/>
          <w:numId w:val="5"/>
        </w:numPr>
        <w:shd w:val="clear" w:color="auto" w:fill="FFFFFF"/>
        <w:spacing w:after="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Persons with cognitive disorders</w:t>
      </w:r>
    </w:p>
    <w:p w14:paraId="23FC7A32" w14:textId="77777777" w:rsidR="00FE15C7" w:rsidRPr="00FE15C7" w:rsidRDefault="00FE15C7" w:rsidP="00FE15C7">
      <w:pPr>
        <w:numPr>
          <w:ilvl w:val="0"/>
          <w:numId w:val="5"/>
        </w:numPr>
        <w:shd w:val="clear" w:color="auto" w:fill="FFFFFF"/>
        <w:spacing w:after="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Refusal to participate</w:t>
      </w:r>
    </w:p>
    <w:p w14:paraId="27E88597" w14:textId="77777777" w:rsidR="00FE15C7" w:rsidRPr="00FE15C7" w:rsidRDefault="00FE15C7" w:rsidP="00FE15C7">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FE15C7">
        <w:rPr>
          <w:rFonts w:ascii="Times New Roman" w:eastAsia="Times New Roman" w:hAnsi="Times New Roman" w:cs="Times New Roman"/>
          <w:b/>
          <w:bCs/>
          <w:color w:val="0F1115"/>
          <w:kern w:val="0"/>
          <w:sz w:val="30"/>
          <w:szCs w:val="30"/>
          <w14:ligatures w14:val="none"/>
        </w:rPr>
        <w:t>2.3. Data Collection Instruments and Procedures</w:t>
      </w:r>
    </w:p>
    <w:p w14:paraId="1E59B8E4"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A </w:t>
      </w:r>
      <w:r w:rsidRPr="00FE15C7">
        <w:rPr>
          <w:rFonts w:ascii="Times New Roman" w:eastAsia="Times New Roman" w:hAnsi="Times New Roman" w:cs="Times New Roman"/>
          <w:b/>
          <w:bCs/>
          <w:color w:val="0F1115"/>
          <w:kern w:val="0"/>
          <w14:ligatures w14:val="none"/>
        </w:rPr>
        <w:t>structured questionnaire</w:t>
      </w:r>
      <w:r w:rsidRPr="00FE15C7">
        <w:rPr>
          <w:rFonts w:ascii="Times New Roman" w:eastAsia="Times New Roman" w:hAnsi="Times New Roman" w:cs="Times New Roman"/>
          <w:color w:val="0F1115"/>
          <w:kern w:val="0"/>
          <w14:ligatures w14:val="none"/>
        </w:rPr>
        <w:t> was developed, comprising four sections:</w:t>
      </w:r>
    </w:p>
    <w:p w14:paraId="7316BDCB" w14:textId="77777777" w:rsidR="00FE15C7" w:rsidRPr="00FE15C7" w:rsidRDefault="00FE15C7" w:rsidP="00FE15C7">
      <w:pPr>
        <w:numPr>
          <w:ilvl w:val="0"/>
          <w:numId w:val="6"/>
        </w:numPr>
        <w:shd w:val="clear" w:color="auto" w:fill="FFFFFF"/>
        <w:spacing w:after="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Sociodemographic characteristics (age, sex, marital status, education level, religion, occupation)</w:t>
      </w:r>
    </w:p>
    <w:p w14:paraId="4A7C1313" w14:textId="77777777" w:rsidR="00FE15C7" w:rsidRPr="00FE15C7" w:rsidRDefault="00FE15C7" w:rsidP="00FE15C7">
      <w:pPr>
        <w:numPr>
          <w:ilvl w:val="0"/>
          <w:numId w:val="6"/>
        </w:numPr>
        <w:shd w:val="clear" w:color="auto" w:fill="FFFFFF"/>
        <w:spacing w:after="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Access to health information and sources</w:t>
      </w:r>
    </w:p>
    <w:p w14:paraId="14F4A32F" w14:textId="77777777" w:rsidR="00FE15C7" w:rsidRPr="00FE15C7" w:rsidRDefault="00FE15C7" w:rsidP="00FE15C7">
      <w:pPr>
        <w:numPr>
          <w:ilvl w:val="0"/>
          <w:numId w:val="6"/>
        </w:numPr>
        <w:shd w:val="clear" w:color="auto" w:fill="FFFFFF"/>
        <w:spacing w:after="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Perception of health education utility and participation in educational activities</w:t>
      </w:r>
    </w:p>
    <w:p w14:paraId="08250F67" w14:textId="77777777" w:rsidR="00FE15C7" w:rsidRPr="00FE15C7" w:rsidRDefault="00FE15C7" w:rsidP="00FE15C7">
      <w:pPr>
        <w:numPr>
          <w:ilvl w:val="0"/>
          <w:numId w:val="6"/>
        </w:numPr>
        <w:shd w:val="clear" w:color="auto" w:fill="FFFFFF"/>
        <w:spacing w:after="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Evaluation of behavioral changes, barriers, and perceived needs</w:t>
      </w:r>
    </w:p>
    <w:p w14:paraId="10CCA748"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The questionnaire was pretested on 10 individuals (not included in the final sample) to ensure clarity, particularly the translation of certain health concepts into </w:t>
      </w:r>
      <w:r w:rsidRPr="00FE15C7">
        <w:rPr>
          <w:rFonts w:ascii="Times New Roman" w:eastAsia="Times New Roman" w:hAnsi="Times New Roman" w:cs="Times New Roman"/>
          <w:b/>
          <w:bCs/>
          <w:color w:val="0F1115"/>
          <w:kern w:val="0"/>
          <w14:ligatures w14:val="none"/>
        </w:rPr>
        <w:t>Lingala</w:t>
      </w:r>
      <w:r w:rsidRPr="00FE15C7">
        <w:rPr>
          <w:rFonts w:ascii="Times New Roman" w:eastAsia="Times New Roman" w:hAnsi="Times New Roman" w:cs="Times New Roman"/>
          <w:color w:val="0F1115"/>
          <w:kern w:val="0"/>
          <w14:ligatures w14:val="none"/>
        </w:rPr>
        <w:t>, as suggested by respondents. Data were collected through structured interviews conducted by trained research assistants.</w:t>
      </w:r>
    </w:p>
    <w:p w14:paraId="163A25DD" w14:textId="77777777" w:rsidR="00FE15C7" w:rsidRPr="00FE15C7" w:rsidRDefault="00FE15C7" w:rsidP="00FE15C7">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FE15C7">
        <w:rPr>
          <w:rFonts w:ascii="Times New Roman" w:eastAsia="Times New Roman" w:hAnsi="Times New Roman" w:cs="Times New Roman"/>
          <w:b/>
          <w:bCs/>
          <w:color w:val="0F1115"/>
          <w:kern w:val="0"/>
          <w:sz w:val="30"/>
          <w:szCs w:val="30"/>
          <w14:ligatures w14:val="none"/>
        </w:rPr>
        <w:t>2.4. Variables</w:t>
      </w:r>
    </w:p>
    <w:p w14:paraId="4FCB454F"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b/>
          <w:bCs/>
          <w:color w:val="0F1115"/>
          <w:kern w:val="0"/>
          <w14:ligatures w14:val="none"/>
        </w:rPr>
        <w:t>Independent variables:</w:t>
      </w:r>
      <w:r w:rsidRPr="00FE15C7">
        <w:rPr>
          <w:rFonts w:ascii="Times New Roman" w:eastAsia="Times New Roman" w:hAnsi="Times New Roman" w:cs="Times New Roman"/>
          <w:color w:val="0F1115"/>
          <w:kern w:val="0"/>
          <w14:ligatures w14:val="none"/>
        </w:rPr>
        <w:t> Age, sex, education level, religion, occupation, marital status.</w:t>
      </w:r>
    </w:p>
    <w:p w14:paraId="442EC01D"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b/>
          <w:bCs/>
          <w:color w:val="0F1115"/>
          <w:kern w:val="0"/>
          <w14:ligatures w14:val="none"/>
        </w:rPr>
        <w:t>Dependent variables:</w:t>
      </w:r>
      <w:r w:rsidRPr="00FE15C7">
        <w:rPr>
          <w:rFonts w:ascii="Times New Roman" w:eastAsia="Times New Roman" w:hAnsi="Times New Roman" w:cs="Times New Roman"/>
          <w:color w:val="0F1115"/>
          <w:kern w:val="0"/>
          <w14:ligatures w14:val="none"/>
        </w:rPr>
        <w:t> Participation in health education activities, reported behavioral change, consistency of behavioral change.</w:t>
      </w:r>
    </w:p>
    <w:p w14:paraId="508CFF43"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b/>
          <w:bCs/>
          <w:color w:val="0F1115"/>
          <w:kern w:val="0"/>
          <w14:ligatures w14:val="none"/>
        </w:rPr>
        <w:lastRenderedPageBreak/>
        <w:t>Control variables:</w:t>
      </w:r>
      <w:r w:rsidRPr="00FE15C7">
        <w:rPr>
          <w:rFonts w:ascii="Times New Roman" w:eastAsia="Times New Roman" w:hAnsi="Times New Roman" w:cs="Times New Roman"/>
          <w:color w:val="0F1115"/>
          <w:kern w:val="0"/>
          <w14:ligatures w14:val="none"/>
        </w:rPr>
        <w:t> Sources of health information, perceived barriers to participation, perceived utility of health education.</w:t>
      </w:r>
    </w:p>
    <w:p w14:paraId="4C29884D" w14:textId="77777777" w:rsidR="00FE15C7" w:rsidRPr="00FE15C7" w:rsidRDefault="00FE15C7" w:rsidP="00FE15C7">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FE15C7">
        <w:rPr>
          <w:rFonts w:ascii="Times New Roman" w:eastAsia="Times New Roman" w:hAnsi="Times New Roman" w:cs="Times New Roman"/>
          <w:b/>
          <w:bCs/>
          <w:color w:val="0F1115"/>
          <w:kern w:val="0"/>
          <w:sz w:val="30"/>
          <w:szCs w:val="30"/>
          <w14:ligatures w14:val="none"/>
        </w:rPr>
        <w:t>2.5. Data Analysis</w:t>
      </w:r>
    </w:p>
    <w:p w14:paraId="705EDF71"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Data were entered into Microsoft Excel for cleaning and then transferred to </w:t>
      </w:r>
      <w:r w:rsidRPr="00FE15C7">
        <w:rPr>
          <w:rFonts w:ascii="Times New Roman" w:eastAsia="Times New Roman" w:hAnsi="Times New Roman" w:cs="Times New Roman"/>
          <w:b/>
          <w:bCs/>
          <w:color w:val="0F1115"/>
          <w:kern w:val="0"/>
          <w14:ligatures w14:val="none"/>
        </w:rPr>
        <w:t>SPSS version 25.0</w:t>
      </w:r>
      <w:r w:rsidRPr="00FE15C7">
        <w:rPr>
          <w:rFonts w:ascii="Times New Roman" w:eastAsia="Times New Roman" w:hAnsi="Times New Roman" w:cs="Times New Roman"/>
          <w:color w:val="0F1115"/>
          <w:kern w:val="0"/>
          <w14:ligatures w14:val="none"/>
        </w:rPr>
        <w:t> for analysis.</w:t>
      </w:r>
    </w:p>
    <w:p w14:paraId="02AEDA5B" w14:textId="77777777" w:rsidR="00FE15C7" w:rsidRPr="00FE15C7" w:rsidRDefault="00FE15C7" w:rsidP="00FE15C7">
      <w:pPr>
        <w:numPr>
          <w:ilvl w:val="0"/>
          <w:numId w:val="7"/>
        </w:numPr>
        <w:shd w:val="clear" w:color="auto" w:fill="FFFFFF"/>
        <w:spacing w:after="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b/>
          <w:bCs/>
          <w:color w:val="0F1115"/>
          <w:kern w:val="0"/>
          <w14:ligatures w14:val="none"/>
        </w:rPr>
        <w:t>Descriptive analysis:</w:t>
      </w:r>
      <w:r w:rsidRPr="00FE15C7">
        <w:rPr>
          <w:rFonts w:ascii="Times New Roman" w:eastAsia="Times New Roman" w:hAnsi="Times New Roman" w:cs="Times New Roman"/>
          <w:color w:val="0F1115"/>
          <w:kern w:val="0"/>
          <w14:ligatures w14:val="none"/>
        </w:rPr>
        <w:t> Frequencies and percentages were calculated for all variables (univariate analysis).</w:t>
      </w:r>
    </w:p>
    <w:p w14:paraId="08FB828B" w14:textId="77777777" w:rsidR="00FE15C7" w:rsidRPr="00FE15C7" w:rsidRDefault="00FE15C7" w:rsidP="00FE15C7">
      <w:pPr>
        <w:numPr>
          <w:ilvl w:val="0"/>
          <w:numId w:val="7"/>
        </w:numPr>
        <w:shd w:val="clear" w:color="auto" w:fill="FFFFFF"/>
        <w:spacing w:after="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b/>
          <w:bCs/>
          <w:color w:val="0F1115"/>
          <w:kern w:val="0"/>
          <w14:ligatures w14:val="none"/>
        </w:rPr>
        <w:t>Bivariate analysis:</w:t>
      </w:r>
      <w:r w:rsidRPr="00FE15C7">
        <w:rPr>
          <w:rFonts w:ascii="Times New Roman" w:eastAsia="Times New Roman" w:hAnsi="Times New Roman" w:cs="Times New Roman"/>
          <w:color w:val="0F1115"/>
          <w:kern w:val="0"/>
          <w14:ligatures w14:val="none"/>
        </w:rPr>
        <w:t> Chi-square tests (χ²) were used to test associations between variables. Statistical significance was set at α = 0.05. Degrees of freedom (</w:t>
      </w:r>
      <w:proofErr w:type="spellStart"/>
      <w:r w:rsidRPr="00FE15C7">
        <w:rPr>
          <w:rFonts w:ascii="Times New Roman" w:eastAsia="Times New Roman" w:hAnsi="Times New Roman" w:cs="Times New Roman"/>
          <w:color w:val="0F1115"/>
          <w:kern w:val="0"/>
          <w14:ligatures w14:val="none"/>
        </w:rPr>
        <w:t>df</w:t>
      </w:r>
      <w:proofErr w:type="spellEnd"/>
      <w:r w:rsidRPr="00FE15C7">
        <w:rPr>
          <w:rFonts w:ascii="Times New Roman" w:eastAsia="Times New Roman" w:hAnsi="Times New Roman" w:cs="Times New Roman"/>
          <w:color w:val="0F1115"/>
          <w:kern w:val="0"/>
          <w14:ligatures w14:val="none"/>
        </w:rPr>
        <w:t>) were calculated for each test. The decision rule was: if χ² calculated &gt; χ² tabulated, the relationship was considered statistically significant.</w:t>
      </w:r>
    </w:p>
    <w:p w14:paraId="33CBCBCA" w14:textId="77777777" w:rsidR="00FE15C7" w:rsidRPr="00FE15C7" w:rsidRDefault="00FE15C7" w:rsidP="00FE15C7">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FE15C7">
        <w:rPr>
          <w:rFonts w:ascii="Times New Roman" w:eastAsia="Times New Roman" w:hAnsi="Times New Roman" w:cs="Times New Roman"/>
          <w:b/>
          <w:bCs/>
          <w:color w:val="0F1115"/>
          <w:kern w:val="0"/>
          <w:sz w:val="30"/>
          <w:szCs w:val="30"/>
          <w14:ligatures w14:val="none"/>
        </w:rPr>
        <w:t>2.6. Ethical Considerations</w:t>
      </w:r>
    </w:p>
    <w:p w14:paraId="2C55E52F"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The study respected the principles of the Declaration of Helsinki:</w:t>
      </w:r>
    </w:p>
    <w:p w14:paraId="7645FA60" w14:textId="77777777" w:rsidR="00FE15C7" w:rsidRPr="00FE15C7" w:rsidRDefault="00FE15C7" w:rsidP="00FE15C7">
      <w:pPr>
        <w:numPr>
          <w:ilvl w:val="0"/>
          <w:numId w:val="8"/>
        </w:numPr>
        <w:shd w:val="clear" w:color="auto" w:fill="FFFFFF"/>
        <w:spacing w:after="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b/>
          <w:bCs/>
          <w:color w:val="0F1115"/>
          <w:kern w:val="0"/>
          <w14:ligatures w14:val="none"/>
        </w:rPr>
        <w:t>Informed consent:</w:t>
      </w:r>
      <w:r w:rsidRPr="00FE15C7">
        <w:rPr>
          <w:rFonts w:ascii="Times New Roman" w:eastAsia="Times New Roman" w:hAnsi="Times New Roman" w:cs="Times New Roman"/>
          <w:color w:val="0F1115"/>
          <w:kern w:val="0"/>
          <w14:ligatures w14:val="none"/>
        </w:rPr>
        <w:t> Written or verbal consent was obtained after explaining the study's purposes.</w:t>
      </w:r>
    </w:p>
    <w:p w14:paraId="75A32334" w14:textId="77777777" w:rsidR="00FE15C7" w:rsidRPr="00FE15C7" w:rsidRDefault="00FE15C7" w:rsidP="00FE15C7">
      <w:pPr>
        <w:numPr>
          <w:ilvl w:val="0"/>
          <w:numId w:val="8"/>
        </w:numPr>
        <w:shd w:val="clear" w:color="auto" w:fill="FFFFFF"/>
        <w:spacing w:after="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b/>
          <w:bCs/>
          <w:color w:val="0F1115"/>
          <w:kern w:val="0"/>
          <w14:ligatures w14:val="none"/>
        </w:rPr>
        <w:t>Anonymity:</w:t>
      </w:r>
      <w:r w:rsidRPr="00FE15C7">
        <w:rPr>
          <w:rFonts w:ascii="Times New Roman" w:eastAsia="Times New Roman" w:hAnsi="Times New Roman" w:cs="Times New Roman"/>
          <w:color w:val="0F1115"/>
          <w:kern w:val="0"/>
          <w14:ligatures w14:val="none"/>
        </w:rPr>
        <w:t> Numerical codes replaced participants' names.</w:t>
      </w:r>
    </w:p>
    <w:p w14:paraId="0E8A80BF" w14:textId="77777777" w:rsidR="00FE15C7" w:rsidRPr="00FE15C7" w:rsidRDefault="00FE15C7" w:rsidP="00FE15C7">
      <w:pPr>
        <w:numPr>
          <w:ilvl w:val="0"/>
          <w:numId w:val="8"/>
        </w:numPr>
        <w:shd w:val="clear" w:color="auto" w:fill="FFFFFF"/>
        <w:spacing w:after="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b/>
          <w:bCs/>
          <w:color w:val="0F1115"/>
          <w:kern w:val="0"/>
          <w14:ligatures w14:val="none"/>
        </w:rPr>
        <w:t>Beneficence:</w:t>
      </w:r>
      <w:r w:rsidRPr="00FE15C7">
        <w:rPr>
          <w:rFonts w:ascii="Times New Roman" w:eastAsia="Times New Roman" w:hAnsi="Times New Roman" w:cs="Times New Roman"/>
          <w:color w:val="0F1115"/>
          <w:kern w:val="0"/>
          <w14:ligatures w14:val="none"/>
        </w:rPr>
        <w:t> Participants were informed that they would receive free health orientation advice at the end of the interview if needed.</w:t>
      </w:r>
    </w:p>
    <w:p w14:paraId="7279E6CA" w14:textId="77777777" w:rsidR="00FE15C7" w:rsidRPr="00FE15C7" w:rsidRDefault="00FE15C7" w:rsidP="00FE15C7">
      <w:pPr>
        <w:numPr>
          <w:ilvl w:val="0"/>
          <w:numId w:val="8"/>
        </w:numPr>
        <w:shd w:val="clear" w:color="auto" w:fill="FFFFFF"/>
        <w:spacing w:after="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b/>
          <w:bCs/>
          <w:color w:val="0F1115"/>
          <w:kern w:val="0"/>
          <w14:ligatures w14:val="none"/>
        </w:rPr>
        <w:t>Institutional approval:</w:t>
      </w:r>
      <w:r w:rsidRPr="00FE15C7">
        <w:rPr>
          <w:rFonts w:ascii="Times New Roman" w:eastAsia="Times New Roman" w:hAnsi="Times New Roman" w:cs="Times New Roman"/>
          <w:color w:val="0F1115"/>
          <w:kern w:val="0"/>
          <w14:ligatures w14:val="none"/>
        </w:rPr>
        <w:t> Authorization was obtained from the relevant health facility authorities.</w:t>
      </w:r>
    </w:p>
    <w:p w14:paraId="61354C4F" w14:textId="77777777" w:rsidR="00FE15C7" w:rsidRPr="00FE15C7" w:rsidRDefault="00FE15C7" w:rsidP="00FE15C7">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FE15C7">
        <w:rPr>
          <w:rFonts w:ascii="Times New Roman" w:eastAsia="Times New Roman" w:hAnsi="Times New Roman" w:cs="Times New Roman"/>
          <w:b/>
          <w:bCs/>
          <w:color w:val="0F1115"/>
          <w:kern w:val="0"/>
          <w:sz w:val="33"/>
          <w:szCs w:val="33"/>
          <w14:ligatures w14:val="none"/>
        </w:rPr>
        <w:t>3. Results</w:t>
      </w:r>
    </w:p>
    <w:p w14:paraId="54BD57DA" w14:textId="77777777" w:rsidR="00FE15C7" w:rsidRPr="00FE15C7" w:rsidRDefault="00FE15C7" w:rsidP="00FE15C7">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FE15C7">
        <w:rPr>
          <w:rFonts w:ascii="Times New Roman" w:eastAsia="Times New Roman" w:hAnsi="Times New Roman" w:cs="Times New Roman"/>
          <w:b/>
          <w:bCs/>
          <w:color w:val="0F1115"/>
          <w:kern w:val="0"/>
          <w:sz w:val="30"/>
          <w:szCs w:val="30"/>
          <w14:ligatures w14:val="none"/>
        </w:rPr>
        <w:t>3.1. Sociodemographic Characteristics of Participants</w:t>
      </w:r>
    </w:p>
    <w:p w14:paraId="7EE02846"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lastRenderedPageBreak/>
        <w:t>A total of 100 participants were enrolled (response rate: 100%). Table 1 presents the sociodemographic profile.</w:t>
      </w:r>
    </w:p>
    <w:p w14:paraId="7875FCB6"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b/>
          <w:bCs/>
          <w:color w:val="0F1115"/>
          <w:kern w:val="0"/>
          <w14:ligatures w14:val="none"/>
        </w:rPr>
        <w:t>Table 1</w:t>
      </w:r>
      <w:r w:rsidRPr="00FE15C7">
        <w:rPr>
          <w:rFonts w:ascii="Times New Roman" w:eastAsia="Times New Roman" w:hAnsi="Times New Roman" w:cs="Times New Roman"/>
          <w:color w:val="0F1115"/>
          <w:kern w:val="0"/>
          <w14:ligatures w14:val="none"/>
        </w:rPr>
        <w:br/>
        <w:t>*Sociodemographic Characteristics of Participants (N = 100)*</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755"/>
        <w:gridCol w:w="2384"/>
        <w:gridCol w:w="710"/>
        <w:gridCol w:w="710"/>
      </w:tblGrid>
      <w:tr w:rsidR="00FE15C7" w:rsidRPr="00EF7A3A" w14:paraId="60A15A51" w14:textId="77777777" w:rsidTr="00EF7A3A">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616CD8E9" w14:textId="77777777" w:rsidR="00FE15C7" w:rsidRPr="00EF7A3A" w:rsidRDefault="00FE15C7" w:rsidP="00EF7A3A">
            <w:pPr>
              <w:spacing w:after="0" w:line="240" w:lineRule="auto"/>
              <w:jc w:val="center"/>
              <w:rPr>
                <w:rFonts w:ascii="Times New Roman" w:eastAsia="Times New Roman" w:hAnsi="Times New Roman" w:cs="Times New Roman"/>
                <w:b/>
                <w:bCs/>
                <w:kern w:val="0"/>
                <w:sz w:val="23"/>
                <w:szCs w:val="23"/>
                <w14:ligatures w14:val="none"/>
              </w:rPr>
            </w:pPr>
            <w:r w:rsidRPr="00EF7A3A">
              <w:rPr>
                <w:rFonts w:ascii="Times New Roman" w:eastAsia="Times New Roman" w:hAnsi="Times New Roman" w:cs="Times New Roman"/>
                <w:b/>
                <w:bCs/>
                <w:kern w:val="0"/>
                <w:sz w:val="23"/>
                <w:szCs w:val="23"/>
                <w14:ligatures w14:val="none"/>
              </w:rPr>
              <w:t>Characteristic</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27CA5A28" w14:textId="77777777" w:rsidR="00FE15C7" w:rsidRPr="00EF7A3A" w:rsidRDefault="00FE15C7" w:rsidP="00EF7A3A">
            <w:pPr>
              <w:spacing w:after="0" w:line="240" w:lineRule="auto"/>
              <w:jc w:val="center"/>
              <w:rPr>
                <w:rFonts w:ascii="Times New Roman" w:eastAsia="Times New Roman" w:hAnsi="Times New Roman" w:cs="Times New Roman"/>
                <w:b/>
                <w:bCs/>
                <w:kern w:val="0"/>
                <w:sz w:val="23"/>
                <w:szCs w:val="23"/>
                <w14:ligatures w14:val="none"/>
              </w:rPr>
            </w:pPr>
            <w:r w:rsidRPr="00EF7A3A">
              <w:rPr>
                <w:rFonts w:ascii="Times New Roman" w:eastAsia="Times New Roman" w:hAnsi="Times New Roman" w:cs="Times New Roman"/>
                <w:b/>
                <w:bCs/>
                <w:kern w:val="0"/>
                <w:sz w:val="23"/>
                <w:szCs w:val="23"/>
                <w14:ligatures w14:val="none"/>
              </w:rPr>
              <w:t>Category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18F17F82" w14:textId="77777777" w:rsidR="00FE15C7" w:rsidRPr="00EF7A3A" w:rsidRDefault="00FE15C7" w:rsidP="00EF7A3A">
            <w:pPr>
              <w:spacing w:after="0" w:line="240" w:lineRule="auto"/>
              <w:jc w:val="center"/>
              <w:rPr>
                <w:rFonts w:ascii="Times New Roman" w:eastAsia="Times New Roman" w:hAnsi="Times New Roman" w:cs="Times New Roman"/>
                <w:b/>
                <w:bCs/>
                <w:kern w:val="0"/>
                <w:sz w:val="23"/>
                <w:szCs w:val="23"/>
                <w14:ligatures w14:val="none"/>
              </w:rPr>
            </w:pPr>
            <w:r w:rsidRPr="00EF7A3A">
              <w:rPr>
                <w:rFonts w:ascii="Times New Roman" w:eastAsia="Times New Roman" w:hAnsi="Times New Roman" w:cs="Times New Roman"/>
                <w:b/>
                <w:bCs/>
                <w:kern w:val="0"/>
                <w:sz w:val="23"/>
                <w:szCs w:val="23"/>
                <w14:ligatures w14:val="none"/>
              </w:rPr>
              <w:t>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03B562F1" w14:textId="77777777" w:rsidR="00FE15C7" w:rsidRPr="00EF7A3A" w:rsidRDefault="00FE15C7" w:rsidP="00EF7A3A">
            <w:pPr>
              <w:spacing w:after="0" w:line="240" w:lineRule="auto"/>
              <w:jc w:val="center"/>
              <w:rPr>
                <w:rFonts w:ascii="Times New Roman" w:eastAsia="Times New Roman" w:hAnsi="Times New Roman" w:cs="Times New Roman"/>
                <w:b/>
                <w:bCs/>
                <w:kern w:val="0"/>
                <w:sz w:val="23"/>
                <w:szCs w:val="23"/>
                <w14:ligatures w14:val="none"/>
              </w:rPr>
            </w:pPr>
            <w:r w:rsidRPr="00EF7A3A">
              <w:rPr>
                <w:rFonts w:ascii="Times New Roman" w:eastAsia="Times New Roman" w:hAnsi="Times New Roman" w:cs="Times New Roman"/>
                <w:b/>
                <w:bCs/>
                <w:kern w:val="0"/>
                <w:sz w:val="23"/>
                <w:szCs w:val="23"/>
                <w14:ligatures w14:val="none"/>
              </w:rPr>
              <w:t>%</w:t>
            </w:r>
          </w:p>
        </w:tc>
      </w:tr>
      <w:tr w:rsidR="00FE15C7" w:rsidRPr="00FE15C7" w14:paraId="5212E659" w14:textId="77777777" w:rsidTr="00EF7A3A">
        <w:tc>
          <w:tcPr>
            <w:tcW w:w="0" w:type="auto"/>
            <w:tcBorders>
              <w:top w:val="single" w:sz="4" w:space="0" w:color="auto"/>
            </w:tcBorders>
            <w:tcMar>
              <w:top w:w="150" w:type="dxa"/>
              <w:left w:w="0" w:type="dxa"/>
              <w:bottom w:w="150" w:type="dxa"/>
              <w:right w:w="240" w:type="dxa"/>
            </w:tcMar>
            <w:vAlign w:val="center"/>
            <w:hideMark/>
          </w:tcPr>
          <w:p w14:paraId="2912BA0E"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b/>
                <w:bCs/>
                <w:kern w:val="0"/>
                <w:sz w:val="23"/>
                <w:szCs w:val="23"/>
                <w14:ligatures w14:val="none"/>
              </w:rPr>
              <w:t>Age group</w:t>
            </w:r>
          </w:p>
        </w:tc>
        <w:tc>
          <w:tcPr>
            <w:tcW w:w="0" w:type="auto"/>
            <w:tcBorders>
              <w:top w:val="single" w:sz="4" w:space="0" w:color="auto"/>
            </w:tcBorders>
            <w:tcMar>
              <w:top w:w="150" w:type="dxa"/>
              <w:left w:w="240" w:type="dxa"/>
              <w:bottom w:w="150" w:type="dxa"/>
              <w:right w:w="240" w:type="dxa"/>
            </w:tcMar>
            <w:vAlign w:val="center"/>
            <w:hideMark/>
          </w:tcPr>
          <w:p w14:paraId="4E7882C0"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18–25 years</w:t>
            </w:r>
          </w:p>
        </w:tc>
        <w:tc>
          <w:tcPr>
            <w:tcW w:w="0" w:type="auto"/>
            <w:tcBorders>
              <w:top w:val="single" w:sz="4" w:space="0" w:color="auto"/>
            </w:tcBorders>
            <w:tcMar>
              <w:top w:w="150" w:type="dxa"/>
              <w:left w:w="240" w:type="dxa"/>
              <w:bottom w:w="150" w:type="dxa"/>
              <w:right w:w="240" w:type="dxa"/>
            </w:tcMar>
            <w:vAlign w:val="center"/>
            <w:hideMark/>
          </w:tcPr>
          <w:p w14:paraId="003CED86"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8</w:t>
            </w:r>
          </w:p>
        </w:tc>
        <w:tc>
          <w:tcPr>
            <w:tcW w:w="0" w:type="auto"/>
            <w:tcBorders>
              <w:top w:val="single" w:sz="4" w:space="0" w:color="auto"/>
            </w:tcBorders>
            <w:tcMar>
              <w:top w:w="150" w:type="dxa"/>
              <w:left w:w="240" w:type="dxa"/>
              <w:bottom w:w="150" w:type="dxa"/>
              <w:right w:w="0" w:type="dxa"/>
            </w:tcMar>
            <w:vAlign w:val="center"/>
            <w:hideMark/>
          </w:tcPr>
          <w:p w14:paraId="3C70E521"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8.0</w:t>
            </w:r>
          </w:p>
        </w:tc>
      </w:tr>
      <w:tr w:rsidR="00FE15C7" w:rsidRPr="00FE15C7" w14:paraId="177ED443" w14:textId="77777777" w:rsidTr="00EF7A3A">
        <w:tc>
          <w:tcPr>
            <w:tcW w:w="0" w:type="auto"/>
            <w:tcMar>
              <w:top w:w="150" w:type="dxa"/>
              <w:left w:w="0" w:type="dxa"/>
              <w:bottom w:w="150" w:type="dxa"/>
              <w:right w:w="240" w:type="dxa"/>
            </w:tcMar>
            <w:vAlign w:val="center"/>
            <w:hideMark/>
          </w:tcPr>
          <w:p w14:paraId="3A1BD7DF"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5935634C"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26–35 years</w:t>
            </w:r>
          </w:p>
        </w:tc>
        <w:tc>
          <w:tcPr>
            <w:tcW w:w="0" w:type="auto"/>
            <w:tcMar>
              <w:top w:w="150" w:type="dxa"/>
              <w:left w:w="240" w:type="dxa"/>
              <w:bottom w:w="150" w:type="dxa"/>
              <w:right w:w="240" w:type="dxa"/>
            </w:tcMar>
            <w:vAlign w:val="center"/>
            <w:hideMark/>
          </w:tcPr>
          <w:p w14:paraId="702F39EA"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16</w:t>
            </w:r>
          </w:p>
        </w:tc>
        <w:tc>
          <w:tcPr>
            <w:tcW w:w="0" w:type="auto"/>
            <w:tcMar>
              <w:top w:w="150" w:type="dxa"/>
              <w:left w:w="240" w:type="dxa"/>
              <w:bottom w:w="150" w:type="dxa"/>
              <w:right w:w="0" w:type="dxa"/>
            </w:tcMar>
            <w:vAlign w:val="center"/>
            <w:hideMark/>
          </w:tcPr>
          <w:p w14:paraId="5ECDC802"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16.0</w:t>
            </w:r>
          </w:p>
        </w:tc>
      </w:tr>
      <w:tr w:rsidR="00FE15C7" w:rsidRPr="00FE15C7" w14:paraId="61A3F405" w14:textId="77777777" w:rsidTr="00EF7A3A">
        <w:tc>
          <w:tcPr>
            <w:tcW w:w="0" w:type="auto"/>
            <w:tcMar>
              <w:top w:w="150" w:type="dxa"/>
              <w:left w:w="0" w:type="dxa"/>
              <w:bottom w:w="150" w:type="dxa"/>
              <w:right w:w="240" w:type="dxa"/>
            </w:tcMar>
            <w:vAlign w:val="center"/>
            <w:hideMark/>
          </w:tcPr>
          <w:p w14:paraId="77A1D884"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16FC396A"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36–45 years</w:t>
            </w:r>
          </w:p>
        </w:tc>
        <w:tc>
          <w:tcPr>
            <w:tcW w:w="0" w:type="auto"/>
            <w:tcMar>
              <w:top w:w="150" w:type="dxa"/>
              <w:left w:w="240" w:type="dxa"/>
              <w:bottom w:w="150" w:type="dxa"/>
              <w:right w:w="240" w:type="dxa"/>
            </w:tcMar>
            <w:vAlign w:val="center"/>
            <w:hideMark/>
          </w:tcPr>
          <w:p w14:paraId="65335BEA"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22</w:t>
            </w:r>
          </w:p>
        </w:tc>
        <w:tc>
          <w:tcPr>
            <w:tcW w:w="0" w:type="auto"/>
            <w:tcMar>
              <w:top w:w="150" w:type="dxa"/>
              <w:left w:w="240" w:type="dxa"/>
              <w:bottom w:w="150" w:type="dxa"/>
              <w:right w:w="0" w:type="dxa"/>
            </w:tcMar>
            <w:vAlign w:val="center"/>
            <w:hideMark/>
          </w:tcPr>
          <w:p w14:paraId="7E5A19FD"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22.0</w:t>
            </w:r>
          </w:p>
        </w:tc>
      </w:tr>
      <w:tr w:rsidR="00FE15C7" w:rsidRPr="00FE15C7" w14:paraId="1FC09812" w14:textId="77777777" w:rsidTr="00EF7A3A">
        <w:tc>
          <w:tcPr>
            <w:tcW w:w="0" w:type="auto"/>
            <w:tcMar>
              <w:top w:w="150" w:type="dxa"/>
              <w:left w:w="0" w:type="dxa"/>
              <w:bottom w:w="150" w:type="dxa"/>
              <w:right w:w="240" w:type="dxa"/>
            </w:tcMar>
            <w:vAlign w:val="center"/>
            <w:hideMark/>
          </w:tcPr>
          <w:p w14:paraId="69D5606C"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39E0EBB2"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b/>
                <w:bCs/>
                <w:kern w:val="0"/>
                <w:sz w:val="23"/>
                <w:szCs w:val="23"/>
                <w14:ligatures w14:val="none"/>
              </w:rPr>
              <w:t>46–50 years</w:t>
            </w:r>
          </w:p>
        </w:tc>
        <w:tc>
          <w:tcPr>
            <w:tcW w:w="0" w:type="auto"/>
            <w:tcMar>
              <w:top w:w="150" w:type="dxa"/>
              <w:left w:w="240" w:type="dxa"/>
              <w:bottom w:w="150" w:type="dxa"/>
              <w:right w:w="240" w:type="dxa"/>
            </w:tcMar>
            <w:vAlign w:val="center"/>
            <w:hideMark/>
          </w:tcPr>
          <w:p w14:paraId="04BEEB0D"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b/>
                <w:bCs/>
                <w:kern w:val="0"/>
                <w:sz w:val="23"/>
                <w:szCs w:val="23"/>
                <w14:ligatures w14:val="none"/>
              </w:rPr>
              <w:t>32</w:t>
            </w:r>
          </w:p>
        </w:tc>
        <w:tc>
          <w:tcPr>
            <w:tcW w:w="0" w:type="auto"/>
            <w:tcMar>
              <w:top w:w="150" w:type="dxa"/>
              <w:left w:w="240" w:type="dxa"/>
              <w:bottom w:w="150" w:type="dxa"/>
              <w:right w:w="0" w:type="dxa"/>
            </w:tcMar>
            <w:vAlign w:val="center"/>
            <w:hideMark/>
          </w:tcPr>
          <w:p w14:paraId="2B4C0DF7"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b/>
                <w:bCs/>
                <w:kern w:val="0"/>
                <w:sz w:val="23"/>
                <w:szCs w:val="23"/>
                <w14:ligatures w14:val="none"/>
              </w:rPr>
              <w:t>32.0</w:t>
            </w:r>
          </w:p>
        </w:tc>
      </w:tr>
      <w:tr w:rsidR="00FE15C7" w:rsidRPr="00FE15C7" w14:paraId="4273CC4C" w14:textId="77777777" w:rsidTr="00EF7A3A">
        <w:tc>
          <w:tcPr>
            <w:tcW w:w="0" w:type="auto"/>
            <w:tcMar>
              <w:top w:w="150" w:type="dxa"/>
              <w:left w:w="0" w:type="dxa"/>
              <w:bottom w:w="150" w:type="dxa"/>
              <w:right w:w="240" w:type="dxa"/>
            </w:tcMar>
            <w:vAlign w:val="center"/>
            <w:hideMark/>
          </w:tcPr>
          <w:p w14:paraId="3A96AE20"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41A2D552"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51 years and above</w:t>
            </w:r>
          </w:p>
        </w:tc>
        <w:tc>
          <w:tcPr>
            <w:tcW w:w="0" w:type="auto"/>
            <w:tcMar>
              <w:top w:w="150" w:type="dxa"/>
              <w:left w:w="240" w:type="dxa"/>
              <w:bottom w:w="150" w:type="dxa"/>
              <w:right w:w="240" w:type="dxa"/>
            </w:tcMar>
            <w:vAlign w:val="center"/>
            <w:hideMark/>
          </w:tcPr>
          <w:p w14:paraId="1EDE8082"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22</w:t>
            </w:r>
          </w:p>
        </w:tc>
        <w:tc>
          <w:tcPr>
            <w:tcW w:w="0" w:type="auto"/>
            <w:tcMar>
              <w:top w:w="150" w:type="dxa"/>
              <w:left w:w="240" w:type="dxa"/>
              <w:bottom w:w="150" w:type="dxa"/>
              <w:right w:w="0" w:type="dxa"/>
            </w:tcMar>
            <w:vAlign w:val="center"/>
            <w:hideMark/>
          </w:tcPr>
          <w:p w14:paraId="58F4CD46"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22.0</w:t>
            </w:r>
          </w:p>
        </w:tc>
      </w:tr>
      <w:tr w:rsidR="00FE15C7" w:rsidRPr="00FE15C7" w14:paraId="064376B7" w14:textId="77777777" w:rsidTr="00EF7A3A">
        <w:tc>
          <w:tcPr>
            <w:tcW w:w="0" w:type="auto"/>
            <w:tcMar>
              <w:top w:w="150" w:type="dxa"/>
              <w:left w:w="0" w:type="dxa"/>
              <w:bottom w:w="150" w:type="dxa"/>
              <w:right w:w="240" w:type="dxa"/>
            </w:tcMar>
            <w:vAlign w:val="center"/>
            <w:hideMark/>
          </w:tcPr>
          <w:p w14:paraId="6F715F97"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b/>
                <w:bCs/>
                <w:kern w:val="0"/>
                <w:sz w:val="23"/>
                <w:szCs w:val="23"/>
                <w14:ligatures w14:val="none"/>
              </w:rPr>
              <w:t>Sex</w:t>
            </w:r>
          </w:p>
        </w:tc>
        <w:tc>
          <w:tcPr>
            <w:tcW w:w="0" w:type="auto"/>
            <w:tcMar>
              <w:top w:w="150" w:type="dxa"/>
              <w:left w:w="240" w:type="dxa"/>
              <w:bottom w:w="150" w:type="dxa"/>
              <w:right w:w="240" w:type="dxa"/>
            </w:tcMar>
            <w:vAlign w:val="center"/>
            <w:hideMark/>
          </w:tcPr>
          <w:p w14:paraId="6B6D17D8"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Male</w:t>
            </w:r>
          </w:p>
        </w:tc>
        <w:tc>
          <w:tcPr>
            <w:tcW w:w="0" w:type="auto"/>
            <w:tcMar>
              <w:top w:w="150" w:type="dxa"/>
              <w:left w:w="240" w:type="dxa"/>
              <w:bottom w:w="150" w:type="dxa"/>
              <w:right w:w="240" w:type="dxa"/>
            </w:tcMar>
            <w:vAlign w:val="center"/>
            <w:hideMark/>
          </w:tcPr>
          <w:p w14:paraId="53389A33"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20</w:t>
            </w:r>
          </w:p>
        </w:tc>
        <w:tc>
          <w:tcPr>
            <w:tcW w:w="0" w:type="auto"/>
            <w:tcMar>
              <w:top w:w="150" w:type="dxa"/>
              <w:left w:w="240" w:type="dxa"/>
              <w:bottom w:w="150" w:type="dxa"/>
              <w:right w:w="0" w:type="dxa"/>
            </w:tcMar>
            <w:vAlign w:val="center"/>
            <w:hideMark/>
          </w:tcPr>
          <w:p w14:paraId="3D80838C"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20.0</w:t>
            </w:r>
          </w:p>
        </w:tc>
      </w:tr>
      <w:tr w:rsidR="00FE15C7" w:rsidRPr="00FE15C7" w14:paraId="664088F7" w14:textId="77777777" w:rsidTr="00EF7A3A">
        <w:tc>
          <w:tcPr>
            <w:tcW w:w="0" w:type="auto"/>
            <w:tcMar>
              <w:top w:w="150" w:type="dxa"/>
              <w:left w:w="0" w:type="dxa"/>
              <w:bottom w:w="150" w:type="dxa"/>
              <w:right w:w="240" w:type="dxa"/>
            </w:tcMar>
            <w:vAlign w:val="center"/>
            <w:hideMark/>
          </w:tcPr>
          <w:p w14:paraId="652E10B0"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33431158"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b/>
                <w:bCs/>
                <w:kern w:val="0"/>
                <w:sz w:val="23"/>
                <w:szCs w:val="23"/>
                <w14:ligatures w14:val="none"/>
              </w:rPr>
              <w:t>Female</w:t>
            </w:r>
          </w:p>
        </w:tc>
        <w:tc>
          <w:tcPr>
            <w:tcW w:w="0" w:type="auto"/>
            <w:tcMar>
              <w:top w:w="150" w:type="dxa"/>
              <w:left w:w="240" w:type="dxa"/>
              <w:bottom w:w="150" w:type="dxa"/>
              <w:right w:w="240" w:type="dxa"/>
            </w:tcMar>
            <w:vAlign w:val="center"/>
            <w:hideMark/>
          </w:tcPr>
          <w:p w14:paraId="2EFD3BE7"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b/>
                <w:bCs/>
                <w:kern w:val="0"/>
                <w:sz w:val="23"/>
                <w:szCs w:val="23"/>
                <w14:ligatures w14:val="none"/>
              </w:rPr>
              <w:t>80</w:t>
            </w:r>
          </w:p>
        </w:tc>
        <w:tc>
          <w:tcPr>
            <w:tcW w:w="0" w:type="auto"/>
            <w:tcMar>
              <w:top w:w="150" w:type="dxa"/>
              <w:left w:w="240" w:type="dxa"/>
              <w:bottom w:w="150" w:type="dxa"/>
              <w:right w:w="0" w:type="dxa"/>
            </w:tcMar>
            <w:vAlign w:val="center"/>
            <w:hideMark/>
          </w:tcPr>
          <w:p w14:paraId="43EFEC14"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b/>
                <w:bCs/>
                <w:kern w:val="0"/>
                <w:sz w:val="23"/>
                <w:szCs w:val="23"/>
                <w14:ligatures w14:val="none"/>
              </w:rPr>
              <w:t>80.0</w:t>
            </w:r>
          </w:p>
        </w:tc>
      </w:tr>
      <w:tr w:rsidR="00FE15C7" w:rsidRPr="00FE15C7" w14:paraId="57497C28" w14:textId="77777777" w:rsidTr="00EF7A3A">
        <w:tc>
          <w:tcPr>
            <w:tcW w:w="0" w:type="auto"/>
            <w:tcMar>
              <w:top w:w="150" w:type="dxa"/>
              <w:left w:w="0" w:type="dxa"/>
              <w:bottom w:w="150" w:type="dxa"/>
              <w:right w:w="240" w:type="dxa"/>
            </w:tcMar>
            <w:vAlign w:val="center"/>
            <w:hideMark/>
          </w:tcPr>
          <w:p w14:paraId="54D3536E"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b/>
                <w:bCs/>
                <w:kern w:val="0"/>
                <w:sz w:val="23"/>
                <w:szCs w:val="23"/>
                <w14:ligatures w14:val="none"/>
              </w:rPr>
              <w:t>Marital status</w:t>
            </w:r>
          </w:p>
        </w:tc>
        <w:tc>
          <w:tcPr>
            <w:tcW w:w="0" w:type="auto"/>
            <w:tcMar>
              <w:top w:w="150" w:type="dxa"/>
              <w:left w:w="240" w:type="dxa"/>
              <w:bottom w:w="150" w:type="dxa"/>
              <w:right w:w="240" w:type="dxa"/>
            </w:tcMar>
            <w:vAlign w:val="center"/>
            <w:hideMark/>
          </w:tcPr>
          <w:p w14:paraId="4A348BC9"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Single</w:t>
            </w:r>
          </w:p>
        </w:tc>
        <w:tc>
          <w:tcPr>
            <w:tcW w:w="0" w:type="auto"/>
            <w:tcMar>
              <w:top w:w="150" w:type="dxa"/>
              <w:left w:w="240" w:type="dxa"/>
              <w:bottom w:w="150" w:type="dxa"/>
              <w:right w:w="240" w:type="dxa"/>
            </w:tcMar>
            <w:vAlign w:val="center"/>
            <w:hideMark/>
          </w:tcPr>
          <w:p w14:paraId="5CE37C47"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18</w:t>
            </w:r>
          </w:p>
        </w:tc>
        <w:tc>
          <w:tcPr>
            <w:tcW w:w="0" w:type="auto"/>
            <w:tcMar>
              <w:top w:w="150" w:type="dxa"/>
              <w:left w:w="240" w:type="dxa"/>
              <w:bottom w:w="150" w:type="dxa"/>
              <w:right w:w="0" w:type="dxa"/>
            </w:tcMar>
            <w:vAlign w:val="center"/>
            <w:hideMark/>
          </w:tcPr>
          <w:p w14:paraId="1E239CF7"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18.0</w:t>
            </w:r>
          </w:p>
        </w:tc>
      </w:tr>
      <w:tr w:rsidR="00FE15C7" w:rsidRPr="00FE15C7" w14:paraId="2132C0EB" w14:textId="77777777" w:rsidTr="00EF7A3A">
        <w:tc>
          <w:tcPr>
            <w:tcW w:w="0" w:type="auto"/>
            <w:tcMar>
              <w:top w:w="150" w:type="dxa"/>
              <w:left w:w="0" w:type="dxa"/>
              <w:bottom w:w="150" w:type="dxa"/>
              <w:right w:w="240" w:type="dxa"/>
            </w:tcMar>
            <w:vAlign w:val="center"/>
            <w:hideMark/>
          </w:tcPr>
          <w:p w14:paraId="392CEEDC"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0BD45015"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b/>
                <w:bCs/>
                <w:kern w:val="0"/>
                <w:sz w:val="23"/>
                <w:szCs w:val="23"/>
                <w14:ligatures w14:val="none"/>
              </w:rPr>
              <w:t>Married</w:t>
            </w:r>
          </w:p>
        </w:tc>
        <w:tc>
          <w:tcPr>
            <w:tcW w:w="0" w:type="auto"/>
            <w:tcMar>
              <w:top w:w="150" w:type="dxa"/>
              <w:left w:w="240" w:type="dxa"/>
              <w:bottom w:w="150" w:type="dxa"/>
              <w:right w:w="240" w:type="dxa"/>
            </w:tcMar>
            <w:vAlign w:val="center"/>
            <w:hideMark/>
          </w:tcPr>
          <w:p w14:paraId="6B10E727"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b/>
                <w:bCs/>
                <w:kern w:val="0"/>
                <w:sz w:val="23"/>
                <w:szCs w:val="23"/>
                <w14:ligatures w14:val="none"/>
              </w:rPr>
              <w:t>58</w:t>
            </w:r>
          </w:p>
        </w:tc>
        <w:tc>
          <w:tcPr>
            <w:tcW w:w="0" w:type="auto"/>
            <w:tcMar>
              <w:top w:w="150" w:type="dxa"/>
              <w:left w:w="240" w:type="dxa"/>
              <w:bottom w:w="150" w:type="dxa"/>
              <w:right w:w="0" w:type="dxa"/>
            </w:tcMar>
            <w:vAlign w:val="center"/>
            <w:hideMark/>
          </w:tcPr>
          <w:p w14:paraId="0280C5D9"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b/>
                <w:bCs/>
                <w:kern w:val="0"/>
                <w:sz w:val="23"/>
                <w:szCs w:val="23"/>
                <w14:ligatures w14:val="none"/>
              </w:rPr>
              <w:t>58.0</w:t>
            </w:r>
          </w:p>
        </w:tc>
      </w:tr>
      <w:tr w:rsidR="00FE15C7" w:rsidRPr="00FE15C7" w14:paraId="0FAF3FDF" w14:textId="77777777" w:rsidTr="00EF7A3A">
        <w:tc>
          <w:tcPr>
            <w:tcW w:w="0" w:type="auto"/>
            <w:tcMar>
              <w:top w:w="150" w:type="dxa"/>
              <w:left w:w="0" w:type="dxa"/>
              <w:bottom w:w="150" w:type="dxa"/>
              <w:right w:w="240" w:type="dxa"/>
            </w:tcMar>
            <w:vAlign w:val="center"/>
            <w:hideMark/>
          </w:tcPr>
          <w:p w14:paraId="331FBBDC"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6376B226"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Divorced</w:t>
            </w:r>
          </w:p>
        </w:tc>
        <w:tc>
          <w:tcPr>
            <w:tcW w:w="0" w:type="auto"/>
            <w:tcMar>
              <w:top w:w="150" w:type="dxa"/>
              <w:left w:w="240" w:type="dxa"/>
              <w:bottom w:w="150" w:type="dxa"/>
              <w:right w:w="240" w:type="dxa"/>
            </w:tcMar>
            <w:vAlign w:val="center"/>
            <w:hideMark/>
          </w:tcPr>
          <w:p w14:paraId="5B9D43BB"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8</w:t>
            </w:r>
          </w:p>
        </w:tc>
        <w:tc>
          <w:tcPr>
            <w:tcW w:w="0" w:type="auto"/>
            <w:tcMar>
              <w:top w:w="150" w:type="dxa"/>
              <w:left w:w="240" w:type="dxa"/>
              <w:bottom w:w="150" w:type="dxa"/>
              <w:right w:w="0" w:type="dxa"/>
            </w:tcMar>
            <w:vAlign w:val="center"/>
            <w:hideMark/>
          </w:tcPr>
          <w:p w14:paraId="3B3C344D"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8.0</w:t>
            </w:r>
          </w:p>
        </w:tc>
      </w:tr>
      <w:tr w:rsidR="00FE15C7" w:rsidRPr="00FE15C7" w14:paraId="40667C7C" w14:textId="77777777" w:rsidTr="00EF7A3A">
        <w:tc>
          <w:tcPr>
            <w:tcW w:w="0" w:type="auto"/>
            <w:tcMar>
              <w:top w:w="150" w:type="dxa"/>
              <w:left w:w="0" w:type="dxa"/>
              <w:bottom w:w="150" w:type="dxa"/>
              <w:right w:w="240" w:type="dxa"/>
            </w:tcMar>
            <w:vAlign w:val="center"/>
            <w:hideMark/>
          </w:tcPr>
          <w:p w14:paraId="513215F1"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0980A6C8"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Widowed</w:t>
            </w:r>
          </w:p>
        </w:tc>
        <w:tc>
          <w:tcPr>
            <w:tcW w:w="0" w:type="auto"/>
            <w:tcMar>
              <w:top w:w="150" w:type="dxa"/>
              <w:left w:w="240" w:type="dxa"/>
              <w:bottom w:w="150" w:type="dxa"/>
              <w:right w:w="240" w:type="dxa"/>
            </w:tcMar>
            <w:vAlign w:val="center"/>
            <w:hideMark/>
          </w:tcPr>
          <w:p w14:paraId="278AED2C"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16</w:t>
            </w:r>
          </w:p>
        </w:tc>
        <w:tc>
          <w:tcPr>
            <w:tcW w:w="0" w:type="auto"/>
            <w:tcMar>
              <w:top w:w="150" w:type="dxa"/>
              <w:left w:w="240" w:type="dxa"/>
              <w:bottom w:w="150" w:type="dxa"/>
              <w:right w:w="0" w:type="dxa"/>
            </w:tcMar>
            <w:vAlign w:val="center"/>
            <w:hideMark/>
          </w:tcPr>
          <w:p w14:paraId="17B97266"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16.0</w:t>
            </w:r>
          </w:p>
        </w:tc>
      </w:tr>
      <w:tr w:rsidR="00FE15C7" w:rsidRPr="00FE15C7" w14:paraId="44EF547F" w14:textId="77777777" w:rsidTr="00EF7A3A">
        <w:tc>
          <w:tcPr>
            <w:tcW w:w="0" w:type="auto"/>
            <w:tcMar>
              <w:top w:w="150" w:type="dxa"/>
              <w:left w:w="0" w:type="dxa"/>
              <w:bottom w:w="150" w:type="dxa"/>
              <w:right w:w="240" w:type="dxa"/>
            </w:tcMar>
            <w:vAlign w:val="center"/>
            <w:hideMark/>
          </w:tcPr>
          <w:p w14:paraId="36C27B30"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b/>
                <w:bCs/>
                <w:kern w:val="0"/>
                <w:sz w:val="23"/>
                <w:szCs w:val="23"/>
                <w14:ligatures w14:val="none"/>
              </w:rPr>
              <w:t>Education level</w:t>
            </w:r>
          </w:p>
        </w:tc>
        <w:tc>
          <w:tcPr>
            <w:tcW w:w="0" w:type="auto"/>
            <w:tcMar>
              <w:top w:w="150" w:type="dxa"/>
              <w:left w:w="240" w:type="dxa"/>
              <w:bottom w:w="150" w:type="dxa"/>
              <w:right w:w="240" w:type="dxa"/>
            </w:tcMar>
            <w:vAlign w:val="center"/>
            <w:hideMark/>
          </w:tcPr>
          <w:p w14:paraId="5DFCA79E"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No formal education</w:t>
            </w:r>
          </w:p>
        </w:tc>
        <w:tc>
          <w:tcPr>
            <w:tcW w:w="0" w:type="auto"/>
            <w:tcMar>
              <w:top w:w="150" w:type="dxa"/>
              <w:left w:w="240" w:type="dxa"/>
              <w:bottom w:w="150" w:type="dxa"/>
              <w:right w:w="240" w:type="dxa"/>
            </w:tcMar>
            <w:vAlign w:val="center"/>
            <w:hideMark/>
          </w:tcPr>
          <w:p w14:paraId="40B747AB"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12</w:t>
            </w:r>
          </w:p>
        </w:tc>
        <w:tc>
          <w:tcPr>
            <w:tcW w:w="0" w:type="auto"/>
            <w:tcMar>
              <w:top w:w="150" w:type="dxa"/>
              <w:left w:w="240" w:type="dxa"/>
              <w:bottom w:w="150" w:type="dxa"/>
              <w:right w:w="0" w:type="dxa"/>
            </w:tcMar>
            <w:vAlign w:val="center"/>
            <w:hideMark/>
          </w:tcPr>
          <w:p w14:paraId="52453AD8"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12.0</w:t>
            </w:r>
          </w:p>
        </w:tc>
      </w:tr>
      <w:tr w:rsidR="00FE15C7" w:rsidRPr="00FE15C7" w14:paraId="707B4F6A" w14:textId="77777777" w:rsidTr="00EF7A3A">
        <w:tc>
          <w:tcPr>
            <w:tcW w:w="0" w:type="auto"/>
            <w:tcMar>
              <w:top w:w="150" w:type="dxa"/>
              <w:left w:w="0" w:type="dxa"/>
              <w:bottom w:w="150" w:type="dxa"/>
              <w:right w:w="240" w:type="dxa"/>
            </w:tcMar>
            <w:vAlign w:val="center"/>
            <w:hideMark/>
          </w:tcPr>
          <w:p w14:paraId="2C8978C9"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30EB7908"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Primary</w:t>
            </w:r>
          </w:p>
        </w:tc>
        <w:tc>
          <w:tcPr>
            <w:tcW w:w="0" w:type="auto"/>
            <w:tcMar>
              <w:top w:w="150" w:type="dxa"/>
              <w:left w:w="240" w:type="dxa"/>
              <w:bottom w:w="150" w:type="dxa"/>
              <w:right w:w="240" w:type="dxa"/>
            </w:tcMar>
            <w:vAlign w:val="center"/>
            <w:hideMark/>
          </w:tcPr>
          <w:p w14:paraId="548F02B8"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28</w:t>
            </w:r>
          </w:p>
        </w:tc>
        <w:tc>
          <w:tcPr>
            <w:tcW w:w="0" w:type="auto"/>
            <w:tcMar>
              <w:top w:w="150" w:type="dxa"/>
              <w:left w:w="240" w:type="dxa"/>
              <w:bottom w:w="150" w:type="dxa"/>
              <w:right w:w="0" w:type="dxa"/>
            </w:tcMar>
            <w:vAlign w:val="center"/>
            <w:hideMark/>
          </w:tcPr>
          <w:p w14:paraId="0D682C61"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28.0</w:t>
            </w:r>
          </w:p>
        </w:tc>
      </w:tr>
      <w:tr w:rsidR="00FE15C7" w:rsidRPr="00FE15C7" w14:paraId="34CD5B47" w14:textId="77777777" w:rsidTr="00EF7A3A">
        <w:tc>
          <w:tcPr>
            <w:tcW w:w="0" w:type="auto"/>
            <w:tcMar>
              <w:top w:w="150" w:type="dxa"/>
              <w:left w:w="0" w:type="dxa"/>
              <w:bottom w:w="150" w:type="dxa"/>
              <w:right w:w="240" w:type="dxa"/>
            </w:tcMar>
            <w:vAlign w:val="center"/>
            <w:hideMark/>
          </w:tcPr>
          <w:p w14:paraId="45A28EF7"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08538482"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b/>
                <w:bCs/>
                <w:kern w:val="0"/>
                <w:sz w:val="23"/>
                <w:szCs w:val="23"/>
                <w14:ligatures w14:val="none"/>
              </w:rPr>
              <w:t>Secondary</w:t>
            </w:r>
          </w:p>
        </w:tc>
        <w:tc>
          <w:tcPr>
            <w:tcW w:w="0" w:type="auto"/>
            <w:tcMar>
              <w:top w:w="150" w:type="dxa"/>
              <w:left w:w="240" w:type="dxa"/>
              <w:bottom w:w="150" w:type="dxa"/>
              <w:right w:w="240" w:type="dxa"/>
            </w:tcMar>
            <w:vAlign w:val="center"/>
            <w:hideMark/>
          </w:tcPr>
          <w:p w14:paraId="070F1C7D"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b/>
                <w:bCs/>
                <w:kern w:val="0"/>
                <w:sz w:val="23"/>
                <w:szCs w:val="23"/>
                <w14:ligatures w14:val="none"/>
              </w:rPr>
              <w:t>42</w:t>
            </w:r>
          </w:p>
        </w:tc>
        <w:tc>
          <w:tcPr>
            <w:tcW w:w="0" w:type="auto"/>
            <w:tcMar>
              <w:top w:w="150" w:type="dxa"/>
              <w:left w:w="240" w:type="dxa"/>
              <w:bottom w:w="150" w:type="dxa"/>
              <w:right w:w="0" w:type="dxa"/>
            </w:tcMar>
            <w:vAlign w:val="center"/>
            <w:hideMark/>
          </w:tcPr>
          <w:p w14:paraId="69C48FCB"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b/>
                <w:bCs/>
                <w:kern w:val="0"/>
                <w:sz w:val="23"/>
                <w:szCs w:val="23"/>
                <w14:ligatures w14:val="none"/>
              </w:rPr>
              <w:t>42.0</w:t>
            </w:r>
          </w:p>
        </w:tc>
      </w:tr>
      <w:tr w:rsidR="00FE15C7" w:rsidRPr="00FE15C7" w14:paraId="71CE818D" w14:textId="77777777" w:rsidTr="00EF7A3A">
        <w:tc>
          <w:tcPr>
            <w:tcW w:w="0" w:type="auto"/>
            <w:tcMar>
              <w:top w:w="150" w:type="dxa"/>
              <w:left w:w="0" w:type="dxa"/>
              <w:bottom w:w="150" w:type="dxa"/>
              <w:right w:w="240" w:type="dxa"/>
            </w:tcMar>
            <w:vAlign w:val="center"/>
            <w:hideMark/>
          </w:tcPr>
          <w:p w14:paraId="45338849"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65003C06"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Higher/University</w:t>
            </w:r>
          </w:p>
        </w:tc>
        <w:tc>
          <w:tcPr>
            <w:tcW w:w="0" w:type="auto"/>
            <w:tcMar>
              <w:top w:w="150" w:type="dxa"/>
              <w:left w:w="240" w:type="dxa"/>
              <w:bottom w:w="150" w:type="dxa"/>
              <w:right w:w="240" w:type="dxa"/>
            </w:tcMar>
            <w:vAlign w:val="center"/>
            <w:hideMark/>
          </w:tcPr>
          <w:p w14:paraId="550B9469"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18</w:t>
            </w:r>
          </w:p>
        </w:tc>
        <w:tc>
          <w:tcPr>
            <w:tcW w:w="0" w:type="auto"/>
            <w:tcMar>
              <w:top w:w="150" w:type="dxa"/>
              <w:left w:w="240" w:type="dxa"/>
              <w:bottom w:w="150" w:type="dxa"/>
              <w:right w:w="0" w:type="dxa"/>
            </w:tcMar>
            <w:vAlign w:val="center"/>
            <w:hideMark/>
          </w:tcPr>
          <w:p w14:paraId="38495F01"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18.0</w:t>
            </w:r>
          </w:p>
        </w:tc>
      </w:tr>
      <w:tr w:rsidR="00FE15C7" w:rsidRPr="00FE15C7" w14:paraId="0A73DC35" w14:textId="77777777" w:rsidTr="00EF7A3A">
        <w:tc>
          <w:tcPr>
            <w:tcW w:w="0" w:type="auto"/>
            <w:tcMar>
              <w:top w:w="150" w:type="dxa"/>
              <w:left w:w="0" w:type="dxa"/>
              <w:bottom w:w="150" w:type="dxa"/>
              <w:right w:w="240" w:type="dxa"/>
            </w:tcMar>
            <w:vAlign w:val="center"/>
            <w:hideMark/>
          </w:tcPr>
          <w:p w14:paraId="1A4CF669"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b/>
                <w:bCs/>
                <w:kern w:val="0"/>
                <w:sz w:val="23"/>
                <w:szCs w:val="23"/>
                <w14:ligatures w14:val="none"/>
              </w:rPr>
              <w:t>Religion</w:t>
            </w:r>
          </w:p>
        </w:tc>
        <w:tc>
          <w:tcPr>
            <w:tcW w:w="0" w:type="auto"/>
            <w:tcMar>
              <w:top w:w="150" w:type="dxa"/>
              <w:left w:w="240" w:type="dxa"/>
              <w:bottom w:w="150" w:type="dxa"/>
              <w:right w:w="240" w:type="dxa"/>
            </w:tcMar>
            <w:vAlign w:val="center"/>
            <w:hideMark/>
          </w:tcPr>
          <w:p w14:paraId="1595DB1C"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Catholic</w:t>
            </w:r>
          </w:p>
        </w:tc>
        <w:tc>
          <w:tcPr>
            <w:tcW w:w="0" w:type="auto"/>
            <w:tcMar>
              <w:top w:w="150" w:type="dxa"/>
              <w:left w:w="240" w:type="dxa"/>
              <w:bottom w:w="150" w:type="dxa"/>
              <w:right w:w="240" w:type="dxa"/>
            </w:tcMar>
            <w:vAlign w:val="center"/>
            <w:hideMark/>
          </w:tcPr>
          <w:p w14:paraId="31038728"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42</w:t>
            </w:r>
          </w:p>
        </w:tc>
        <w:tc>
          <w:tcPr>
            <w:tcW w:w="0" w:type="auto"/>
            <w:tcMar>
              <w:top w:w="150" w:type="dxa"/>
              <w:left w:w="240" w:type="dxa"/>
              <w:bottom w:w="150" w:type="dxa"/>
              <w:right w:w="0" w:type="dxa"/>
            </w:tcMar>
            <w:vAlign w:val="center"/>
            <w:hideMark/>
          </w:tcPr>
          <w:p w14:paraId="6F64D608"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42.0</w:t>
            </w:r>
          </w:p>
        </w:tc>
      </w:tr>
      <w:tr w:rsidR="00FE15C7" w:rsidRPr="00FE15C7" w14:paraId="4557D108" w14:textId="77777777" w:rsidTr="00EF7A3A">
        <w:tc>
          <w:tcPr>
            <w:tcW w:w="0" w:type="auto"/>
            <w:tcMar>
              <w:top w:w="150" w:type="dxa"/>
              <w:left w:w="0" w:type="dxa"/>
              <w:bottom w:w="150" w:type="dxa"/>
              <w:right w:w="240" w:type="dxa"/>
            </w:tcMar>
            <w:vAlign w:val="center"/>
            <w:hideMark/>
          </w:tcPr>
          <w:p w14:paraId="19D394EE"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6505205C"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Protestant</w:t>
            </w:r>
          </w:p>
        </w:tc>
        <w:tc>
          <w:tcPr>
            <w:tcW w:w="0" w:type="auto"/>
            <w:tcMar>
              <w:top w:w="150" w:type="dxa"/>
              <w:left w:w="240" w:type="dxa"/>
              <w:bottom w:w="150" w:type="dxa"/>
              <w:right w:w="240" w:type="dxa"/>
            </w:tcMar>
            <w:vAlign w:val="center"/>
            <w:hideMark/>
          </w:tcPr>
          <w:p w14:paraId="10B76894"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38</w:t>
            </w:r>
          </w:p>
        </w:tc>
        <w:tc>
          <w:tcPr>
            <w:tcW w:w="0" w:type="auto"/>
            <w:tcMar>
              <w:top w:w="150" w:type="dxa"/>
              <w:left w:w="240" w:type="dxa"/>
              <w:bottom w:w="150" w:type="dxa"/>
              <w:right w:w="0" w:type="dxa"/>
            </w:tcMar>
            <w:vAlign w:val="center"/>
            <w:hideMark/>
          </w:tcPr>
          <w:p w14:paraId="6733B29B"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38.0</w:t>
            </w:r>
          </w:p>
        </w:tc>
      </w:tr>
      <w:tr w:rsidR="00FE15C7" w:rsidRPr="00FE15C7" w14:paraId="27B8C2AF" w14:textId="77777777" w:rsidTr="00EF7A3A">
        <w:tc>
          <w:tcPr>
            <w:tcW w:w="0" w:type="auto"/>
            <w:tcMar>
              <w:top w:w="150" w:type="dxa"/>
              <w:left w:w="0" w:type="dxa"/>
              <w:bottom w:w="150" w:type="dxa"/>
              <w:right w:w="240" w:type="dxa"/>
            </w:tcMar>
            <w:vAlign w:val="center"/>
            <w:hideMark/>
          </w:tcPr>
          <w:p w14:paraId="54FAE8E3"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38C52328"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proofErr w:type="spellStart"/>
            <w:r w:rsidRPr="00FE15C7">
              <w:rPr>
                <w:rFonts w:ascii="Times New Roman" w:eastAsia="Times New Roman" w:hAnsi="Times New Roman" w:cs="Times New Roman"/>
                <w:kern w:val="0"/>
                <w:sz w:val="23"/>
                <w:szCs w:val="23"/>
                <w14:ligatures w14:val="none"/>
              </w:rPr>
              <w:t>Kimbanguist</w:t>
            </w:r>
            <w:proofErr w:type="spellEnd"/>
          </w:p>
        </w:tc>
        <w:tc>
          <w:tcPr>
            <w:tcW w:w="0" w:type="auto"/>
            <w:tcMar>
              <w:top w:w="150" w:type="dxa"/>
              <w:left w:w="240" w:type="dxa"/>
              <w:bottom w:w="150" w:type="dxa"/>
              <w:right w:w="240" w:type="dxa"/>
            </w:tcMar>
            <w:vAlign w:val="center"/>
            <w:hideMark/>
          </w:tcPr>
          <w:p w14:paraId="7DE29570"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8</w:t>
            </w:r>
          </w:p>
        </w:tc>
        <w:tc>
          <w:tcPr>
            <w:tcW w:w="0" w:type="auto"/>
            <w:tcMar>
              <w:top w:w="150" w:type="dxa"/>
              <w:left w:w="240" w:type="dxa"/>
              <w:bottom w:w="150" w:type="dxa"/>
              <w:right w:w="0" w:type="dxa"/>
            </w:tcMar>
            <w:vAlign w:val="center"/>
            <w:hideMark/>
          </w:tcPr>
          <w:p w14:paraId="788BD6B4"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8.0</w:t>
            </w:r>
          </w:p>
        </w:tc>
      </w:tr>
      <w:tr w:rsidR="00FE15C7" w:rsidRPr="00FE15C7" w14:paraId="0D411240" w14:textId="77777777" w:rsidTr="00EF7A3A">
        <w:tc>
          <w:tcPr>
            <w:tcW w:w="0" w:type="auto"/>
            <w:tcMar>
              <w:top w:w="150" w:type="dxa"/>
              <w:left w:w="0" w:type="dxa"/>
              <w:bottom w:w="150" w:type="dxa"/>
              <w:right w:w="240" w:type="dxa"/>
            </w:tcMar>
            <w:vAlign w:val="center"/>
            <w:hideMark/>
          </w:tcPr>
          <w:p w14:paraId="761180D3"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188802E9"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Muslim/Other</w:t>
            </w:r>
          </w:p>
        </w:tc>
        <w:tc>
          <w:tcPr>
            <w:tcW w:w="0" w:type="auto"/>
            <w:tcMar>
              <w:top w:w="150" w:type="dxa"/>
              <w:left w:w="240" w:type="dxa"/>
              <w:bottom w:w="150" w:type="dxa"/>
              <w:right w:w="240" w:type="dxa"/>
            </w:tcMar>
            <w:vAlign w:val="center"/>
            <w:hideMark/>
          </w:tcPr>
          <w:p w14:paraId="34E45978"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12</w:t>
            </w:r>
          </w:p>
        </w:tc>
        <w:tc>
          <w:tcPr>
            <w:tcW w:w="0" w:type="auto"/>
            <w:tcMar>
              <w:top w:w="150" w:type="dxa"/>
              <w:left w:w="240" w:type="dxa"/>
              <w:bottom w:w="150" w:type="dxa"/>
              <w:right w:w="0" w:type="dxa"/>
            </w:tcMar>
            <w:vAlign w:val="center"/>
            <w:hideMark/>
          </w:tcPr>
          <w:p w14:paraId="37492C9B"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12.0</w:t>
            </w:r>
          </w:p>
        </w:tc>
      </w:tr>
      <w:tr w:rsidR="00FE15C7" w:rsidRPr="00FE15C7" w14:paraId="75772190" w14:textId="77777777" w:rsidTr="00EF7A3A">
        <w:tc>
          <w:tcPr>
            <w:tcW w:w="0" w:type="auto"/>
            <w:tcMar>
              <w:top w:w="150" w:type="dxa"/>
              <w:left w:w="0" w:type="dxa"/>
              <w:bottom w:w="150" w:type="dxa"/>
              <w:right w:w="240" w:type="dxa"/>
            </w:tcMar>
            <w:vAlign w:val="center"/>
            <w:hideMark/>
          </w:tcPr>
          <w:p w14:paraId="1465CFDC"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b/>
                <w:bCs/>
                <w:kern w:val="0"/>
                <w:sz w:val="23"/>
                <w:szCs w:val="23"/>
                <w14:ligatures w14:val="none"/>
              </w:rPr>
              <w:t>Occupation</w:t>
            </w:r>
          </w:p>
        </w:tc>
        <w:tc>
          <w:tcPr>
            <w:tcW w:w="0" w:type="auto"/>
            <w:tcMar>
              <w:top w:w="150" w:type="dxa"/>
              <w:left w:w="240" w:type="dxa"/>
              <w:bottom w:w="150" w:type="dxa"/>
              <w:right w:w="240" w:type="dxa"/>
            </w:tcMar>
            <w:vAlign w:val="center"/>
            <w:hideMark/>
          </w:tcPr>
          <w:p w14:paraId="20E3DDA7"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Housewife</w:t>
            </w:r>
          </w:p>
        </w:tc>
        <w:tc>
          <w:tcPr>
            <w:tcW w:w="0" w:type="auto"/>
            <w:tcMar>
              <w:top w:w="150" w:type="dxa"/>
              <w:left w:w="240" w:type="dxa"/>
              <w:bottom w:w="150" w:type="dxa"/>
              <w:right w:w="240" w:type="dxa"/>
            </w:tcMar>
            <w:vAlign w:val="center"/>
            <w:hideMark/>
          </w:tcPr>
          <w:p w14:paraId="60BB0205"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34</w:t>
            </w:r>
          </w:p>
        </w:tc>
        <w:tc>
          <w:tcPr>
            <w:tcW w:w="0" w:type="auto"/>
            <w:tcMar>
              <w:top w:w="150" w:type="dxa"/>
              <w:left w:w="240" w:type="dxa"/>
              <w:bottom w:w="150" w:type="dxa"/>
              <w:right w:w="0" w:type="dxa"/>
            </w:tcMar>
            <w:vAlign w:val="center"/>
            <w:hideMark/>
          </w:tcPr>
          <w:p w14:paraId="0149560F"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34.0</w:t>
            </w:r>
          </w:p>
        </w:tc>
      </w:tr>
      <w:tr w:rsidR="00FE15C7" w:rsidRPr="00FE15C7" w14:paraId="7FB71181" w14:textId="77777777" w:rsidTr="00EF7A3A">
        <w:tc>
          <w:tcPr>
            <w:tcW w:w="0" w:type="auto"/>
            <w:tcMar>
              <w:top w:w="150" w:type="dxa"/>
              <w:left w:w="0" w:type="dxa"/>
              <w:bottom w:w="150" w:type="dxa"/>
              <w:right w:w="240" w:type="dxa"/>
            </w:tcMar>
            <w:vAlign w:val="center"/>
            <w:hideMark/>
          </w:tcPr>
          <w:p w14:paraId="764F8048"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62F92FD5"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Trader</w:t>
            </w:r>
          </w:p>
        </w:tc>
        <w:tc>
          <w:tcPr>
            <w:tcW w:w="0" w:type="auto"/>
            <w:tcMar>
              <w:top w:w="150" w:type="dxa"/>
              <w:left w:w="240" w:type="dxa"/>
              <w:bottom w:w="150" w:type="dxa"/>
              <w:right w:w="240" w:type="dxa"/>
            </w:tcMar>
            <w:vAlign w:val="center"/>
            <w:hideMark/>
          </w:tcPr>
          <w:p w14:paraId="0CACEAF4"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22</w:t>
            </w:r>
          </w:p>
        </w:tc>
        <w:tc>
          <w:tcPr>
            <w:tcW w:w="0" w:type="auto"/>
            <w:tcMar>
              <w:top w:w="150" w:type="dxa"/>
              <w:left w:w="240" w:type="dxa"/>
              <w:bottom w:w="150" w:type="dxa"/>
              <w:right w:w="0" w:type="dxa"/>
            </w:tcMar>
            <w:vAlign w:val="center"/>
            <w:hideMark/>
          </w:tcPr>
          <w:p w14:paraId="60BE4DAF"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22.0</w:t>
            </w:r>
          </w:p>
        </w:tc>
      </w:tr>
      <w:tr w:rsidR="00FE15C7" w:rsidRPr="00FE15C7" w14:paraId="1C2610C7" w14:textId="77777777" w:rsidTr="00EF7A3A">
        <w:tc>
          <w:tcPr>
            <w:tcW w:w="0" w:type="auto"/>
            <w:tcMar>
              <w:top w:w="150" w:type="dxa"/>
              <w:left w:w="0" w:type="dxa"/>
              <w:bottom w:w="150" w:type="dxa"/>
              <w:right w:w="240" w:type="dxa"/>
            </w:tcMar>
            <w:vAlign w:val="center"/>
            <w:hideMark/>
          </w:tcPr>
          <w:p w14:paraId="2D278763"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6081AEAA"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Civil servant</w:t>
            </w:r>
          </w:p>
        </w:tc>
        <w:tc>
          <w:tcPr>
            <w:tcW w:w="0" w:type="auto"/>
            <w:tcMar>
              <w:top w:w="150" w:type="dxa"/>
              <w:left w:w="240" w:type="dxa"/>
              <w:bottom w:w="150" w:type="dxa"/>
              <w:right w:w="240" w:type="dxa"/>
            </w:tcMar>
            <w:vAlign w:val="center"/>
            <w:hideMark/>
          </w:tcPr>
          <w:p w14:paraId="6A169775"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16</w:t>
            </w:r>
          </w:p>
        </w:tc>
        <w:tc>
          <w:tcPr>
            <w:tcW w:w="0" w:type="auto"/>
            <w:tcMar>
              <w:top w:w="150" w:type="dxa"/>
              <w:left w:w="240" w:type="dxa"/>
              <w:bottom w:w="150" w:type="dxa"/>
              <w:right w:w="0" w:type="dxa"/>
            </w:tcMar>
            <w:vAlign w:val="center"/>
            <w:hideMark/>
          </w:tcPr>
          <w:p w14:paraId="7FBD4C53"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16.0</w:t>
            </w:r>
          </w:p>
        </w:tc>
      </w:tr>
      <w:tr w:rsidR="00FE15C7" w:rsidRPr="00FE15C7" w14:paraId="0E16849B" w14:textId="77777777" w:rsidTr="00EF7A3A">
        <w:tc>
          <w:tcPr>
            <w:tcW w:w="0" w:type="auto"/>
            <w:tcMar>
              <w:top w:w="150" w:type="dxa"/>
              <w:left w:w="0" w:type="dxa"/>
              <w:bottom w:w="150" w:type="dxa"/>
              <w:right w:w="240" w:type="dxa"/>
            </w:tcMar>
            <w:vAlign w:val="center"/>
            <w:hideMark/>
          </w:tcPr>
          <w:p w14:paraId="7B5E6919"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6FF2D6DF"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Farmer</w:t>
            </w:r>
          </w:p>
        </w:tc>
        <w:tc>
          <w:tcPr>
            <w:tcW w:w="0" w:type="auto"/>
            <w:tcMar>
              <w:top w:w="150" w:type="dxa"/>
              <w:left w:w="240" w:type="dxa"/>
              <w:bottom w:w="150" w:type="dxa"/>
              <w:right w:w="240" w:type="dxa"/>
            </w:tcMar>
            <w:vAlign w:val="center"/>
            <w:hideMark/>
          </w:tcPr>
          <w:p w14:paraId="522A0D57"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12</w:t>
            </w:r>
          </w:p>
        </w:tc>
        <w:tc>
          <w:tcPr>
            <w:tcW w:w="0" w:type="auto"/>
            <w:tcMar>
              <w:top w:w="150" w:type="dxa"/>
              <w:left w:w="240" w:type="dxa"/>
              <w:bottom w:w="150" w:type="dxa"/>
              <w:right w:w="0" w:type="dxa"/>
            </w:tcMar>
            <w:vAlign w:val="center"/>
            <w:hideMark/>
          </w:tcPr>
          <w:p w14:paraId="324EA4D6"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12.0</w:t>
            </w:r>
          </w:p>
        </w:tc>
      </w:tr>
      <w:tr w:rsidR="00FE15C7" w:rsidRPr="00FE15C7" w14:paraId="6CEDE08C" w14:textId="77777777" w:rsidTr="00EF7A3A">
        <w:tc>
          <w:tcPr>
            <w:tcW w:w="0" w:type="auto"/>
            <w:tcMar>
              <w:top w:w="150" w:type="dxa"/>
              <w:left w:w="0" w:type="dxa"/>
              <w:bottom w:w="150" w:type="dxa"/>
              <w:right w:w="240" w:type="dxa"/>
            </w:tcMar>
            <w:vAlign w:val="center"/>
            <w:hideMark/>
          </w:tcPr>
          <w:p w14:paraId="10E9E024"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77487089"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Student/Pupil</w:t>
            </w:r>
          </w:p>
        </w:tc>
        <w:tc>
          <w:tcPr>
            <w:tcW w:w="0" w:type="auto"/>
            <w:tcMar>
              <w:top w:w="150" w:type="dxa"/>
              <w:left w:w="240" w:type="dxa"/>
              <w:bottom w:w="150" w:type="dxa"/>
              <w:right w:w="240" w:type="dxa"/>
            </w:tcMar>
            <w:vAlign w:val="center"/>
            <w:hideMark/>
          </w:tcPr>
          <w:p w14:paraId="31121F19"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8</w:t>
            </w:r>
          </w:p>
        </w:tc>
        <w:tc>
          <w:tcPr>
            <w:tcW w:w="0" w:type="auto"/>
            <w:tcMar>
              <w:top w:w="150" w:type="dxa"/>
              <w:left w:w="240" w:type="dxa"/>
              <w:bottom w:w="150" w:type="dxa"/>
              <w:right w:w="0" w:type="dxa"/>
            </w:tcMar>
            <w:vAlign w:val="center"/>
            <w:hideMark/>
          </w:tcPr>
          <w:p w14:paraId="1F3FC824"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8.0</w:t>
            </w:r>
          </w:p>
        </w:tc>
      </w:tr>
      <w:tr w:rsidR="00FE15C7" w:rsidRPr="00FE15C7" w14:paraId="7187D39B" w14:textId="77777777" w:rsidTr="00EF7A3A">
        <w:tc>
          <w:tcPr>
            <w:tcW w:w="0" w:type="auto"/>
            <w:tcMar>
              <w:top w:w="150" w:type="dxa"/>
              <w:left w:w="0" w:type="dxa"/>
              <w:bottom w:w="150" w:type="dxa"/>
              <w:right w:w="240" w:type="dxa"/>
            </w:tcMar>
            <w:vAlign w:val="center"/>
            <w:hideMark/>
          </w:tcPr>
          <w:p w14:paraId="7CCC4208"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430E31C1"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Unemployed</w:t>
            </w:r>
          </w:p>
        </w:tc>
        <w:tc>
          <w:tcPr>
            <w:tcW w:w="0" w:type="auto"/>
            <w:tcMar>
              <w:top w:w="150" w:type="dxa"/>
              <w:left w:w="240" w:type="dxa"/>
              <w:bottom w:w="150" w:type="dxa"/>
              <w:right w:w="240" w:type="dxa"/>
            </w:tcMar>
            <w:vAlign w:val="center"/>
            <w:hideMark/>
          </w:tcPr>
          <w:p w14:paraId="129794E7"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8</w:t>
            </w:r>
          </w:p>
        </w:tc>
        <w:tc>
          <w:tcPr>
            <w:tcW w:w="0" w:type="auto"/>
            <w:tcMar>
              <w:top w:w="150" w:type="dxa"/>
              <w:left w:w="240" w:type="dxa"/>
              <w:bottom w:w="150" w:type="dxa"/>
              <w:right w:w="0" w:type="dxa"/>
            </w:tcMar>
            <w:vAlign w:val="center"/>
            <w:hideMark/>
          </w:tcPr>
          <w:p w14:paraId="5C3828F3"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8.0</w:t>
            </w:r>
          </w:p>
        </w:tc>
      </w:tr>
    </w:tbl>
    <w:p w14:paraId="02CDDFA4"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b/>
          <w:bCs/>
          <w:color w:val="0F1115"/>
          <w:kern w:val="0"/>
          <w14:ligatures w14:val="none"/>
        </w:rPr>
        <w:t>Interpretation:</w:t>
      </w:r>
      <w:r w:rsidRPr="00FE15C7">
        <w:rPr>
          <w:rFonts w:ascii="Times New Roman" w:eastAsia="Times New Roman" w:hAnsi="Times New Roman" w:cs="Times New Roman"/>
          <w:color w:val="0F1115"/>
          <w:kern w:val="0"/>
          <w14:ligatures w14:val="none"/>
        </w:rPr>
        <w:t> The sample was predominantly female (80.0%), married (58.0%), with secondary education (42.0%), and aged 46–50 years (32.0%). Housewives (34.0%) and traders (22.0%) were the most represented occupational categories.</w:t>
      </w:r>
    </w:p>
    <w:p w14:paraId="2F09537F" w14:textId="77777777" w:rsidR="00FE15C7" w:rsidRPr="00FE15C7" w:rsidRDefault="00FE15C7" w:rsidP="00FE15C7">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FE15C7">
        <w:rPr>
          <w:rFonts w:ascii="Times New Roman" w:eastAsia="Times New Roman" w:hAnsi="Times New Roman" w:cs="Times New Roman"/>
          <w:b/>
          <w:bCs/>
          <w:color w:val="0F1115"/>
          <w:kern w:val="0"/>
          <w:sz w:val="30"/>
          <w:szCs w:val="30"/>
          <w14:ligatures w14:val="none"/>
        </w:rPr>
        <w:t>3.2. Conceptions and Sources of Health Education</w:t>
      </w:r>
    </w:p>
    <w:p w14:paraId="13D4FC78"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b/>
          <w:bCs/>
          <w:color w:val="0F1115"/>
          <w:kern w:val="0"/>
          <w14:ligatures w14:val="none"/>
        </w:rPr>
        <w:t>Table 2</w:t>
      </w:r>
      <w:r w:rsidRPr="00FE15C7">
        <w:rPr>
          <w:rFonts w:ascii="Times New Roman" w:eastAsia="Times New Roman" w:hAnsi="Times New Roman" w:cs="Times New Roman"/>
          <w:color w:val="0F1115"/>
          <w:kern w:val="0"/>
          <w14:ligatures w14:val="none"/>
        </w:rPr>
        <w:br/>
        <w:t>*Conception of Health Education (N = 100)*</w:t>
      </w:r>
    </w:p>
    <w:tbl>
      <w:tblPr>
        <w:tblW w:w="3559"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139"/>
        <w:gridCol w:w="710"/>
        <w:gridCol w:w="710"/>
      </w:tblGrid>
      <w:tr w:rsidR="00FE15C7" w:rsidRPr="00EF7A3A" w14:paraId="35B7C84C" w14:textId="77777777" w:rsidTr="00EF7A3A">
        <w:trPr>
          <w:tblHeader/>
        </w:trPr>
        <w:tc>
          <w:tcPr>
            <w:tcW w:w="2636" w:type="dxa"/>
            <w:tcBorders>
              <w:top w:val="single" w:sz="4" w:space="0" w:color="auto"/>
              <w:bottom w:val="single" w:sz="4" w:space="0" w:color="auto"/>
            </w:tcBorders>
            <w:tcMar>
              <w:top w:w="150" w:type="dxa"/>
              <w:left w:w="0" w:type="dxa"/>
              <w:bottom w:w="150" w:type="dxa"/>
              <w:right w:w="240" w:type="dxa"/>
            </w:tcMar>
            <w:vAlign w:val="center"/>
            <w:hideMark/>
          </w:tcPr>
          <w:p w14:paraId="6CE63D17" w14:textId="77777777" w:rsidR="00FE15C7" w:rsidRPr="00EF7A3A" w:rsidRDefault="00FE15C7" w:rsidP="00EF7A3A">
            <w:pPr>
              <w:spacing w:after="0" w:line="240" w:lineRule="auto"/>
              <w:jc w:val="center"/>
              <w:rPr>
                <w:rFonts w:ascii="Times New Roman" w:eastAsia="Times New Roman" w:hAnsi="Times New Roman" w:cs="Times New Roman"/>
                <w:b/>
                <w:bCs/>
                <w:kern w:val="0"/>
                <w:sz w:val="23"/>
                <w:szCs w:val="23"/>
                <w14:ligatures w14:val="none"/>
              </w:rPr>
            </w:pPr>
            <w:r w:rsidRPr="00EF7A3A">
              <w:rPr>
                <w:rFonts w:ascii="Times New Roman" w:eastAsia="Times New Roman" w:hAnsi="Times New Roman" w:cs="Times New Roman"/>
                <w:b/>
                <w:bCs/>
                <w:kern w:val="0"/>
                <w:sz w:val="23"/>
                <w:szCs w:val="23"/>
                <w14:ligatures w14:val="none"/>
              </w:rPr>
              <w:t>Conception</w:t>
            </w:r>
          </w:p>
        </w:tc>
        <w:tc>
          <w:tcPr>
            <w:tcW w:w="375" w:type="dxa"/>
            <w:tcBorders>
              <w:top w:val="single" w:sz="4" w:space="0" w:color="auto"/>
              <w:bottom w:val="single" w:sz="4" w:space="0" w:color="auto"/>
            </w:tcBorders>
            <w:tcMar>
              <w:top w:w="150" w:type="dxa"/>
              <w:left w:w="240" w:type="dxa"/>
              <w:bottom w:w="150" w:type="dxa"/>
              <w:right w:w="240" w:type="dxa"/>
            </w:tcMar>
            <w:vAlign w:val="center"/>
            <w:hideMark/>
          </w:tcPr>
          <w:p w14:paraId="57C28FB8" w14:textId="77777777" w:rsidR="00FE15C7" w:rsidRPr="00EF7A3A" w:rsidRDefault="00FE15C7" w:rsidP="00EF7A3A">
            <w:pPr>
              <w:spacing w:after="0" w:line="240" w:lineRule="auto"/>
              <w:jc w:val="center"/>
              <w:rPr>
                <w:rFonts w:ascii="Times New Roman" w:eastAsia="Times New Roman" w:hAnsi="Times New Roman" w:cs="Times New Roman"/>
                <w:b/>
                <w:bCs/>
                <w:kern w:val="0"/>
                <w:sz w:val="23"/>
                <w:szCs w:val="23"/>
                <w14:ligatures w14:val="none"/>
              </w:rPr>
            </w:pPr>
            <w:r w:rsidRPr="00EF7A3A">
              <w:rPr>
                <w:rFonts w:ascii="Times New Roman" w:eastAsia="Times New Roman" w:hAnsi="Times New Roman" w:cs="Times New Roman"/>
                <w:b/>
                <w:bCs/>
                <w:kern w:val="0"/>
                <w:sz w:val="23"/>
                <w:szCs w:val="23"/>
                <w14:ligatures w14:val="none"/>
              </w:rPr>
              <w:t>n</w:t>
            </w:r>
          </w:p>
        </w:tc>
        <w:tc>
          <w:tcPr>
            <w:tcW w:w="548" w:type="dxa"/>
            <w:tcBorders>
              <w:top w:val="single" w:sz="4" w:space="0" w:color="auto"/>
              <w:bottom w:val="single" w:sz="4" w:space="0" w:color="auto"/>
            </w:tcBorders>
            <w:tcMar>
              <w:top w:w="150" w:type="dxa"/>
              <w:left w:w="240" w:type="dxa"/>
              <w:bottom w:w="150" w:type="dxa"/>
              <w:right w:w="240" w:type="dxa"/>
            </w:tcMar>
            <w:vAlign w:val="center"/>
            <w:hideMark/>
          </w:tcPr>
          <w:p w14:paraId="5E106321" w14:textId="77777777" w:rsidR="00FE15C7" w:rsidRPr="00EF7A3A" w:rsidRDefault="00FE15C7" w:rsidP="00EF7A3A">
            <w:pPr>
              <w:spacing w:after="0" w:line="240" w:lineRule="auto"/>
              <w:jc w:val="center"/>
              <w:rPr>
                <w:rFonts w:ascii="Times New Roman" w:eastAsia="Times New Roman" w:hAnsi="Times New Roman" w:cs="Times New Roman"/>
                <w:b/>
                <w:bCs/>
                <w:kern w:val="0"/>
                <w:sz w:val="23"/>
                <w:szCs w:val="23"/>
                <w14:ligatures w14:val="none"/>
              </w:rPr>
            </w:pPr>
            <w:r w:rsidRPr="00EF7A3A">
              <w:rPr>
                <w:rFonts w:ascii="Times New Roman" w:eastAsia="Times New Roman" w:hAnsi="Times New Roman" w:cs="Times New Roman"/>
                <w:b/>
                <w:bCs/>
                <w:kern w:val="0"/>
                <w:sz w:val="23"/>
                <w:szCs w:val="23"/>
                <w14:ligatures w14:val="none"/>
              </w:rPr>
              <w:t>%</w:t>
            </w:r>
          </w:p>
        </w:tc>
      </w:tr>
      <w:tr w:rsidR="00FE15C7" w:rsidRPr="00FE15C7" w14:paraId="731B13B6" w14:textId="77777777" w:rsidTr="00EF7A3A">
        <w:tc>
          <w:tcPr>
            <w:tcW w:w="2636" w:type="dxa"/>
            <w:tcBorders>
              <w:top w:val="single" w:sz="4" w:space="0" w:color="auto"/>
            </w:tcBorders>
            <w:tcMar>
              <w:top w:w="150" w:type="dxa"/>
              <w:left w:w="0" w:type="dxa"/>
              <w:bottom w:w="150" w:type="dxa"/>
              <w:right w:w="240" w:type="dxa"/>
            </w:tcMar>
            <w:vAlign w:val="center"/>
            <w:hideMark/>
          </w:tcPr>
          <w:p w14:paraId="668BE73F"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Information and awareness</w:t>
            </w:r>
          </w:p>
        </w:tc>
        <w:tc>
          <w:tcPr>
            <w:tcW w:w="375" w:type="dxa"/>
            <w:tcBorders>
              <w:top w:val="single" w:sz="4" w:space="0" w:color="auto"/>
            </w:tcBorders>
            <w:tcMar>
              <w:top w:w="150" w:type="dxa"/>
              <w:left w:w="240" w:type="dxa"/>
              <w:bottom w:w="150" w:type="dxa"/>
              <w:right w:w="240" w:type="dxa"/>
            </w:tcMar>
            <w:vAlign w:val="center"/>
            <w:hideMark/>
          </w:tcPr>
          <w:p w14:paraId="20333B59"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48</w:t>
            </w:r>
          </w:p>
        </w:tc>
        <w:tc>
          <w:tcPr>
            <w:tcW w:w="548" w:type="dxa"/>
            <w:tcBorders>
              <w:top w:val="single" w:sz="4" w:space="0" w:color="auto"/>
            </w:tcBorders>
            <w:tcMar>
              <w:top w:w="150" w:type="dxa"/>
              <w:left w:w="240" w:type="dxa"/>
              <w:bottom w:w="150" w:type="dxa"/>
              <w:right w:w="0" w:type="dxa"/>
            </w:tcMar>
            <w:vAlign w:val="center"/>
            <w:hideMark/>
          </w:tcPr>
          <w:p w14:paraId="6878888A"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48.0</w:t>
            </w:r>
          </w:p>
        </w:tc>
      </w:tr>
      <w:tr w:rsidR="00FE15C7" w:rsidRPr="00FE15C7" w14:paraId="0B79FCD5" w14:textId="77777777" w:rsidTr="00EF7A3A">
        <w:tc>
          <w:tcPr>
            <w:tcW w:w="2636" w:type="dxa"/>
            <w:tcMar>
              <w:top w:w="150" w:type="dxa"/>
              <w:left w:w="0" w:type="dxa"/>
              <w:bottom w:w="150" w:type="dxa"/>
              <w:right w:w="240" w:type="dxa"/>
            </w:tcMar>
            <w:vAlign w:val="center"/>
            <w:hideMark/>
          </w:tcPr>
          <w:p w14:paraId="70D01770"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Disease prevention</w:t>
            </w:r>
          </w:p>
        </w:tc>
        <w:tc>
          <w:tcPr>
            <w:tcW w:w="375" w:type="dxa"/>
            <w:tcMar>
              <w:top w:w="150" w:type="dxa"/>
              <w:left w:w="240" w:type="dxa"/>
              <w:bottom w:w="150" w:type="dxa"/>
              <w:right w:w="240" w:type="dxa"/>
            </w:tcMar>
            <w:vAlign w:val="center"/>
            <w:hideMark/>
          </w:tcPr>
          <w:p w14:paraId="7A201A4C"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28</w:t>
            </w:r>
          </w:p>
        </w:tc>
        <w:tc>
          <w:tcPr>
            <w:tcW w:w="548" w:type="dxa"/>
            <w:tcMar>
              <w:top w:w="150" w:type="dxa"/>
              <w:left w:w="240" w:type="dxa"/>
              <w:bottom w:w="150" w:type="dxa"/>
              <w:right w:w="0" w:type="dxa"/>
            </w:tcMar>
            <w:vAlign w:val="center"/>
            <w:hideMark/>
          </w:tcPr>
          <w:p w14:paraId="3C9DC421"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28.0</w:t>
            </w:r>
          </w:p>
        </w:tc>
      </w:tr>
      <w:tr w:rsidR="00FE15C7" w:rsidRPr="00FE15C7" w14:paraId="503AD004" w14:textId="77777777" w:rsidTr="00EF7A3A">
        <w:tc>
          <w:tcPr>
            <w:tcW w:w="2636" w:type="dxa"/>
            <w:tcMar>
              <w:top w:w="150" w:type="dxa"/>
              <w:left w:w="0" w:type="dxa"/>
              <w:bottom w:w="150" w:type="dxa"/>
              <w:right w:w="240" w:type="dxa"/>
            </w:tcMar>
            <w:vAlign w:val="center"/>
            <w:hideMark/>
          </w:tcPr>
          <w:p w14:paraId="61E53EDC"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Behavioral change</w:t>
            </w:r>
          </w:p>
        </w:tc>
        <w:tc>
          <w:tcPr>
            <w:tcW w:w="375" w:type="dxa"/>
            <w:tcMar>
              <w:top w:w="150" w:type="dxa"/>
              <w:left w:w="240" w:type="dxa"/>
              <w:bottom w:w="150" w:type="dxa"/>
              <w:right w:w="240" w:type="dxa"/>
            </w:tcMar>
            <w:vAlign w:val="center"/>
            <w:hideMark/>
          </w:tcPr>
          <w:p w14:paraId="32A962B4"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16</w:t>
            </w:r>
          </w:p>
        </w:tc>
        <w:tc>
          <w:tcPr>
            <w:tcW w:w="548" w:type="dxa"/>
            <w:tcMar>
              <w:top w:w="150" w:type="dxa"/>
              <w:left w:w="240" w:type="dxa"/>
              <w:bottom w:w="150" w:type="dxa"/>
              <w:right w:w="0" w:type="dxa"/>
            </w:tcMar>
            <w:vAlign w:val="center"/>
            <w:hideMark/>
          </w:tcPr>
          <w:p w14:paraId="273C52A2"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16.0</w:t>
            </w:r>
          </w:p>
        </w:tc>
      </w:tr>
      <w:tr w:rsidR="00FE15C7" w:rsidRPr="00FE15C7" w14:paraId="63D280B5" w14:textId="77777777" w:rsidTr="00EF7A3A">
        <w:tc>
          <w:tcPr>
            <w:tcW w:w="2636" w:type="dxa"/>
            <w:tcMar>
              <w:top w:w="150" w:type="dxa"/>
              <w:left w:w="0" w:type="dxa"/>
              <w:bottom w:w="150" w:type="dxa"/>
              <w:right w:w="240" w:type="dxa"/>
            </w:tcMar>
            <w:vAlign w:val="center"/>
            <w:hideMark/>
          </w:tcPr>
          <w:p w14:paraId="7B4B0802"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Health promotion</w:t>
            </w:r>
          </w:p>
        </w:tc>
        <w:tc>
          <w:tcPr>
            <w:tcW w:w="375" w:type="dxa"/>
            <w:tcMar>
              <w:top w:w="150" w:type="dxa"/>
              <w:left w:w="240" w:type="dxa"/>
              <w:bottom w:w="150" w:type="dxa"/>
              <w:right w:w="240" w:type="dxa"/>
            </w:tcMar>
            <w:vAlign w:val="center"/>
            <w:hideMark/>
          </w:tcPr>
          <w:p w14:paraId="087F3DC6"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8</w:t>
            </w:r>
          </w:p>
        </w:tc>
        <w:tc>
          <w:tcPr>
            <w:tcW w:w="548" w:type="dxa"/>
            <w:tcMar>
              <w:top w:w="150" w:type="dxa"/>
              <w:left w:w="240" w:type="dxa"/>
              <w:bottom w:w="150" w:type="dxa"/>
              <w:right w:w="0" w:type="dxa"/>
            </w:tcMar>
            <w:vAlign w:val="center"/>
            <w:hideMark/>
          </w:tcPr>
          <w:p w14:paraId="147190F3"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8.0</w:t>
            </w:r>
          </w:p>
        </w:tc>
      </w:tr>
      <w:tr w:rsidR="00FE15C7" w:rsidRPr="00FE15C7" w14:paraId="06DD68A0" w14:textId="77777777" w:rsidTr="00EF7A3A">
        <w:tc>
          <w:tcPr>
            <w:tcW w:w="2636" w:type="dxa"/>
            <w:tcMar>
              <w:top w:w="150" w:type="dxa"/>
              <w:left w:w="0" w:type="dxa"/>
              <w:bottom w:w="150" w:type="dxa"/>
              <w:right w:w="240" w:type="dxa"/>
            </w:tcMar>
            <w:vAlign w:val="center"/>
            <w:hideMark/>
          </w:tcPr>
          <w:p w14:paraId="1DA09611"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Does not know</w:t>
            </w:r>
          </w:p>
        </w:tc>
        <w:tc>
          <w:tcPr>
            <w:tcW w:w="375" w:type="dxa"/>
            <w:tcMar>
              <w:top w:w="150" w:type="dxa"/>
              <w:left w:w="240" w:type="dxa"/>
              <w:bottom w:w="150" w:type="dxa"/>
              <w:right w:w="240" w:type="dxa"/>
            </w:tcMar>
            <w:vAlign w:val="center"/>
            <w:hideMark/>
          </w:tcPr>
          <w:p w14:paraId="34A9DCBF"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36</w:t>
            </w:r>
          </w:p>
        </w:tc>
        <w:tc>
          <w:tcPr>
            <w:tcW w:w="548" w:type="dxa"/>
            <w:tcMar>
              <w:top w:w="150" w:type="dxa"/>
              <w:left w:w="240" w:type="dxa"/>
              <w:bottom w:w="150" w:type="dxa"/>
              <w:right w:w="0" w:type="dxa"/>
            </w:tcMar>
            <w:vAlign w:val="center"/>
            <w:hideMark/>
          </w:tcPr>
          <w:p w14:paraId="73866BAB"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36.0</w:t>
            </w:r>
          </w:p>
        </w:tc>
      </w:tr>
    </w:tbl>
    <w:p w14:paraId="77036C02"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i/>
          <w:iCs/>
          <w:color w:val="0F1115"/>
          <w:kern w:val="0"/>
          <w14:ligatures w14:val="none"/>
        </w:rPr>
        <w:lastRenderedPageBreak/>
        <w:t>Note: Multiple responses were possible for "does not know" – 36 respondents selected this option.</w:t>
      </w:r>
    </w:p>
    <w:p w14:paraId="5953772B"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b/>
          <w:bCs/>
          <w:color w:val="0F1115"/>
          <w:kern w:val="0"/>
          <w14:ligatures w14:val="none"/>
        </w:rPr>
        <w:t>Table 3</w:t>
      </w:r>
      <w:r w:rsidRPr="00FE15C7">
        <w:rPr>
          <w:rFonts w:ascii="Times New Roman" w:eastAsia="Times New Roman" w:hAnsi="Times New Roman" w:cs="Times New Roman"/>
          <w:color w:val="0F1115"/>
          <w:kern w:val="0"/>
          <w14:ligatures w14:val="none"/>
        </w:rPr>
        <w:br/>
        <w:t>*Sources of Health Information (N = 100)*</w:t>
      </w:r>
    </w:p>
    <w:tbl>
      <w:tblPr>
        <w:tblW w:w="3349"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967"/>
        <w:gridCol w:w="710"/>
        <w:gridCol w:w="672"/>
      </w:tblGrid>
      <w:tr w:rsidR="00FE15C7" w:rsidRPr="00FE15C7" w14:paraId="6B77788C" w14:textId="77777777" w:rsidTr="00EF7A3A">
        <w:trPr>
          <w:tblHeader/>
        </w:trPr>
        <w:tc>
          <w:tcPr>
            <w:tcW w:w="2426" w:type="dxa"/>
            <w:tcBorders>
              <w:top w:val="single" w:sz="4" w:space="0" w:color="auto"/>
              <w:bottom w:val="single" w:sz="4" w:space="0" w:color="auto"/>
            </w:tcBorders>
            <w:tcMar>
              <w:top w:w="150" w:type="dxa"/>
              <w:left w:w="0" w:type="dxa"/>
              <w:bottom w:w="150" w:type="dxa"/>
              <w:right w:w="240" w:type="dxa"/>
            </w:tcMar>
            <w:vAlign w:val="center"/>
            <w:hideMark/>
          </w:tcPr>
          <w:p w14:paraId="720FA2C8"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Source</w:t>
            </w:r>
          </w:p>
        </w:tc>
        <w:tc>
          <w:tcPr>
            <w:tcW w:w="375" w:type="dxa"/>
            <w:tcBorders>
              <w:top w:val="single" w:sz="4" w:space="0" w:color="auto"/>
              <w:bottom w:val="single" w:sz="4" w:space="0" w:color="auto"/>
            </w:tcBorders>
            <w:tcMar>
              <w:top w:w="150" w:type="dxa"/>
              <w:left w:w="240" w:type="dxa"/>
              <w:bottom w:w="150" w:type="dxa"/>
              <w:right w:w="240" w:type="dxa"/>
            </w:tcMar>
            <w:vAlign w:val="center"/>
            <w:hideMark/>
          </w:tcPr>
          <w:p w14:paraId="5CE4BDA7"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n</w:t>
            </w:r>
          </w:p>
        </w:tc>
        <w:tc>
          <w:tcPr>
            <w:tcW w:w="548" w:type="dxa"/>
            <w:tcBorders>
              <w:top w:val="single" w:sz="4" w:space="0" w:color="auto"/>
              <w:bottom w:val="single" w:sz="4" w:space="0" w:color="auto"/>
            </w:tcBorders>
            <w:tcMar>
              <w:top w:w="150" w:type="dxa"/>
              <w:left w:w="240" w:type="dxa"/>
              <w:bottom w:w="150" w:type="dxa"/>
              <w:right w:w="240" w:type="dxa"/>
            </w:tcMar>
            <w:vAlign w:val="center"/>
            <w:hideMark/>
          </w:tcPr>
          <w:p w14:paraId="4E4C9831"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w:t>
            </w:r>
          </w:p>
        </w:tc>
      </w:tr>
      <w:tr w:rsidR="00FE15C7" w:rsidRPr="00FE15C7" w14:paraId="64205DE8" w14:textId="77777777" w:rsidTr="00EF7A3A">
        <w:tc>
          <w:tcPr>
            <w:tcW w:w="2426" w:type="dxa"/>
            <w:tcBorders>
              <w:top w:val="single" w:sz="4" w:space="0" w:color="auto"/>
            </w:tcBorders>
            <w:tcMar>
              <w:top w:w="150" w:type="dxa"/>
              <w:left w:w="0" w:type="dxa"/>
              <w:bottom w:w="150" w:type="dxa"/>
              <w:right w:w="240" w:type="dxa"/>
            </w:tcMar>
            <w:vAlign w:val="center"/>
            <w:hideMark/>
          </w:tcPr>
          <w:p w14:paraId="61589083"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Media (radio, television)</w:t>
            </w:r>
          </w:p>
        </w:tc>
        <w:tc>
          <w:tcPr>
            <w:tcW w:w="375" w:type="dxa"/>
            <w:tcBorders>
              <w:top w:val="single" w:sz="4" w:space="0" w:color="auto"/>
            </w:tcBorders>
            <w:tcMar>
              <w:top w:w="150" w:type="dxa"/>
              <w:left w:w="240" w:type="dxa"/>
              <w:bottom w:w="150" w:type="dxa"/>
              <w:right w:w="240" w:type="dxa"/>
            </w:tcMar>
            <w:vAlign w:val="center"/>
            <w:hideMark/>
          </w:tcPr>
          <w:p w14:paraId="1DACE2F5"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42</w:t>
            </w:r>
          </w:p>
        </w:tc>
        <w:tc>
          <w:tcPr>
            <w:tcW w:w="548" w:type="dxa"/>
            <w:tcBorders>
              <w:top w:val="single" w:sz="4" w:space="0" w:color="auto"/>
            </w:tcBorders>
            <w:tcMar>
              <w:top w:w="150" w:type="dxa"/>
              <w:left w:w="240" w:type="dxa"/>
              <w:bottom w:w="150" w:type="dxa"/>
              <w:right w:w="0" w:type="dxa"/>
            </w:tcMar>
            <w:vAlign w:val="center"/>
            <w:hideMark/>
          </w:tcPr>
          <w:p w14:paraId="0C8BA407"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42.0</w:t>
            </w:r>
          </w:p>
        </w:tc>
      </w:tr>
      <w:tr w:rsidR="00FE15C7" w:rsidRPr="00FE15C7" w14:paraId="4695F67D" w14:textId="77777777" w:rsidTr="00EF7A3A">
        <w:tc>
          <w:tcPr>
            <w:tcW w:w="2426" w:type="dxa"/>
            <w:tcMar>
              <w:top w:w="150" w:type="dxa"/>
              <w:left w:w="0" w:type="dxa"/>
              <w:bottom w:w="150" w:type="dxa"/>
              <w:right w:w="240" w:type="dxa"/>
            </w:tcMar>
            <w:vAlign w:val="center"/>
            <w:hideMark/>
          </w:tcPr>
          <w:p w14:paraId="48BF846B"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School</w:t>
            </w:r>
          </w:p>
        </w:tc>
        <w:tc>
          <w:tcPr>
            <w:tcW w:w="375" w:type="dxa"/>
            <w:tcMar>
              <w:top w:w="150" w:type="dxa"/>
              <w:left w:w="240" w:type="dxa"/>
              <w:bottom w:w="150" w:type="dxa"/>
              <w:right w:w="240" w:type="dxa"/>
            </w:tcMar>
            <w:vAlign w:val="center"/>
            <w:hideMark/>
          </w:tcPr>
          <w:p w14:paraId="7647CF5D"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28</w:t>
            </w:r>
          </w:p>
        </w:tc>
        <w:tc>
          <w:tcPr>
            <w:tcW w:w="548" w:type="dxa"/>
            <w:tcMar>
              <w:top w:w="150" w:type="dxa"/>
              <w:left w:w="240" w:type="dxa"/>
              <w:bottom w:w="150" w:type="dxa"/>
              <w:right w:w="0" w:type="dxa"/>
            </w:tcMar>
            <w:vAlign w:val="center"/>
            <w:hideMark/>
          </w:tcPr>
          <w:p w14:paraId="3BEB2277"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28.0</w:t>
            </w:r>
          </w:p>
        </w:tc>
      </w:tr>
      <w:tr w:rsidR="00FE15C7" w:rsidRPr="00FE15C7" w14:paraId="0DE767E3" w14:textId="77777777" w:rsidTr="00EF7A3A">
        <w:tc>
          <w:tcPr>
            <w:tcW w:w="2426" w:type="dxa"/>
            <w:tcMar>
              <w:top w:w="150" w:type="dxa"/>
              <w:left w:w="0" w:type="dxa"/>
              <w:bottom w:w="150" w:type="dxa"/>
              <w:right w:w="240" w:type="dxa"/>
            </w:tcMar>
            <w:vAlign w:val="center"/>
            <w:hideMark/>
          </w:tcPr>
          <w:p w14:paraId="021DE94A"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Health professionals</w:t>
            </w:r>
          </w:p>
        </w:tc>
        <w:tc>
          <w:tcPr>
            <w:tcW w:w="375" w:type="dxa"/>
            <w:tcMar>
              <w:top w:w="150" w:type="dxa"/>
              <w:left w:w="240" w:type="dxa"/>
              <w:bottom w:w="150" w:type="dxa"/>
              <w:right w:w="240" w:type="dxa"/>
            </w:tcMar>
            <w:vAlign w:val="center"/>
            <w:hideMark/>
          </w:tcPr>
          <w:p w14:paraId="508B611F"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16</w:t>
            </w:r>
          </w:p>
        </w:tc>
        <w:tc>
          <w:tcPr>
            <w:tcW w:w="548" w:type="dxa"/>
            <w:tcMar>
              <w:top w:w="150" w:type="dxa"/>
              <w:left w:w="240" w:type="dxa"/>
              <w:bottom w:w="150" w:type="dxa"/>
              <w:right w:w="0" w:type="dxa"/>
            </w:tcMar>
            <w:vAlign w:val="center"/>
            <w:hideMark/>
          </w:tcPr>
          <w:p w14:paraId="0E19C6AC"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16.0</w:t>
            </w:r>
          </w:p>
        </w:tc>
      </w:tr>
      <w:tr w:rsidR="00FE15C7" w:rsidRPr="00FE15C7" w14:paraId="18335CAB" w14:textId="77777777" w:rsidTr="00EF7A3A">
        <w:tc>
          <w:tcPr>
            <w:tcW w:w="2426" w:type="dxa"/>
            <w:tcMar>
              <w:top w:w="150" w:type="dxa"/>
              <w:left w:w="0" w:type="dxa"/>
              <w:bottom w:w="150" w:type="dxa"/>
              <w:right w:w="240" w:type="dxa"/>
            </w:tcMar>
            <w:vAlign w:val="center"/>
            <w:hideMark/>
          </w:tcPr>
          <w:p w14:paraId="01893A2C"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Friends/Family</w:t>
            </w:r>
          </w:p>
        </w:tc>
        <w:tc>
          <w:tcPr>
            <w:tcW w:w="375" w:type="dxa"/>
            <w:tcMar>
              <w:top w:w="150" w:type="dxa"/>
              <w:left w:w="240" w:type="dxa"/>
              <w:bottom w:w="150" w:type="dxa"/>
              <w:right w:w="240" w:type="dxa"/>
            </w:tcMar>
            <w:vAlign w:val="center"/>
            <w:hideMark/>
          </w:tcPr>
          <w:p w14:paraId="08896123"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14</w:t>
            </w:r>
          </w:p>
        </w:tc>
        <w:tc>
          <w:tcPr>
            <w:tcW w:w="548" w:type="dxa"/>
            <w:tcMar>
              <w:top w:w="150" w:type="dxa"/>
              <w:left w:w="240" w:type="dxa"/>
              <w:bottom w:w="150" w:type="dxa"/>
              <w:right w:w="0" w:type="dxa"/>
            </w:tcMar>
            <w:vAlign w:val="center"/>
            <w:hideMark/>
          </w:tcPr>
          <w:p w14:paraId="19602335"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14.0</w:t>
            </w:r>
          </w:p>
        </w:tc>
      </w:tr>
    </w:tbl>
    <w:p w14:paraId="0576D4FE"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b/>
          <w:bCs/>
          <w:color w:val="0F1115"/>
          <w:kern w:val="0"/>
          <w14:ligatures w14:val="none"/>
        </w:rPr>
        <w:t>Interpretation:</w:t>
      </w:r>
      <w:r w:rsidRPr="00FE15C7">
        <w:rPr>
          <w:rFonts w:ascii="Times New Roman" w:eastAsia="Times New Roman" w:hAnsi="Times New Roman" w:cs="Times New Roman"/>
          <w:color w:val="0F1115"/>
          <w:kern w:val="0"/>
          <w14:ligatures w14:val="none"/>
        </w:rPr>
        <w:t> Health education was primarily conceived as "information and awareness" (48.0%) rather than as a behavioral change process (16.0%), and 36.0% did not know its meaning. Non-medical sources (school, media, friends: 84.0%) dominated over health professionals (16.0%).</w:t>
      </w:r>
    </w:p>
    <w:p w14:paraId="3AD5CD55" w14:textId="77777777" w:rsidR="00FE15C7" w:rsidRPr="00FE15C7" w:rsidRDefault="00FE15C7" w:rsidP="00FE15C7">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FE15C7">
        <w:rPr>
          <w:rFonts w:ascii="Times New Roman" w:eastAsia="Times New Roman" w:hAnsi="Times New Roman" w:cs="Times New Roman"/>
          <w:b/>
          <w:bCs/>
          <w:color w:val="0F1115"/>
          <w:kern w:val="0"/>
          <w:sz w:val="30"/>
          <w:szCs w:val="30"/>
          <w14:ligatures w14:val="none"/>
        </w:rPr>
        <w:t>3.3. Participation and Perceived Utility</w:t>
      </w:r>
    </w:p>
    <w:p w14:paraId="373308CA"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b/>
          <w:bCs/>
          <w:color w:val="0F1115"/>
          <w:kern w:val="0"/>
          <w14:ligatures w14:val="none"/>
        </w:rPr>
        <w:t>Table 4</w:t>
      </w:r>
      <w:r w:rsidRPr="00FE15C7">
        <w:rPr>
          <w:rFonts w:ascii="Times New Roman" w:eastAsia="Times New Roman" w:hAnsi="Times New Roman" w:cs="Times New Roman"/>
          <w:color w:val="0F1115"/>
          <w:kern w:val="0"/>
          <w14:ligatures w14:val="none"/>
        </w:rPr>
        <w:br/>
        <w:t>*Participation in Health Education Activities (N = 100)*</w:t>
      </w:r>
    </w:p>
    <w:tbl>
      <w:tblPr>
        <w:tblW w:w="2244"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531"/>
        <w:gridCol w:w="710"/>
        <w:gridCol w:w="710"/>
      </w:tblGrid>
      <w:tr w:rsidR="00FE15C7" w:rsidRPr="00EF7A3A" w14:paraId="2BDF8263" w14:textId="77777777" w:rsidTr="00EF7A3A">
        <w:trPr>
          <w:tblHeader/>
        </w:trPr>
        <w:tc>
          <w:tcPr>
            <w:tcW w:w="1321" w:type="dxa"/>
            <w:tcBorders>
              <w:top w:val="single" w:sz="4" w:space="0" w:color="auto"/>
              <w:bottom w:val="single" w:sz="4" w:space="0" w:color="auto"/>
            </w:tcBorders>
            <w:tcMar>
              <w:top w:w="150" w:type="dxa"/>
              <w:left w:w="0" w:type="dxa"/>
              <w:bottom w:w="150" w:type="dxa"/>
              <w:right w:w="240" w:type="dxa"/>
            </w:tcMar>
            <w:vAlign w:val="center"/>
            <w:hideMark/>
          </w:tcPr>
          <w:p w14:paraId="3BE4F384" w14:textId="77777777" w:rsidR="00FE15C7" w:rsidRPr="00EF7A3A" w:rsidRDefault="00FE15C7" w:rsidP="00EF7A3A">
            <w:pPr>
              <w:spacing w:after="0" w:line="375" w:lineRule="atLeast"/>
              <w:jc w:val="center"/>
              <w:rPr>
                <w:rFonts w:ascii="Times New Roman" w:eastAsia="Times New Roman" w:hAnsi="Times New Roman" w:cs="Times New Roman"/>
                <w:b/>
                <w:bCs/>
                <w:kern w:val="0"/>
                <w:sz w:val="23"/>
                <w:szCs w:val="23"/>
                <w14:ligatures w14:val="none"/>
              </w:rPr>
            </w:pPr>
            <w:r w:rsidRPr="00EF7A3A">
              <w:rPr>
                <w:rFonts w:ascii="Times New Roman" w:eastAsia="Times New Roman" w:hAnsi="Times New Roman" w:cs="Times New Roman"/>
                <w:b/>
                <w:bCs/>
                <w:kern w:val="0"/>
                <w:sz w:val="23"/>
                <w:szCs w:val="23"/>
                <w14:ligatures w14:val="none"/>
              </w:rPr>
              <w:t>Participation</w:t>
            </w:r>
          </w:p>
        </w:tc>
        <w:tc>
          <w:tcPr>
            <w:tcW w:w="375" w:type="dxa"/>
            <w:tcBorders>
              <w:top w:val="single" w:sz="4" w:space="0" w:color="auto"/>
              <w:bottom w:val="single" w:sz="4" w:space="0" w:color="auto"/>
            </w:tcBorders>
            <w:tcMar>
              <w:top w:w="150" w:type="dxa"/>
              <w:left w:w="240" w:type="dxa"/>
              <w:bottom w:w="150" w:type="dxa"/>
              <w:right w:w="240" w:type="dxa"/>
            </w:tcMar>
            <w:vAlign w:val="center"/>
            <w:hideMark/>
          </w:tcPr>
          <w:p w14:paraId="595EE964" w14:textId="77777777" w:rsidR="00FE15C7" w:rsidRPr="00EF7A3A" w:rsidRDefault="00FE15C7" w:rsidP="00EF7A3A">
            <w:pPr>
              <w:spacing w:after="0" w:line="375" w:lineRule="atLeast"/>
              <w:jc w:val="center"/>
              <w:rPr>
                <w:rFonts w:ascii="Times New Roman" w:eastAsia="Times New Roman" w:hAnsi="Times New Roman" w:cs="Times New Roman"/>
                <w:b/>
                <w:bCs/>
                <w:kern w:val="0"/>
                <w:sz w:val="23"/>
                <w:szCs w:val="23"/>
                <w14:ligatures w14:val="none"/>
              </w:rPr>
            </w:pPr>
            <w:r w:rsidRPr="00EF7A3A">
              <w:rPr>
                <w:rFonts w:ascii="Times New Roman" w:eastAsia="Times New Roman" w:hAnsi="Times New Roman" w:cs="Times New Roman"/>
                <w:b/>
                <w:bCs/>
                <w:kern w:val="0"/>
                <w:sz w:val="23"/>
                <w:szCs w:val="23"/>
                <w14:ligatures w14:val="none"/>
              </w:rPr>
              <w:t>n</w:t>
            </w:r>
          </w:p>
        </w:tc>
        <w:tc>
          <w:tcPr>
            <w:tcW w:w="548" w:type="dxa"/>
            <w:tcBorders>
              <w:top w:val="single" w:sz="4" w:space="0" w:color="auto"/>
              <w:bottom w:val="single" w:sz="4" w:space="0" w:color="auto"/>
            </w:tcBorders>
            <w:tcMar>
              <w:top w:w="150" w:type="dxa"/>
              <w:left w:w="240" w:type="dxa"/>
              <w:bottom w:w="150" w:type="dxa"/>
              <w:right w:w="240" w:type="dxa"/>
            </w:tcMar>
            <w:vAlign w:val="center"/>
            <w:hideMark/>
          </w:tcPr>
          <w:p w14:paraId="292C8463" w14:textId="77777777" w:rsidR="00FE15C7" w:rsidRPr="00EF7A3A" w:rsidRDefault="00FE15C7" w:rsidP="00EF7A3A">
            <w:pPr>
              <w:spacing w:after="0" w:line="375" w:lineRule="atLeast"/>
              <w:jc w:val="center"/>
              <w:rPr>
                <w:rFonts w:ascii="Times New Roman" w:eastAsia="Times New Roman" w:hAnsi="Times New Roman" w:cs="Times New Roman"/>
                <w:b/>
                <w:bCs/>
                <w:kern w:val="0"/>
                <w:sz w:val="23"/>
                <w:szCs w:val="23"/>
                <w14:ligatures w14:val="none"/>
              </w:rPr>
            </w:pPr>
            <w:r w:rsidRPr="00EF7A3A">
              <w:rPr>
                <w:rFonts w:ascii="Times New Roman" w:eastAsia="Times New Roman" w:hAnsi="Times New Roman" w:cs="Times New Roman"/>
                <w:b/>
                <w:bCs/>
                <w:kern w:val="0"/>
                <w:sz w:val="23"/>
                <w:szCs w:val="23"/>
                <w14:ligatures w14:val="none"/>
              </w:rPr>
              <w:t>%</w:t>
            </w:r>
          </w:p>
        </w:tc>
      </w:tr>
      <w:tr w:rsidR="00FE15C7" w:rsidRPr="00FE15C7" w14:paraId="1159B550" w14:textId="77777777" w:rsidTr="00EF7A3A">
        <w:tc>
          <w:tcPr>
            <w:tcW w:w="1321" w:type="dxa"/>
            <w:tcBorders>
              <w:top w:val="single" w:sz="4" w:space="0" w:color="auto"/>
            </w:tcBorders>
            <w:tcMar>
              <w:top w:w="150" w:type="dxa"/>
              <w:left w:w="0" w:type="dxa"/>
              <w:bottom w:w="150" w:type="dxa"/>
              <w:right w:w="240" w:type="dxa"/>
            </w:tcMar>
            <w:vAlign w:val="center"/>
            <w:hideMark/>
          </w:tcPr>
          <w:p w14:paraId="3899E130" w14:textId="77777777" w:rsidR="00FE15C7" w:rsidRPr="00FE15C7" w:rsidRDefault="00FE15C7" w:rsidP="00FE15C7">
            <w:pPr>
              <w:spacing w:after="0" w:line="375" w:lineRule="atLeast"/>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b/>
                <w:bCs/>
                <w:kern w:val="0"/>
                <w:sz w:val="23"/>
                <w:szCs w:val="23"/>
                <w14:ligatures w14:val="none"/>
              </w:rPr>
              <w:t>Yes</w:t>
            </w:r>
          </w:p>
        </w:tc>
        <w:tc>
          <w:tcPr>
            <w:tcW w:w="375" w:type="dxa"/>
            <w:tcBorders>
              <w:top w:val="single" w:sz="4" w:space="0" w:color="auto"/>
            </w:tcBorders>
            <w:tcMar>
              <w:top w:w="150" w:type="dxa"/>
              <w:left w:w="240" w:type="dxa"/>
              <w:bottom w:w="150" w:type="dxa"/>
              <w:right w:w="240" w:type="dxa"/>
            </w:tcMar>
            <w:vAlign w:val="center"/>
            <w:hideMark/>
          </w:tcPr>
          <w:p w14:paraId="0260C462" w14:textId="77777777" w:rsidR="00FE15C7" w:rsidRPr="00FE15C7" w:rsidRDefault="00FE15C7" w:rsidP="00FE15C7">
            <w:pPr>
              <w:spacing w:after="0" w:line="375" w:lineRule="atLeast"/>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b/>
                <w:bCs/>
                <w:kern w:val="0"/>
                <w:sz w:val="23"/>
                <w:szCs w:val="23"/>
                <w14:ligatures w14:val="none"/>
              </w:rPr>
              <w:t>16</w:t>
            </w:r>
          </w:p>
        </w:tc>
        <w:tc>
          <w:tcPr>
            <w:tcW w:w="548" w:type="dxa"/>
            <w:tcBorders>
              <w:top w:val="single" w:sz="4" w:space="0" w:color="auto"/>
            </w:tcBorders>
            <w:tcMar>
              <w:top w:w="150" w:type="dxa"/>
              <w:left w:w="240" w:type="dxa"/>
              <w:bottom w:w="150" w:type="dxa"/>
              <w:right w:w="0" w:type="dxa"/>
            </w:tcMar>
            <w:vAlign w:val="center"/>
            <w:hideMark/>
          </w:tcPr>
          <w:p w14:paraId="555AA430" w14:textId="77777777" w:rsidR="00FE15C7" w:rsidRPr="00FE15C7" w:rsidRDefault="00FE15C7" w:rsidP="00FE15C7">
            <w:pPr>
              <w:spacing w:after="0" w:line="375" w:lineRule="atLeast"/>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b/>
                <w:bCs/>
                <w:kern w:val="0"/>
                <w:sz w:val="23"/>
                <w:szCs w:val="23"/>
                <w14:ligatures w14:val="none"/>
              </w:rPr>
              <w:t>16.0</w:t>
            </w:r>
          </w:p>
        </w:tc>
      </w:tr>
      <w:tr w:rsidR="00FE15C7" w:rsidRPr="00FE15C7" w14:paraId="1F306D66" w14:textId="77777777" w:rsidTr="00EF7A3A">
        <w:tc>
          <w:tcPr>
            <w:tcW w:w="1321" w:type="dxa"/>
            <w:tcMar>
              <w:top w:w="150" w:type="dxa"/>
              <w:left w:w="0" w:type="dxa"/>
              <w:bottom w:w="150" w:type="dxa"/>
              <w:right w:w="240" w:type="dxa"/>
            </w:tcMar>
            <w:vAlign w:val="center"/>
            <w:hideMark/>
          </w:tcPr>
          <w:p w14:paraId="398D6972" w14:textId="77777777" w:rsidR="00FE15C7" w:rsidRPr="00FE15C7" w:rsidRDefault="00FE15C7" w:rsidP="00FE15C7">
            <w:pPr>
              <w:spacing w:after="0" w:line="375" w:lineRule="atLeast"/>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No</w:t>
            </w:r>
          </w:p>
        </w:tc>
        <w:tc>
          <w:tcPr>
            <w:tcW w:w="375" w:type="dxa"/>
            <w:tcMar>
              <w:top w:w="150" w:type="dxa"/>
              <w:left w:w="240" w:type="dxa"/>
              <w:bottom w:w="150" w:type="dxa"/>
              <w:right w:w="240" w:type="dxa"/>
            </w:tcMar>
            <w:vAlign w:val="center"/>
            <w:hideMark/>
          </w:tcPr>
          <w:p w14:paraId="01131AC7" w14:textId="77777777" w:rsidR="00FE15C7" w:rsidRPr="00FE15C7" w:rsidRDefault="00FE15C7" w:rsidP="00FE15C7">
            <w:pPr>
              <w:spacing w:after="0" w:line="375" w:lineRule="atLeast"/>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84</w:t>
            </w:r>
          </w:p>
        </w:tc>
        <w:tc>
          <w:tcPr>
            <w:tcW w:w="548" w:type="dxa"/>
            <w:tcMar>
              <w:top w:w="150" w:type="dxa"/>
              <w:left w:w="240" w:type="dxa"/>
              <w:bottom w:w="150" w:type="dxa"/>
              <w:right w:w="0" w:type="dxa"/>
            </w:tcMar>
            <w:vAlign w:val="center"/>
            <w:hideMark/>
          </w:tcPr>
          <w:p w14:paraId="54F6E808" w14:textId="77777777" w:rsidR="00FE15C7" w:rsidRPr="00FE15C7" w:rsidRDefault="00FE15C7" w:rsidP="00FE15C7">
            <w:pPr>
              <w:spacing w:after="0" w:line="375" w:lineRule="atLeast"/>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84.0</w:t>
            </w:r>
          </w:p>
        </w:tc>
      </w:tr>
    </w:tbl>
    <w:p w14:paraId="23945748" w14:textId="77777777" w:rsidR="00EF7A3A" w:rsidRDefault="00EF7A3A" w:rsidP="00FE15C7">
      <w:pPr>
        <w:shd w:val="clear" w:color="auto" w:fill="FFFFFF"/>
        <w:spacing w:before="240" w:after="240" w:line="420" w:lineRule="atLeast"/>
        <w:rPr>
          <w:rFonts w:ascii="Times New Roman" w:eastAsia="Times New Roman" w:hAnsi="Times New Roman" w:cs="Times New Roman"/>
          <w:b/>
          <w:bCs/>
          <w:color w:val="0F1115"/>
          <w:kern w:val="0"/>
          <w14:ligatures w14:val="none"/>
        </w:rPr>
      </w:pPr>
    </w:p>
    <w:p w14:paraId="1FE1B5FA" w14:textId="4249C842"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b/>
          <w:bCs/>
          <w:color w:val="0F1115"/>
          <w:kern w:val="0"/>
          <w14:ligatures w14:val="none"/>
        </w:rPr>
        <w:lastRenderedPageBreak/>
        <w:t>Table 5</w:t>
      </w:r>
      <w:r w:rsidRPr="00FE15C7">
        <w:rPr>
          <w:rFonts w:ascii="Times New Roman" w:eastAsia="Times New Roman" w:hAnsi="Times New Roman" w:cs="Times New Roman"/>
          <w:color w:val="0F1115"/>
          <w:kern w:val="0"/>
          <w14:ligatures w14:val="none"/>
        </w:rPr>
        <w:br/>
        <w:t>*Type of Activity Among Participants (n = 16)*</w:t>
      </w:r>
    </w:p>
    <w:tbl>
      <w:tblPr>
        <w:tblW w:w="4754"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365"/>
        <w:gridCol w:w="710"/>
        <w:gridCol w:w="1679"/>
      </w:tblGrid>
      <w:tr w:rsidR="00FE15C7" w:rsidRPr="00FE15C7" w14:paraId="55B56181" w14:textId="77777777" w:rsidTr="00EF7A3A">
        <w:trPr>
          <w:tblHeader/>
        </w:trPr>
        <w:tc>
          <w:tcPr>
            <w:tcW w:w="2662" w:type="dxa"/>
            <w:tcBorders>
              <w:top w:val="single" w:sz="4" w:space="0" w:color="auto"/>
              <w:bottom w:val="single" w:sz="4" w:space="0" w:color="auto"/>
            </w:tcBorders>
            <w:tcMar>
              <w:top w:w="150" w:type="dxa"/>
              <w:left w:w="0" w:type="dxa"/>
              <w:bottom w:w="150" w:type="dxa"/>
              <w:right w:w="240" w:type="dxa"/>
            </w:tcMar>
            <w:vAlign w:val="center"/>
            <w:hideMark/>
          </w:tcPr>
          <w:p w14:paraId="310EFC15"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Activity</w:t>
            </w:r>
          </w:p>
        </w:tc>
        <w:tc>
          <w:tcPr>
            <w:tcW w:w="375" w:type="dxa"/>
            <w:tcBorders>
              <w:top w:val="single" w:sz="4" w:space="0" w:color="auto"/>
              <w:bottom w:val="single" w:sz="4" w:space="0" w:color="auto"/>
            </w:tcBorders>
            <w:tcMar>
              <w:top w:w="150" w:type="dxa"/>
              <w:left w:w="240" w:type="dxa"/>
              <w:bottom w:w="150" w:type="dxa"/>
              <w:right w:w="240" w:type="dxa"/>
            </w:tcMar>
            <w:vAlign w:val="center"/>
            <w:hideMark/>
          </w:tcPr>
          <w:p w14:paraId="26E97750"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n</w:t>
            </w:r>
          </w:p>
        </w:tc>
        <w:tc>
          <w:tcPr>
            <w:tcW w:w="1717" w:type="dxa"/>
            <w:tcBorders>
              <w:top w:val="single" w:sz="4" w:space="0" w:color="auto"/>
              <w:bottom w:val="single" w:sz="4" w:space="0" w:color="auto"/>
            </w:tcBorders>
            <w:tcMar>
              <w:top w:w="150" w:type="dxa"/>
              <w:left w:w="240" w:type="dxa"/>
              <w:bottom w:w="150" w:type="dxa"/>
              <w:right w:w="240" w:type="dxa"/>
            </w:tcMar>
            <w:vAlign w:val="center"/>
            <w:hideMark/>
          </w:tcPr>
          <w:p w14:paraId="65930F0D"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 of participants</w:t>
            </w:r>
          </w:p>
        </w:tc>
      </w:tr>
      <w:tr w:rsidR="00FE15C7" w:rsidRPr="00FE15C7" w14:paraId="7A7D3D6A" w14:textId="77777777" w:rsidTr="00EF7A3A">
        <w:tc>
          <w:tcPr>
            <w:tcW w:w="2662" w:type="dxa"/>
            <w:tcBorders>
              <w:top w:val="single" w:sz="4" w:space="0" w:color="auto"/>
            </w:tcBorders>
            <w:tcMar>
              <w:top w:w="150" w:type="dxa"/>
              <w:left w:w="0" w:type="dxa"/>
              <w:bottom w:w="150" w:type="dxa"/>
              <w:right w:w="240" w:type="dxa"/>
            </w:tcMar>
            <w:vAlign w:val="center"/>
            <w:hideMark/>
          </w:tcPr>
          <w:p w14:paraId="2A6A6E67"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Antenatal care consultation</w:t>
            </w:r>
          </w:p>
        </w:tc>
        <w:tc>
          <w:tcPr>
            <w:tcW w:w="375" w:type="dxa"/>
            <w:tcBorders>
              <w:top w:val="single" w:sz="4" w:space="0" w:color="auto"/>
            </w:tcBorders>
            <w:tcMar>
              <w:top w:w="150" w:type="dxa"/>
              <w:left w:w="240" w:type="dxa"/>
              <w:bottom w:w="150" w:type="dxa"/>
              <w:right w:w="240" w:type="dxa"/>
            </w:tcMar>
            <w:vAlign w:val="center"/>
            <w:hideMark/>
          </w:tcPr>
          <w:p w14:paraId="501A2568"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14</w:t>
            </w:r>
          </w:p>
        </w:tc>
        <w:tc>
          <w:tcPr>
            <w:tcW w:w="1717" w:type="dxa"/>
            <w:tcBorders>
              <w:top w:val="single" w:sz="4" w:space="0" w:color="auto"/>
            </w:tcBorders>
            <w:tcMar>
              <w:top w:w="150" w:type="dxa"/>
              <w:left w:w="240" w:type="dxa"/>
              <w:bottom w:w="150" w:type="dxa"/>
              <w:right w:w="0" w:type="dxa"/>
            </w:tcMar>
            <w:vAlign w:val="center"/>
            <w:hideMark/>
          </w:tcPr>
          <w:p w14:paraId="1619E545"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87.5</w:t>
            </w:r>
          </w:p>
        </w:tc>
      </w:tr>
      <w:tr w:rsidR="00FE15C7" w:rsidRPr="00FE15C7" w14:paraId="56624A4B" w14:textId="77777777" w:rsidTr="00EF7A3A">
        <w:tc>
          <w:tcPr>
            <w:tcW w:w="2662" w:type="dxa"/>
            <w:tcMar>
              <w:top w:w="150" w:type="dxa"/>
              <w:left w:w="0" w:type="dxa"/>
              <w:bottom w:w="150" w:type="dxa"/>
              <w:right w:w="240" w:type="dxa"/>
            </w:tcMar>
            <w:vAlign w:val="center"/>
            <w:hideMark/>
          </w:tcPr>
          <w:p w14:paraId="31A9F1F0"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Educational talk</w:t>
            </w:r>
          </w:p>
        </w:tc>
        <w:tc>
          <w:tcPr>
            <w:tcW w:w="375" w:type="dxa"/>
            <w:tcMar>
              <w:top w:w="150" w:type="dxa"/>
              <w:left w:w="240" w:type="dxa"/>
              <w:bottom w:w="150" w:type="dxa"/>
              <w:right w:w="240" w:type="dxa"/>
            </w:tcMar>
            <w:vAlign w:val="center"/>
            <w:hideMark/>
          </w:tcPr>
          <w:p w14:paraId="5FB3435A"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2</w:t>
            </w:r>
          </w:p>
        </w:tc>
        <w:tc>
          <w:tcPr>
            <w:tcW w:w="1717" w:type="dxa"/>
            <w:tcMar>
              <w:top w:w="150" w:type="dxa"/>
              <w:left w:w="240" w:type="dxa"/>
              <w:bottom w:w="150" w:type="dxa"/>
              <w:right w:w="0" w:type="dxa"/>
            </w:tcMar>
            <w:vAlign w:val="center"/>
            <w:hideMark/>
          </w:tcPr>
          <w:p w14:paraId="7B2BB240"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12.5</w:t>
            </w:r>
          </w:p>
        </w:tc>
      </w:tr>
    </w:tbl>
    <w:p w14:paraId="13C901A1"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b/>
          <w:bCs/>
          <w:color w:val="0F1115"/>
          <w:kern w:val="0"/>
          <w14:ligatures w14:val="none"/>
        </w:rPr>
        <w:t>Table 6</w:t>
      </w:r>
      <w:r w:rsidRPr="00FE15C7">
        <w:rPr>
          <w:rFonts w:ascii="Times New Roman" w:eastAsia="Times New Roman" w:hAnsi="Times New Roman" w:cs="Times New Roman"/>
          <w:color w:val="0F1115"/>
          <w:kern w:val="0"/>
          <w14:ligatures w14:val="none"/>
        </w:rPr>
        <w:br/>
        <w:t>*Perceived Utility of Health Education (N = 100)*</w:t>
      </w:r>
    </w:p>
    <w:tbl>
      <w:tblPr>
        <w:tblW w:w="282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480"/>
        <w:gridCol w:w="710"/>
        <w:gridCol w:w="672"/>
      </w:tblGrid>
      <w:tr w:rsidR="00FE15C7" w:rsidRPr="00FE15C7" w14:paraId="54FF6BB9" w14:textId="77777777" w:rsidTr="00EF7A3A">
        <w:trPr>
          <w:tblHeader/>
        </w:trPr>
        <w:tc>
          <w:tcPr>
            <w:tcW w:w="1902" w:type="dxa"/>
            <w:tcBorders>
              <w:top w:val="single" w:sz="4" w:space="0" w:color="auto"/>
              <w:bottom w:val="single" w:sz="4" w:space="0" w:color="auto"/>
            </w:tcBorders>
            <w:tcMar>
              <w:top w:w="150" w:type="dxa"/>
              <w:left w:w="0" w:type="dxa"/>
              <w:bottom w:w="150" w:type="dxa"/>
              <w:right w:w="240" w:type="dxa"/>
            </w:tcMar>
            <w:vAlign w:val="center"/>
            <w:hideMark/>
          </w:tcPr>
          <w:p w14:paraId="215043EC"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Perception</w:t>
            </w:r>
          </w:p>
        </w:tc>
        <w:tc>
          <w:tcPr>
            <w:tcW w:w="375" w:type="dxa"/>
            <w:tcBorders>
              <w:top w:val="single" w:sz="4" w:space="0" w:color="auto"/>
              <w:bottom w:val="single" w:sz="4" w:space="0" w:color="auto"/>
            </w:tcBorders>
            <w:tcMar>
              <w:top w:w="150" w:type="dxa"/>
              <w:left w:w="240" w:type="dxa"/>
              <w:bottom w:w="150" w:type="dxa"/>
              <w:right w:w="240" w:type="dxa"/>
            </w:tcMar>
            <w:vAlign w:val="center"/>
            <w:hideMark/>
          </w:tcPr>
          <w:p w14:paraId="1F4A84AF"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n</w:t>
            </w:r>
          </w:p>
        </w:tc>
        <w:tc>
          <w:tcPr>
            <w:tcW w:w="548" w:type="dxa"/>
            <w:tcBorders>
              <w:top w:val="single" w:sz="4" w:space="0" w:color="auto"/>
              <w:bottom w:val="single" w:sz="4" w:space="0" w:color="auto"/>
            </w:tcBorders>
            <w:tcMar>
              <w:top w:w="150" w:type="dxa"/>
              <w:left w:w="240" w:type="dxa"/>
              <w:bottom w:w="150" w:type="dxa"/>
              <w:right w:w="240" w:type="dxa"/>
            </w:tcMar>
            <w:vAlign w:val="center"/>
            <w:hideMark/>
          </w:tcPr>
          <w:p w14:paraId="08D10026"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w:t>
            </w:r>
          </w:p>
        </w:tc>
      </w:tr>
      <w:tr w:rsidR="00FE15C7" w:rsidRPr="00FE15C7" w14:paraId="0D9E5037" w14:textId="77777777" w:rsidTr="00EF7A3A">
        <w:tc>
          <w:tcPr>
            <w:tcW w:w="1902" w:type="dxa"/>
            <w:tcBorders>
              <w:top w:val="single" w:sz="4" w:space="0" w:color="auto"/>
            </w:tcBorders>
            <w:tcMar>
              <w:top w:w="150" w:type="dxa"/>
              <w:left w:w="0" w:type="dxa"/>
              <w:bottom w:w="150" w:type="dxa"/>
              <w:right w:w="240" w:type="dxa"/>
            </w:tcMar>
            <w:vAlign w:val="center"/>
            <w:hideMark/>
          </w:tcPr>
          <w:p w14:paraId="65D481B4"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Very useful/Useful</w:t>
            </w:r>
          </w:p>
        </w:tc>
        <w:tc>
          <w:tcPr>
            <w:tcW w:w="375" w:type="dxa"/>
            <w:tcBorders>
              <w:top w:val="single" w:sz="4" w:space="0" w:color="auto"/>
            </w:tcBorders>
            <w:tcMar>
              <w:top w:w="150" w:type="dxa"/>
              <w:left w:w="240" w:type="dxa"/>
              <w:bottom w:w="150" w:type="dxa"/>
              <w:right w:w="240" w:type="dxa"/>
            </w:tcMar>
            <w:vAlign w:val="center"/>
            <w:hideMark/>
          </w:tcPr>
          <w:p w14:paraId="2480CD01"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64</w:t>
            </w:r>
          </w:p>
        </w:tc>
        <w:tc>
          <w:tcPr>
            <w:tcW w:w="548" w:type="dxa"/>
            <w:tcBorders>
              <w:top w:val="single" w:sz="4" w:space="0" w:color="auto"/>
            </w:tcBorders>
            <w:tcMar>
              <w:top w:w="150" w:type="dxa"/>
              <w:left w:w="240" w:type="dxa"/>
              <w:bottom w:w="150" w:type="dxa"/>
              <w:right w:w="0" w:type="dxa"/>
            </w:tcMar>
            <w:vAlign w:val="center"/>
            <w:hideMark/>
          </w:tcPr>
          <w:p w14:paraId="7C456771"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64.0</w:t>
            </w:r>
          </w:p>
        </w:tc>
      </w:tr>
      <w:tr w:rsidR="00FE15C7" w:rsidRPr="00FE15C7" w14:paraId="00A7B987" w14:textId="77777777" w:rsidTr="00EF7A3A">
        <w:tc>
          <w:tcPr>
            <w:tcW w:w="1902" w:type="dxa"/>
            <w:tcMar>
              <w:top w:w="150" w:type="dxa"/>
              <w:left w:w="0" w:type="dxa"/>
              <w:bottom w:w="150" w:type="dxa"/>
              <w:right w:w="240" w:type="dxa"/>
            </w:tcMar>
            <w:vAlign w:val="center"/>
            <w:hideMark/>
          </w:tcPr>
          <w:p w14:paraId="0D7812B1"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Slightly useful</w:t>
            </w:r>
          </w:p>
        </w:tc>
        <w:tc>
          <w:tcPr>
            <w:tcW w:w="375" w:type="dxa"/>
            <w:tcMar>
              <w:top w:w="150" w:type="dxa"/>
              <w:left w:w="240" w:type="dxa"/>
              <w:bottom w:w="150" w:type="dxa"/>
              <w:right w:w="240" w:type="dxa"/>
            </w:tcMar>
            <w:vAlign w:val="center"/>
            <w:hideMark/>
          </w:tcPr>
          <w:p w14:paraId="5271D96E"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16</w:t>
            </w:r>
          </w:p>
        </w:tc>
        <w:tc>
          <w:tcPr>
            <w:tcW w:w="548" w:type="dxa"/>
            <w:tcMar>
              <w:top w:w="150" w:type="dxa"/>
              <w:left w:w="240" w:type="dxa"/>
              <w:bottom w:w="150" w:type="dxa"/>
              <w:right w:w="0" w:type="dxa"/>
            </w:tcMar>
            <w:vAlign w:val="center"/>
            <w:hideMark/>
          </w:tcPr>
          <w:p w14:paraId="74AF3596"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16.0</w:t>
            </w:r>
          </w:p>
        </w:tc>
      </w:tr>
      <w:tr w:rsidR="00FE15C7" w:rsidRPr="00FE15C7" w14:paraId="66888F87" w14:textId="77777777" w:rsidTr="00EF7A3A">
        <w:tc>
          <w:tcPr>
            <w:tcW w:w="1902" w:type="dxa"/>
            <w:tcMar>
              <w:top w:w="150" w:type="dxa"/>
              <w:left w:w="0" w:type="dxa"/>
              <w:bottom w:w="150" w:type="dxa"/>
              <w:right w:w="240" w:type="dxa"/>
            </w:tcMar>
            <w:vAlign w:val="center"/>
            <w:hideMark/>
          </w:tcPr>
          <w:p w14:paraId="3D851116"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Not useful at all</w:t>
            </w:r>
          </w:p>
        </w:tc>
        <w:tc>
          <w:tcPr>
            <w:tcW w:w="375" w:type="dxa"/>
            <w:tcMar>
              <w:top w:w="150" w:type="dxa"/>
              <w:left w:w="240" w:type="dxa"/>
              <w:bottom w:w="150" w:type="dxa"/>
              <w:right w:w="240" w:type="dxa"/>
            </w:tcMar>
            <w:vAlign w:val="center"/>
            <w:hideMark/>
          </w:tcPr>
          <w:p w14:paraId="34ED56CE"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8</w:t>
            </w:r>
          </w:p>
        </w:tc>
        <w:tc>
          <w:tcPr>
            <w:tcW w:w="548" w:type="dxa"/>
            <w:tcMar>
              <w:top w:w="150" w:type="dxa"/>
              <w:left w:w="240" w:type="dxa"/>
              <w:bottom w:w="150" w:type="dxa"/>
              <w:right w:w="0" w:type="dxa"/>
            </w:tcMar>
            <w:vAlign w:val="center"/>
            <w:hideMark/>
          </w:tcPr>
          <w:p w14:paraId="1027EBAA"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8.0</w:t>
            </w:r>
          </w:p>
        </w:tc>
      </w:tr>
      <w:tr w:rsidR="00FE15C7" w:rsidRPr="00FE15C7" w14:paraId="2F5FF3EB" w14:textId="77777777" w:rsidTr="00EF7A3A">
        <w:tc>
          <w:tcPr>
            <w:tcW w:w="1902" w:type="dxa"/>
            <w:tcMar>
              <w:top w:w="150" w:type="dxa"/>
              <w:left w:w="0" w:type="dxa"/>
              <w:bottom w:w="150" w:type="dxa"/>
              <w:right w:w="240" w:type="dxa"/>
            </w:tcMar>
            <w:vAlign w:val="center"/>
            <w:hideMark/>
          </w:tcPr>
          <w:p w14:paraId="1FF725C8"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No opinion</w:t>
            </w:r>
          </w:p>
        </w:tc>
        <w:tc>
          <w:tcPr>
            <w:tcW w:w="375" w:type="dxa"/>
            <w:tcMar>
              <w:top w:w="150" w:type="dxa"/>
              <w:left w:w="240" w:type="dxa"/>
              <w:bottom w:w="150" w:type="dxa"/>
              <w:right w:w="240" w:type="dxa"/>
            </w:tcMar>
            <w:vAlign w:val="center"/>
            <w:hideMark/>
          </w:tcPr>
          <w:p w14:paraId="6771272C"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12</w:t>
            </w:r>
          </w:p>
        </w:tc>
        <w:tc>
          <w:tcPr>
            <w:tcW w:w="548" w:type="dxa"/>
            <w:tcMar>
              <w:top w:w="150" w:type="dxa"/>
              <w:left w:w="240" w:type="dxa"/>
              <w:bottom w:w="150" w:type="dxa"/>
              <w:right w:w="0" w:type="dxa"/>
            </w:tcMar>
            <w:vAlign w:val="center"/>
            <w:hideMark/>
          </w:tcPr>
          <w:p w14:paraId="7AF8A1B1"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12.0</w:t>
            </w:r>
          </w:p>
        </w:tc>
      </w:tr>
    </w:tbl>
    <w:p w14:paraId="0F1D5883"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b/>
          <w:bCs/>
          <w:color w:val="0F1115"/>
          <w:kern w:val="0"/>
          <w14:ligatures w14:val="none"/>
        </w:rPr>
        <w:t>Interpretation:</w:t>
      </w:r>
      <w:r w:rsidRPr="00FE15C7">
        <w:rPr>
          <w:rFonts w:ascii="Times New Roman" w:eastAsia="Times New Roman" w:hAnsi="Times New Roman" w:cs="Times New Roman"/>
          <w:color w:val="0F1115"/>
          <w:kern w:val="0"/>
          <w14:ligatures w14:val="none"/>
        </w:rPr>
        <w:t> Participation was extremely low (16.0%), with antenatal care consultations being the main entry point. Despite this, a majority (64.0%) perceived health education as useful.</w:t>
      </w:r>
    </w:p>
    <w:p w14:paraId="73D960C5" w14:textId="77777777" w:rsidR="00FE15C7" w:rsidRPr="00FE15C7" w:rsidRDefault="00FE15C7" w:rsidP="00FE15C7">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FE15C7">
        <w:rPr>
          <w:rFonts w:ascii="Times New Roman" w:eastAsia="Times New Roman" w:hAnsi="Times New Roman" w:cs="Times New Roman"/>
          <w:b/>
          <w:bCs/>
          <w:color w:val="0F1115"/>
          <w:kern w:val="0"/>
          <w:sz w:val="30"/>
          <w:szCs w:val="30"/>
          <w14:ligatures w14:val="none"/>
        </w:rPr>
        <w:t>3.4. Behavioral Change and Consistency</w:t>
      </w:r>
    </w:p>
    <w:p w14:paraId="756254D5"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b/>
          <w:bCs/>
          <w:color w:val="0F1115"/>
          <w:kern w:val="0"/>
          <w14:ligatures w14:val="none"/>
        </w:rPr>
        <w:t>Table 7</w:t>
      </w:r>
      <w:r w:rsidRPr="00FE15C7">
        <w:rPr>
          <w:rFonts w:ascii="Times New Roman" w:eastAsia="Times New Roman" w:hAnsi="Times New Roman" w:cs="Times New Roman"/>
          <w:color w:val="0F1115"/>
          <w:kern w:val="0"/>
          <w14:ligatures w14:val="none"/>
        </w:rPr>
        <w:br/>
        <w:t>*Reported Behavioral Change After Health Education (N = 100)*</w:t>
      </w:r>
    </w:p>
    <w:tbl>
      <w:tblPr>
        <w:tblW w:w="3336"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954"/>
        <w:gridCol w:w="710"/>
        <w:gridCol w:w="672"/>
      </w:tblGrid>
      <w:tr w:rsidR="00FE15C7" w:rsidRPr="00FE15C7" w14:paraId="3750403B" w14:textId="77777777" w:rsidTr="00EF7A3A">
        <w:trPr>
          <w:tblHeader/>
        </w:trPr>
        <w:tc>
          <w:tcPr>
            <w:tcW w:w="2413" w:type="dxa"/>
            <w:tcBorders>
              <w:top w:val="single" w:sz="4" w:space="0" w:color="auto"/>
              <w:bottom w:val="single" w:sz="4" w:space="0" w:color="auto"/>
            </w:tcBorders>
            <w:tcMar>
              <w:top w:w="150" w:type="dxa"/>
              <w:left w:w="0" w:type="dxa"/>
              <w:bottom w:w="150" w:type="dxa"/>
              <w:right w:w="240" w:type="dxa"/>
            </w:tcMar>
            <w:vAlign w:val="center"/>
            <w:hideMark/>
          </w:tcPr>
          <w:p w14:paraId="585D658A"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lastRenderedPageBreak/>
              <w:t>Response</w:t>
            </w:r>
          </w:p>
        </w:tc>
        <w:tc>
          <w:tcPr>
            <w:tcW w:w="375" w:type="dxa"/>
            <w:tcBorders>
              <w:top w:val="single" w:sz="4" w:space="0" w:color="auto"/>
              <w:bottom w:val="single" w:sz="4" w:space="0" w:color="auto"/>
            </w:tcBorders>
            <w:tcMar>
              <w:top w:w="150" w:type="dxa"/>
              <w:left w:w="240" w:type="dxa"/>
              <w:bottom w:w="150" w:type="dxa"/>
              <w:right w:w="240" w:type="dxa"/>
            </w:tcMar>
            <w:vAlign w:val="center"/>
            <w:hideMark/>
          </w:tcPr>
          <w:p w14:paraId="120D4A35"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n</w:t>
            </w:r>
          </w:p>
        </w:tc>
        <w:tc>
          <w:tcPr>
            <w:tcW w:w="548" w:type="dxa"/>
            <w:tcBorders>
              <w:top w:val="single" w:sz="4" w:space="0" w:color="auto"/>
              <w:bottom w:val="single" w:sz="4" w:space="0" w:color="auto"/>
            </w:tcBorders>
            <w:tcMar>
              <w:top w:w="150" w:type="dxa"/>
              <w:left w:w="240" w:type="dxa"/>
              <w:bottom w:w="150" w:type="dxa"/>
              <w:right w:w="240" w:type="dxa"/>
            </w:tcMar>
            <w:vAlign w:val="center"/>
            <w:hideMark/>
          </w:tcPr>
          <w:p w14:paraId="22E49C63"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w:t>
            </w:r>
          </w:p>
        </w:tc>
      </w:tr>
      <w:tr w:rsidR="00FE15C7" w:rsidRPr="00FE15C7" w14:paraId="47698C16" w14:textId="77777777" w:rsidTr="00EF7A3A">
        <w:tc>
          <w:tcPr>
            <w:tcW w:w="2413" w:type="dxa"/>
            <w:tcBorders>
              <w:top w:val="single" w:sz="4" w:space="0" w:color="auto"/>
            </w:tcBorders>
            <w:tcMar>
              <w:top w:w="150" w:type="dxa"/>
              <w:left w:w="0" w:type="dxa"/>
              <w:bottom w:w="150" w:type="dxa"/>
              <w:right w:w="240" w:type="dxa"/>
            </w:tcMar>
            <w:vAlign w:val="center"/>
            <w:hideMark/>
          </w:tcPr>
          <w:p w14:paraId="1CBCEF1A"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b/>
                <w:bCs/>
                <w:kern w:val="0"/>
                <w:sz w:val="23"/>
                <w:szCs w:val="23"/>
                <w14:ligatures w14:val="none"/>
              </w:rPr>
              <w:t>Changed behavior</w:t>
            </w:r>
          </w:p>
        </w:tc>
        <w:tc>
          <w:tcPr>
            <w:tcW w:w="375" w:type="dxa"/>
            <w:tcBorders>
              <w:top w:val="single" w:sz="4" w:space="0" w:color="auto"/>
            </w:tcBorders>
            <w:tcMar>
              <w:top w:w="150" w:type="dxa"/>
              <w:left w:w="240" w:type="dxa"/>
              <w:bottom w:w="150" w:type="dxa"/>
              <w:right w:w="240" w:type="dxa"/>
            </w:tcMar>
            <w:vAlign w:val="center"/>
            <w:hideMark/>
          </w:tcPr>
          <w:p w14:paraId="172D7FDB"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b/>
                <w:bCs/>
                <w:kern w:val="0"/>
                <w:sz w:val="23"/>
                <w:szCs w:val="23"/>
                <w14:ligatures w14:val="none"/>
              </w:rPr>
              <w:t>84</w:t>
            </w:r>
          </w:p>
        </w:tc>
        <w:tc>
          <w:tcPr>
            <w:tcW w:w="548" w:type="dxa"/>
            <w:tcBorders>
              <w:top w:val="single" w:sz="4" w:space="0" w:color="auto"/>
            </w:tcBorders>
            <w:tcMar>
              <w:top w:w="150" w:type="dxa"/>
              <w:left w:w="240" w:type="dxa"/>
              <w:bottom w:w="150" w:type="dxa"/>
              <w:right w:w="0" w:type="dxa"/>
            </w:tcMar>
            <w:vAlign w:val="center"/>
            <w:hideMark/>
          </w:tcPr>
          <w:p w14:paraId="478EAC01"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b/>
                <w:bCs/>
                <w:kern w:val="0"/>
                <w:sz w:val="23"/>
                <w:szCs w:val="23"/>
                <w14:ligatures w14:val="none"/>
              </w:rPr>
              <w:t>84.0</w:t>
            </w:r>
          </w:p>
        </w:tc>
      </w:tr>
      <w:tr w:rsidR="00FE15C7" w:rsidRPr="00FE15C7" w14:paraId="5C1DFB60" w14:textId="77777777" w:rsidTr="00EF7A3A">
        <w:tc>
          <w:tcPr>
            <w:tcW w:w="2413" w:type="dxa"/>
            <w:tcMar>
              <w:top w:w="150" w:type="dxa"/>
              <w:left w:w="0" w:type="dxa"/>
              <w:bottom w:w="150" w:type="dxa"/>
              <w:right w:w="240" w:type="dxa"/>
            </w:tcMar>
            <w:vAlign w:val="center"/>
            <w:hideMark/>
          </w:tcPr>
          <w:p w14:paraId="37300D25"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Did not change behavior</w:t>
            </w:r>
          </w:p>
        </w:tc>
        <w:tc>
          <w:tcPr>
            <w:tcW w:w="375" w:type="dxa"/>
            <w:tcMar>
              <w:top w:w="150" w:type="dxa"/>
              <w:left w:w="240" w:type="dxa"/>
              <w:bottom w:w="150" w:type="dxa"/>
              <w:right w:w="240" w:type="dxa"/>
            </w:tcMar>
            <w:vAlign w:val="center"/>
            <w:hideMark/>
          </w:tcPr>
          <w:p w14:paraId="49752686"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16</w:t>
            </w:r>
          </w:p>
        </w:tc>
        <w:tc>
          <w:tcPr>
            <w:tcW w:w="548" w:type="dxa"/>
            <w:tcMar>
              <w:top w:w="150" w:type="dxa"/>
              <w:left w:w="240" w:type="dxa"/>
              <w:bottom w:w="150" w:type="dxa"/>
              <w:right w:w="0" w:type="dxa"/>
            </w:tcMar>
            <w:vAlign w:val="center"/>
            <w:hideMark/>
          </w:tcPr>
          <w:p w14:paraId="2E53B39B"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16.0</w:t>
            </w:r>
          </w:p>
        </w:tc>
      </w:tr>
    </w:tbl>
    <w:p w14:paraId="05418951"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b/>
          <w:bCs/>
          <w:color w:val="0F1115"/>
          <w:kern w:val="0"/>
          <w14:ligatures w14:val="none"/>
        </w:rPr>
        <w:t>Table 8</w:t>
      </w:r>
      <w:r w:rsidRPr="00FE15C7">
        <w:rPr>
          <w:rFonts w:ascii="Times New Roman" w:eastAsia="Times New Roman" w:hAnsi="Times New Roman" w:cs="Times New Roman"/>
          <w:color w:val="0F1115"/>
          <w:kern w:val="0"/>
          <w14:ligatures w14:val="none"/>
        </w:rPr>
        <w:br/>
        <w:t>*Consistency of Behavioral Change (n = 84)*</w:t>
      </w:r>
    </w:p>
    <w:tbl>
      <w:tblPr>
        <w:tblW w:w="4991"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068"/>
        <w:gridCol w:w="710"/>
        <w:gridCol w:w="2213"/>
      </w:tblGrid>
      <w:tr w:rsidR="00FE15C7" w:rsidRPr="00FE15C7" w14:paraId="71A02EDA" w14:textId="77777777" w:rsidTr="00EF7A3A">
        <w:trPr>
          <w:tblHeader/>
        </w:trPr>
        <w:tc>
          <w:tcPr>
            <w:tcW w:w="2209" w:type="dxa"/>
            <w:tcBorders>
              <w:top w:val="single" w:sz="4" w:space="0" w:color="auto"/>
              <w:bottom w:val="single" w:sz="4" w:space="0" w:color="auto"/>
            </w:tcBorders>
            <w:tcMar>
              <w:top w:w="150" w:type="dxa"/>
              <w:left w:w="0" w:type="dxa"/>
              <w:bottom w:w="150" w:type="dxa"/>
              <w:right w:w="240" w:type="dxa"/>
            </w:tcMar>
            <w:vAlign w:val="center"/>
            <w:hideMark/>
          </w:tcPr>
          <w:p w14:paraId="3E3D8A12"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Consistency</w:t>
            </w:r>
          </w:p>
        </w:tc>
        <w:tc>
          <w:tcPr>
            <w:tcW w:w="375" w:type="dxa"/>
            <w:tcBorders>
              <w:top w:val="single" w:sz="4" w:space="0" w:color="auto"/>
              <w:bottom w:val="single" w:sz="4" w:space="0" w:color="auto"/>
            </w:tcBorders>
            <w:tcMar>
              <w:top w:w="150" w:type="dxa"/>
              <w:left w:w="240" w:type="dxa"/>
              <w:bottom w:w="150" w:type="dxa"/>
              <w:right w:w="240" w:type="dxa"/>
            </w:tcMar>
            <w:vAlign w:val="center"/>
            <w:hideMark/>
          </w:tcPr>
          <w:p w14:paraId="59E69D5E"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n</w:t>
            </w:r>
          </w:p>
        </w:tc>
        <w:tc>
          <w:tcPr>
            <w:tcW w:w="2407" w:type="dxa"/>
            <w:tcBorders>
              <w:top w:val="single" w:sz="4" w:space="0" w:color="auto"/>
              <w:bottom w:val="single" w:sz="4" w:space="0" w:color="auto"/>
            </w:tcBorders>
            <w:tcMar>
              <w:top w:w="150" w:type="dxa"/>
              <w:left w:w="240" w:type="dxa"/>
              <w:bottom w:w="150" w:type="dxa"/>
              <w:right w:w="240" w:type="dxa"/>
            </w:tcMar>
            <w:vAlign w:val="center"/>
            <w:hideMark/>
          </w:tcPr>
          <w:p w14:paraId="7F300E43"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 of those who changed</w:t>
            </w:r>
          </w:p>
        </w:tc>
      </w:tr>
      <w:tr w:rsidR="00FE15C7" w:rsidRPr="00FE15C7" w14:paraId="104DE68D" w14:textId="77777777" w:rsidTr="00EF7A3A">
        <w:tc>
          <w:tcPr>
            <w:tcW w:w="2209" w:type="dxa"/>
            <w:tcBorders>
              <w:top w:val="single" w:sz="4" w:space="0" w:color="auto"/>
            </w:tcBorders>
            <w:tcMar>
              <w:top w:w="150" w:type="dxa"/>
              <w:left w:w="0" w:type="dxa"/>
              <w:bottom w:w="150" w:type="dxa"/>
              <w:right w:w="240" w:type="dxa"/>
            </w:tcMar>
            <w:vAlign w:val="center"/>
            <w:hideMark/>
          </w:tcPr>
          <w:p w14:paraId="29324D78"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Constant change</w:t>
            </w:r>
          </w:p>
        </w:tc>
        <w:tc>
          <w:tcPr>
            <w:tcW w:w="375" w:type="dxa"/>
            <w:tcBorders>
              <w:top w:val="single" w:sz="4" w:space="0" w:color="auto"/>
            </w:tcBorders>
            <w:tcMar>
              <w:top w:w="150" w:type="dxa"/>
              <w:left w:w="240" w:type="dxa"/>
              <w:bottom w:w="150" w:type="dxa"/>
              <w:right w:w="240" w:type="dxa"/>
            </w:tcMar>
            <w:vAlign w:val="center"/>
            <w:hideMark/>
          </w:tcPr>
          <w:p w14:paraId="09D2BA35"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27</w:t>
            </w:r>
          </w:p>
        </w:tc>
        <w:tc>
          <w:tcPr>
            <w:tcW w:w="2407" w:type="dxa"/>
            <w:tcBorders>
              <w:top w:val="single" w:sz="4" w:space="0" w:color="auto"/>
            </w:tcBorders>
            <w:tcMar>
              <w:top w:w="150" w:type="dxa"/>
              <w:left w:w="240" w:type="dxa"/>
              <w:bottom w:w="150" w:type="dxa"/>
              <w:right w:w="0" w:type="dxa"/>
            </w:tcMar>
            <w:vAlign w:val="center"/>
            <w:hideMark/>
          </w:tcPr>
          <w:p w14:paraId="743E2CE9"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32.1</w:t>
            </w:r>
          </w:p>
        </w:tc>
      </w:tr>
      <w:tr w:rsidR="00FE15C7" w:rsidRPr="00FE15C7" w14:paraId="50380796" w14:textId="77777777" w:rsidTr="00EF7A3A">
        <w:tc>
          <w:tcPr>
            <w:tcW w:w="2209" w:type="dxa"/>
            <w:tcMar>
              <w:top w:w="150" w:type="dxa"/>
              <w:left w:w="0" w:type="dxa"/>
              <w:bottom w:w="150" w:type="dxa"/>
              <w:right w:w="240" w:type="dxa"/>
            </w:tcMar>
            <w:vAlign w:val="center"/>
            <w:hideMark/>
          </w:tcPr>
          <w:p w14:paraId="17926519"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b/>
                <w:bCs/>
                <w:kern w:val="0"/>
                <w:sz w:val="23"/>
                <w:szCs w:val="23"/>
                <w14:ligatures w14:val="none"/>
              </w:rPr>
              <w:t>Non-constant change</w:t>
            </w:r>
          </w:p>
        </w:tc>
        <w:tc>
          <w:tcPr>
            <w:tcW w:w="375" w:type="dxa"/>
            <w:tcMar>
              <w:top w:w="150" w:type="dxa"/>
              <w:left w:w="240" w:type="dxa"/>
              <w:bottom w:w="150" w:type="dxa"/>
              <w:right w:w="240" w:type="dxa"/>
            </w:tcMar>
            <w:vAlign w:val="center"/>
            <w:hideMark/>
          </w:tcPr>
          <w:p w14:paraId="663D3A8F"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b/>
                <w:bCs/>
                <w:kern w:val="0"/>
                <w:sz w:val="23"/>
                <w:szCs w:val="23"/>
                <w14:ligatures w14:val="none"/>
              </w:rPr>
              <w:t>57</w:t>
            </w:r>
          </w:p>
        </w:tc>
        <w:tc>
          <w:tcPr>
            <w:tcW w:w="2407" w:type="dxa"/>
            <w:tcMar>
              <w:top w:w="150" w:type="dxa"/>
              <w:left w:w="240" w:type="dxa"/>
              <w:bottom w:w="150" w:type="dxa"/>
              <w:right w:w="0" w:type="dxa"/>
            </w:tcMar>
            <w:vAlign w:val="center"/>
            <w:hideMark/>
          </w:tcPr>
          <w:p w14:paraId="55FC6EEB"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b/>
                <w:bCs/>
                <w:kern w:val="0"/>
                <w:sz w:val="23"/>
                <w:szCs w:val="23"/>
                <w14:ligatures w14:val="none"/>
              </w:rPr>
              <w:t>67.9</w:t>
            </w:r>
          </w:p>
        </w:tc>
      </w:tr>
    </w:tbl>
    <w:p w14:paraId="1087D3A5"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b/>
          <w:bCs/>
          <w:color w:val="0F1115"/>
          <w:kern w:val="0"/>
          <w14:ligatures w14:val="none"/>
        </w:rPr>
        <w:t>Table 9</w:t>
      </w:r>
      <w:r w:rsidRPr="00FE15C7">
        <w:rPr>
          <w:rFonts w:ascii="Times New Roman" w:eastAsia="Times New Roman" w:hAnsi="Times New Roman" w:cs="Times New Roman"/>
          <w:color w:val="0F1115"/>
          <w:kern w:val="0"/>
          <w14:ligatures w14:val="none"/>
        </w:rPr>
        <w:br/>
        <w:t>*Types of Behaviors Modified (n = 84, multiple responses)*</w:t>
      </w:r>
    </w:p>
    <w:tbl>
      <w:tblPr>
        <w:tblW w:w="2952"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570"/>
        <w:gridCol w:w="710"/>
        <w:gridCol w:w="672"/>
      </w:tblGrid>
      <w:tr w:rsidR="00FE15C7" w:rsidRPr="00FE15C7" w14:paraId="4D399887" w14:textId="77777777" w:rsidTr="00EF7A3A">
        <w:trPr>
          <w:tblHeader/>
        </w:trPr>
        <w:tc>
          <w:tcPr>
            <w:tcW w:w="2029" w:type="dxa"/>
            <w:tcBorders>
              <w:top w:val="single" w:sz="4" w:space="0" w:color="auto"/>
              <w:bottom w:val="single" w:sz="4" w:space="0" w:color="auto"/>
            </w:tcBorders>
            <w:tcMar>
              <w:top w:w="150" w:type="dxa"/>
              <w:left w:w="0" w:type="dxa"/>
              <w:bottom w:w="150" w:type="dxa"/>
              <w:right w:w="240" w:type="dxa"/>
            </w:tcMar>
            <w:vAlign w:val="center"/>
            <w:hideMark/>
          </w:tcPr>
          <w:p w14:paraId="45CF25BA"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Behavior</w:t>
            </w:r>
          </w:p>
        </w:tc>
        <w:tc>
          <w:tcPr>
            <w:tcW w:w="375" w:type="dxa"/>
            <w:tcBorders>
              <w:top w:val="single" w:sz="4" w:space="0" w:color="auto"/>
              <w:bottom w:val="single" w:sz="4" w:space="0" w:color="auto"/>
            </w:tcBorders>
            <w:tcMar>
              <w:top w:w="150" w:type="dxa"/>
              <w:left w:w="240" w:type="dxa"/>
              <w:bottom w:w="150" w:type="dxa"/>
              <w:right w:w="240" w:type="dxa"/>
            </w:tcMar>
            <w:vAlign w:val="center"/>
            <w:hideMark/>
          </w:tcPr>
          <w:p w14:paraId="36E720AB"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n</w:t>
            </w:r>
          </w:p>
        </w:tc>
        <w:tc>
          <w:tcPr>
            <w:tcW w:w="548" w:type="dxa"/>
            <w:tcBorders>
              <w:top w:val="single" w:sz="4" w:space="0" w:color="auto"/>
              <w:bottom w:val="single" w:sz="4" w:space="0" w:color="auto"/>
            </w:tcBorders>
            <w:tcMar>
              <w:top w:w="150" w:type="dxa"/>
              <w:left w:w="240" w:type="dxa"/>
              <w:bottom w:w="150" w:type="dxa"/>
              <w:right w:w="240" w:type="dxa"/>
            </w:tcMar>
            <w:vAlign w:val="center"/>
            <w:hideMark/>
          </w:tcPr>
          <w:p w14:paraId="5BDD20A1"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w:t>
            </w:r>
          </w:p>
        </w:tc>
      </w:tr>
      <w:tr w:rsidR="00FE15C7" w:rsidRPr="00FE15C7" w14:paraId="0EDEE86C" w14:textId="77777777" w:rsidTr="00EF7A3A">
        <w:tc>
          <w:tcPr>
            <w:tcW w:w="2029" w:type="dxa"/>
            <w:tcBorders>
              <w:top w:val="single" w:sz="4" w:space="0" w:color="auto"/>
            </w:tcBorders>
            <w:tcMar>
              <w:top w:w="150" w:type="dxa"/>
              <w:left w:w="0" w:type="dxa"/>
              <w:bottom w:w="150" w:type="dxa"/>
              <w:right w:w="240" w:type="dxa"/>
            </w:tcMar>
            <w:vAlign w:val="center"/>
            <w:hideMark/>
          </w:tcPr>
          <w:p w14:paraId="359D5D4B"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Hand washing</w:t>
            </w:r>
          </w:p>
        </w:tc>
        <w:tc>
          <w:tcPr>
            <w:tcW w:w="375" w:type="dxa"/>
            <w:tcBorders>
              <w:top w:val="single" w:sz="4" w:space="0" w:color="auto"/>
            </w:tcBorders>
            <w:tcMar>
              <w:top w:w="150" w:type="dxa"/>
              <w:left w:w="240" w:type="dxa"/>
              <w:bottom w:w="150" w:type="dxa"/>
              <w:right w:w="240" w:type="dxa"/>
            </w:tcMar>
            <w:vAlign w:val="center"/>
            <w:hideMark/>
          </w:tcPr>
          <w:p w14:paraId="7110CF73"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56</w:t>
            </w:r>
          </w:p>
        </w:tc>
        <w:tc>
          <w:tcPr>
            <w:tcW w:w="548" w:type="dxa"/>
            <w:tcBorders>
              <w:top w:val="single" w:sz="4" w:space="0" w:color="auto"/>
            </w:tcBorders>
            <w:tcMar>
              <w:top w:w="150" w:type="dxa"/>
              <w:left w:w="240" w:type="dxa"/>
              <w:bottom w:w="150" w:type="dxa"/>
              <w:right w:w="0" w:type="dxa"/>
            </w:tcMar>
            <w:vAlign w:val="center"/>
            <w:hideMark/>
          </w:tcPr>
          <w:p w14:paraId="2CF35A60"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66.7</w:t>
            </w:r>
          </w:p>
        </w:tc>
      </w:tr>
      <w:tr w:rsidR="00FE15C7" w:rsidRPr="00FE15C7" w14:paraId="23FA281B" w14:textId="77777777" w:rsidTr="00EF7A3A">
        <w:tc>
          <w:tcPr>
            <w:tcW w:w="2029" w:type="dxa"/>
            <w:tcMar>
              <w:top w:w="150" w:type="dxa"/>
              <w:left w:w="0" w:type="dxa"/>
              <w:bottom w:w="150" w:type="dxa"/>
              <w:right w:w="240" w:type="dxa"/>
            </w:tcMar>
            <w:vAlign w:val="center"/>
            <w:hideMark/>
          </w:tcPr>
          <w:p w14:paraId="18873F05"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Bed net use</w:t>
            </w:r>
          </w:p>
        </w:tc>
        <w:tc>
          <w:tcPr>
            <w:tcW w:w="375" w:type="dxa"/>
            <w:tcMar>
              <w:top w:w="150" w:type="dxa"/>
              <w:left w:w="240" w:type="dxa"/>
              <w:bottom w:w="150" w:type="dxa"/>
              <w:right w:w="240" w:type="dxa"/>
            </w:tcMar>
            <w:vAlign w:val="center"/>
            <w:hideMark/>
          </w:tcPr>
          <w:p w14:paraId="178956BF"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48</w:t>
            </w:r>
          </w:p>
        </w:tc>
        <w:tc>
          <w:tcPr>
            <w:tcW w:w="548" w:type="dxa"/>
            <w:tcMar>
              <w:top w:w="150" w:type="dxa"/>
              <w:left w:w="240" w:type="dxa"/>
              <w:bottom w:w="150" w:type="dxa"/>
              <w:right w:w="0" w:type="dxa"/>
            </w:tcMar>
            <w:vAlign w:val="center"/>
            <w:hideMark/>
          </w:tcPr>
          <w:p w14:paraId="0AD18C25"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57.1</w:t>
            </w:r>
          </w:p>
        </w:tc>
      </w:tr>
      <w:tr w:rsidR="00FE15C7" w:rsidRPr="00FE15C7" w14:paraId="09CCE680" w14:textId="77777777" w:rsidTr="00EF7A3A">
        <w:tc>
          <w:tcPr>
            <w:tcW w:w="2029" w:type="dxa"/>
            <w:tcMar>
              <w:top w:w="150" w:type="dxa"/>
              <w:left w:w="0" w:type="dxa"/>
              <w:bottom w:w="150" w:type="dxa"/>
              <w:right w:w="240" w:type="dxa"/>
            </w:tcMar>
            <w:vAlign w:val="center"/>
            <w:hideMark/>
          </w:tcPr>
          <w:p w14:paraId="4EE16448"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Waste management</w:t>
            </w:r>
          </w:p>
        </w:tc>
        <w:tc>
          <w:tcPr>
            <w:tcW w:w="375" w:type="dxa"/>
            <w:tcMar>
              <w:top w:w="150" w:type="dxa"/>
              <w:left w:w="240" w:type="dxa"/>
              <w:bottom w:w="150" w:type="dxa"/>
              <w:right w:w="240" w:type="dxa"/>
            </w:tcMar>
            <w:vAlign w:val="center"/>
            <w:hideMark/>
          </w:tcPr>
          <w:p w14:paraId="37D0FB25"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42</w:t>
            </w:r>
          </w:p>
        </w:tc>
        <w:tc>
          <w:tcPr>
            <w:tcW w:w="548" w:type="dxa"/>
            <w:tcMar>
              <w:top w:w="150" w:type="dxa"/>
              <w:left w:w="240" w:type="dxa"/>
              <w:bottom w:w="150" w:type="dxa"/>
              <w:right w:w="0" w:type="dxa"/>
            </w:tcMar>
            <w:vAlign w:val="center"/>
            <w:hideMark/>
          </w:tcPr>
          <w:p w14:paraId="673F7DE0"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50.0</w:t>
            </w:r>
          </w:p>
        </w:tc>
      </w:tr>
      <w:tr w:rsidR="00FE15C7" w:rsidRPr="00FE15C7" w14:paraId="259CF6A3" w14:textId="77777777" w:rsidTr="00EF7A3A">
        <w:tc>
          <w:tcPr>
            <w:tcW w:w="2029" w:type="dxa"/>
            <w:tcMar>
              <w:top w:w="150" w:type="dxa"/>
              <w:left w:w="0" w:type="dxa"/>
              <w:bottom w:w="150" w:type="dxa"/>
              <w:right w:w="240" w:type="dxa"/>
            </w:tcMar>
            <w:vAlign w:val="center"/>
            <w:hideMark/>
          </w:tcPr>
          <w:p w14:paraId="14B3741A"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Latrine maintenance</w:t>
            </w:r>
          </w:p>
        </w:tc>
        <w:tc>
          <w:tcPr>
            <w:tcW w:w="375" w:type="dxa"/>
            <w:tcMar>
              <w:top w:w="150" w:type="dxa"/>
              <w:left w:w="240" w:type="dxa"/>
              <w:bottom w:w="150" w:type="dxa"/>
              <w:right w:w="240" w:type="dxa"/>
            </w:tcMar>
            <w:vAlign w:val="center"/>
            <w:hideMark/>
          </w:tcPr>
          <w:p w14:paraId="4379B461"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38</w:t>
            </w:r>
          </w:p>
        </w:tc>
        <w:tc>
          <w:tcPr>
            <w:tcW w:w="548" w:type="dxa"/>
            <w:tcMar>
              <w:top w:w="150" w:type="dxa"/>
              <w:left w:w="240" w:type="dxa"/>
              <w:bottom w:w="150" w:type="dxa"/>
              <w:right w:w="0" w:type="dxa"/>
            </w:tcMar>
            <w:vAlign w:val="center"/>
            <w:hideMark/>
          </w:tcPr>
          <w:p w14:paraId="2F09CA27"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45.2</w:t>
            </w:r>
          </w:p>
        </w:tc>
      </w:tr>
      <w:tr w:rsidR="00FE15C7" w:rsidRPr="00FE15C7" w14:paraId="1394A9B0" w14:textId="77777777" w:rsidTr="00EF7A3A">
        <w:tc>
          <w:tcPr>
            <w:tcW w:w="2029" w:type="dxa"/>
            <w:tcMar>
              <w:top w:w="150" w:type="dxa"/>
              <w:left w:w="0" w:type="dxa"/>
              <w:bottom w:w="150" w:type="dxa"/>
              <w:right w:w="240" w:type="dxa"/>
            </w:tcMar>
            <w:vAlign w:val="center"/>
            <w:hideMark/>
          </w:tcPr>
          <w:p w14:paraId="11AE9519"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Food hygiene</w:t>
            </w:r>
          </w:p>
        </w:tc>
        <w:tc>
          <w:tcPr>
            <w:tcW w:w="375" w:type="dxa"/>
            <w:tcMar>
              <w:top w:w="150" w:type="dxa"/>
              <w:left w:w="240" w:type="dxa"/>
              <w:bottom w:w="150" w:type="dxa"/>
              <w:right w:w="240" w:type="dxa"/>
            </w:tcMar>
            <w:vAlign w:val="center"/>
            <w:hideMark/>
          </w:tcPr>
          <w:p w14:paraId="719A974D"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32</w:t>
            </w:r>
          </w:p>
        </w:tc>
        <w:tc>
          <w:tcPr>
            <w:tcW w:w="548" w:type="dxa"/>
            <w:tcMar>
              <w:top w:w="150" w:type="dxa"/>
              <w:left w:w="240" w:type="dxa"/>
              <w:bottom w:w="150" w:type="dxa"/>
              <w:right w:w="0" w:type="dxa"/>
            </w:tcMar>
            <w:vAlign w:val="center"/>
            <w:hideMark/>
          </w:tcPr>
          <w:p w14:paraId="52AB6027"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38.1</w:t>
            </w:r>
          </w:p>
        </w:tc>
      </w:tr>
      <w:tr w:rsidR="00FE15C7" w:rsidRPr="00FE15C7" w14:paraId="032828F0" w14:textId="77777777" w:rsidTr="00EF7A3A">
        <w:tc>
          <w:tcPr>
            <w:tcW w:w="2029" w:type="dxa"/>
            <w:tcMar>
              <w:top w:w="150" w:type="dxa"/>
              <w:left w:w="0" w:type="dxa"/>
              <w:bottom w:w="150" w:type="dxa"/>
              <w:right w:w="240" w:type="dxa"/>
            </w:tcMar>
            <w:vAlign w:val="center"/>
            <w:hideMark/>
          </w:tcPr>
          <w:p w14:paraId="493E7F88"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Early consultation</w:t>
            </w:r>
          </w:p>
        </w:tc>
        <w:tc>
          <w:tcPr>
            <w:tcW w:w="375" w:type="dxa"/>
            <w:tcMar>
              <w:top w:w="150" w:type="dxa"/>
              <w:left w:w="240" w:type="dxa"/>
              <w:bottom w:w="150" w:type="dxa"/>
              <w:right w:w="240" w:type="dxa"/>
            </w:tcMar>
            <w:vAlign w:val="center"/>
            <w:hideMark/>
          </w:tcPr>
          <w:p w14:paraId="7DAF5FE4"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24</w:t>
            </w:r>
          </w:p>
        </w:tc>
        <w:tc>
          <w:tcPr>
            <w:tcW w:w="548" w:type="dxa"/>
            <w:tcMar>
              <w:top w:w="150" w:type="dxa"/>
              <w:left w:w="240" w:type="dxa"/>
              <w:bottom w:w="150" w:type="dxa"/>
              <w:right w:w="0" w:type="dxa"/>
            </w:tcMar>
            <w:vAlign w:val="center"/>
            <w:hideMark/>
          </w:tcPr>
          <w:p w14:paraId="4BFEA5B7"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28.6</w:t>
            </w:r>
          </w:p>
        </w:tc>
      </w:tr>
    </w:tbl>
    <w:p w14:paraId="36B72F4B"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b/>
          <w:bCs/>
          <w:color w:val="0F1115"/>
          <w:kern w:val="0"/>
          <w14:ligatures w14:val="none"/>
        </w:rPr>
        <w:lastRenderedPageBreak/>
        <w:t>Interpretation:</w:t>
      </w:r>
      <w:r w:rsidRPr="00FE15C7">
        <w:rPr>
          <w:rFonts w:ascii="Times New Roman" w:eastAsia="Times New Roman" w:hAnsi="Times New Roman" w:cs="Times New Roman"/>
          <w:color w:val="0F1115"/>
          <w:kern w:val="0"/>
          <w14:ligatures w14:val="none"/>
        </w:rPr>
        <w:t> While 84.0% reported changing their behavior, only 32.1% maintained these changes consistently. Hand washing (66.7%) and bed net use (57.1%) were the most frequently adopted behaviors.</w:t>
      </w:r>
    </w:p>
    <w:p w14:paraId="2C9E1B41" w14:textId="77777777" w:rsidR="00FE15C7" w:rsidRPr="00FE15C7" w:rsidRDefault="00FE15C7" w:rsidP="00FE15C7">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FE15C7">
        <w:rPr>
          <w:rFonts w:ascii="Times New Roman" w:eastAsia="Times New Roman" w:hAnsi="Times New Roman" w:cs="Times New Roman"/>
          <w:b/>
          <w:bCs/>
          <w:color w:val="0F1115"/>
          <w:kern w:val="0"/>
          <w:sz w:val="30"/>
          <w:szCs w:val="30"/>
          <w14:ligatures w14:val="none"/>
        </w:rPr>
        <w:t>3.5. Perceived Health Priorities and Barriers</w:t>
      </w:r>
    </w:p>
    <w:p w14:paraId="48885046"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b/>
          <w:bCs/>
          <w:color w:val="0F1115"/>
          <w:kern w:val="0"/>
          <w14:ligatures w14:val="none"/>
        </w:rPr>
        <w:t>Table 10</w:t>
      </w:r>
      <w:r w:rsidRPr="00FE15C7">
        <w:rPr>
          <w:rFonts w:ascii="Times New Roman" w:eastAsia="Times New Roman" w:hAnsi="Times New Roman" w:cs="Times New Roman"/>
          <w:color w:val="0F1115"/>
          <w:kern w:val="0"/>
          <w14:ligatures w14:val="none"/>
        </w:rPr>
        <w:br/>
        <w:t>*Perceived Health Problems (N = 100, multiple responses)*</w:t>
      </w:r>
    </w:p>
    <w:tbl>
      <w:tblPr>
        <w:tblW w:w="3783"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401"/>
        <w:gridCol w:w="710"/>
        <w:gridCol w:w="672"/>
      </w:tblGrid>
      <w:tr w:rsidR="00FE15C7" w:rsidRPr="00FE15C7" w14:paraId="776F9A2D" w14:textId="77777777" w:rsidTr="00EF7A3A">
        <w:trPr>
          <w:tblHeader/>
        </w:trPr>
        <w:tc>
          <w:tcPr>
            <w:tcW w:w="2860" w:type="dxa"/>
            <w:tcBorders>
              <w:top w:val="single" w:sz="4" w:space="0" w:color="auto"/>
              <w:bottom w:val="single" w:sz="4" w:space="0" w:color="auto"/>
            </w:tcBorders>
            <w:tcMar>
              <w:top w:w="150" w:type="dxa"/>
              <w:left w:w="0" w:type="dxa"/>
              <w:bottom w:w="150" w:type="dxa"/>
              <w:right w:w="240" w:type="dxa"/>
            </w:tcMar>
            <w:vAlign w:val="center"/>
            <w:hideMark/>
          </w:tcPr>
          <w:p w14:paraId="307C6818"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Health problem</w:t>
            </w:r>
          </w:p>
        </w:tc>
        <w:tc>
          <w:tcPr>
            <w:tcW w:w="375" w:type="dxa"/>
            <w:tcBorders>
              <w:top w:val="single" w:sz="4" w:space="0" w:color="auto"/>
              <w:bottom w:val="single" w:sz="4" w:space="0" w:color="auto"/>
            </w:tcBorders>
            <w:tcMar>
              <w:top w:w="150" w:type="dxa"/>
              <w:left w:w="240" w:type="dxa"/>
              <w:bottom w:w="150" w:type="dxa"/>
              <w:right w:w="240" w:type="dxa"/>
            </w:tcMar>
            <w:vAlign w:val="center"/>
            <w:hideMark/>
          </w:tcPr>
          <w:p w14:paraId="2FB23251"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n</w:t>
            </w:r>
          </w:p>
        </w:tc>
        <w:tc>
          <w:tcPr>
            <w:tcW w:w="548" w:type="dxa"/>
            <w:tcBorders>
              <w:top w:val="single" w:sz="4" w:space="0" w:color="auto"/>
              <w:bottom w:val="single" w:sz="4" w:space="0" w:color="auto"/>
            </w:tcBorders>
            <w:tcMar>
              <w:top w:w="150" w:type="dxa"/>
              <w:left w:w="240" w:type="dxa"/>
              <w:bottom w:w="150" w:type="dxa"/>
              <w:right w:w="240" w:type="dxa"/>
            </w:tcMar>
            <w:vAlign w:val="center"/>
            <w:hideMark/>
          </w:tcPr>
          <w:p w14:paraId="62411FD8"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w:t>
            </w:r>
          </w:p>
        </w:tc>
      </w:tr>
      <w:tr w:rsidR="00FE15C7" w:rsidRPr="00FE15C7" w14:paraId="212F5F39" w14:textId="77777777" w:rsidTr="00EF7A3A">
        <w:tc>
          <w:tcPr>
            <w:tcW w:w="2860" w:type="dxa"/>
            <w:tcBorders>
              <w:top w:val="single" w:sz="4" w:space="0" w:color="auto"/>
            </w:tcBorders>
            <w:tcMar>
              <w:top w:w="150" w:type="dxa"/>
              <w:left w:w="0" w:type="dxa"/>
              <w:bottom w:w="150" w:type="dxa"/>
              <w:right w:w="240" w:type="dxa"/>
            </w:tcMar>
            <w:vAlign w:val="center"/>
            <w:hideMark/>
          </w:tcPr>
          <w:p w14:paraId="0F7AA218"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Malaria</w:t>
            </w:r>
          </w:p>
        </w:tc>
        <w:tc>
          <w:tcPr>
            <w:tcW w:w="375" w:type="dxa"/>
            <w:tcBorders>
              <w:top w:val="single" w:sz="4" w:space="0" w:color="auto"/>
            </w:tcBorders>
            <w:tcMar>
              <w:top w:w="150" w:type="dxa"/>
              <w:left w:w="240" w:type="dxa"/>
              <w:bottom w:w="150" w:type="dxa"/>
              <w:right w:w="240" w:type="dxa"/>
            </w:tcMar>
            <w:vAlign w:val="center"/>
            <w:hideMark/>
          </w:tcPr>
          <w:p w14:paraId="6EA91BDA"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78</w:t>
            </w:r>
          </w:p>
        </w:tc>
        <w:tc>
          <w:tcPr>
            <w:tcW w:w="548" w:type="dxa"/>
            <w:tcBorders>
              <w:top w:val="single" w:sz="4" w:space="0" w:color="auto"/>
            </w:tcBorders>
            <w:tcMar>
              <w:top w:w="150" w:type="dxa"/>
              <w:left w:w="240" w:type="dxa"/>
              <w:bottom w:w="150" w:type="dxa"/>
              <w:right w:w="0" w:type="dxa"/>
            </w:tcMar>
            <w:vAlign w:val="center"/>
            <w:hideMark/>
          </w:tcPr>
          <w:p w14:paraId="689E6FAE"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78.0</w:t>
            </w:r>
          </w:p>
        </w:tc>
      </w:tr>
      <w:tr w:rsidR="00FE15C7" w:rsidRPr="00FE15C7" w14:paraId="402ACDD0" w14:textId="77777777" w:rsidTr="00EF7A3A">
        <w:tc>
          <w:tcPr>
            <w:tcW w:w="2860" w:type="dxa"/>
            <w:tcMar>
              <w:top w:w="150" w:type="dxa"/>
              <w:left w:w="0" w:type="dxa"/>
              <w:bottom w:w="150" w:type="dxa"/>
              <w:right w:w="240" w:type="dxa"/>
            </w:tcMar>
            <w:vAlign w:val="center"/>
            <w:hideMark/>
          </w:tcPr>
          <w:p w14:paraId="3164CE99"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Cough/Respiratory infections</w:t>
            </w:r>
          </w:p>
        </w:tc>
        <w:tc>
          <w:tcPr>
            <w:tcW w:w="375" w:type="dxa"/>
            <w:tcMar>
              <w:top w:w="150" w:type="dxa"/>
              <w:left w:w="240" w:type="dxa"/>
              <w:bottom w:w="150" w:type="dxa"/>
              <w:right w:w="240" w:type="dxa"/>
            </w:tcMar>
            <w:vAlign w:val="center"/>
            <w:hideMark/>
          </w:tcPr>
          <w:p w14:paraId="0356829A"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62</w:t>
            </w:r>
          </w:p>
        </w:tc>
        <w:tc>
          <w:tcPr>
            <w:tcW w:w="548" w:type="dxa"/>
            <w:tcMar>
              <w:top w:w="150" w:type="dxa"/>
              <w:left w:w="240" w:type="dxa"/>
              <w:bottom w:w="150" w:type="dxa"/>
              <w:right w:w="0" w:type="dxa"/>
            </w:tcMar>
            <w:vAlign w:val="center"/>
            <w:hideMark/>
          </w:tcPr>
          <w:p w14:paraId="28DCF835"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62.0</w:t>
            </w:r>
          </w:p>
        </w:tc>
      </w:tr>
      <w:tr w:rsidR="00FE15C7" w:rsidRPr="00FE15C7" w14:paraId="19477080" w14:textId="77777777" w:rsidTr="00EF7A3A">
        <w:tc>
          <w:tcPr>
            <w:tcW w:w="2860" w:type="dxa"/>
            <w:tcMar>
              <w:top w:w="150" w:type="dxa"/>
              <w:left w:w="0" w:type="dxa"/>
              <w:bottom w:w="150" w:type="dxa"/>
              <w:right w:w="240" w:type="dxa"/>
            </w:tcMar>
            <w:vAlign w:val="center"/>
            <w:hideMark/>
          </w:tcPr>
          <w:p w14:paraId="4526861F"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STIs/HIV/AIDS</w:t>
            </w:r>
          </w:p>
        </w:tc>
        <w:tc>
          <w:tcPr>
            <w:tcW w:w="375" w:type="dxa"/>
            <w:tcMar>
              <w:top w:w="150" w:type="dxa"/>
              <w:left w:w="240" w:type="dxa"/>
              <w:bottom w:w="150" w:type="dxa"/>
              <w:right w:w="240" w:type="dxa"/>
            </w:tcMar>
            <w:vAlign w:val="center"/>
            <w:hideMark/>
          </w:tcPr>
          <w:p w14:paraId="71F419C4"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54</w:t>
            </w:r>
          </w:p>
        </w:tc>
        <w:tc>
          <w:tcPr>
            <w:tcW w:w="548" w:type="dxa"/>
            <w:tcMar>
              <w:top w:w="150" w:type="dxa"/>
              <w:left w:w="240" w:type="dxa"/>
              <w:bottom w:w="150" w:type="dxa"/>
              <w:right w:w="0" w:type="dxa"/>
            </w:tcMar>
            <w:vAlign w:val="center"/>
            <w:hideMark/>
          </w:tcPr>
          <w:p w14:paraId="3C8D717C"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54.0</w:t>
            </w:r>
          </w:p>
        </w:tc>
      </w:tr>
      <w:tr w:rsidR="00FE15C7" w:rsidRPr="00FE15C7" w14:paraId="4CE8E7EF" w14:textId="77777777" w:rsidTr="00EF7A3A">
        <w:tc>
          <w:tcPr>
            <w:tcW w:w="2860" w:type="dxa"/>
            <w:tcMar>
              <w:top w:w="150" w:type="dxa"/>
              <w:left w:w="0" w:type="dxa"/>
              <w:bottom w:w="150" w:type="dxa"/>
              <w:right w:w="240" w:type="dxa"/>
            </w:tcMar>
            <w:vAlign w:val="center"/>
            <w:hideMark/>
          </w:tcPr>
          <w:p w14:paraId="64B398CB"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Diarrhea</w:t>
            </w:r>
          </w:p>
        </w:tc>
        <w:tc>
          <w:tcPr>
            <w:tcW w:w="375" w:type="dxa"/>
            <w:tcMar>
              <w:top w:w="150" w:type="dxa"/>
              <w:left w:w="240" w:type="dxa"/>
              <w:bottom w:w="150" w:type="dxa"/>
              <w:right w:w="240" w:type="dxa"/>
            </w:tcMar>
            <w:vAlign w:val="center"/>
            <w:hideMark/>
          </w:tcPr>
          <w:p w14:paraId="58F989B9"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42</w:t>
            </w:r>
          </w:p>
        </w:tc>
        <w:tc>
          <w:tcPr>
            <w:tcW w:w="548" w:type="dxa"/>
            <w:tcMar>
              <w:top w:w="150" w:type="dxa"/>
              <w:left w:w="240" w:type="dxa"/>
              <w:bottom w:w="150" w:type="dxa"/>
              <w:right w:w="0" w:type="dxa"/>
            </w:tcMar>
            <w:vAlign w:val="center"/>
            <w:hideMark/>
          </w:tcPr>
          <w:p w14:paraId="78256036"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42.0</w:t>
            </w:r>
          </w:p>
        </w:tc>
      </w:tr>
      <w:tr w:rsidR="00FE15C7" w:rsidRPr="00FE15C7" w14:paraId="3F96151F" w14:textId="77777777" w:rsidTr="00EF7A3A">
        <w:tc>
          <w:tcPr>
            <w:tcW w:w="2860" w:type="dxa"/>
            <w:tcMar>
              <w:top w:w="150" w:type="dxa"/>
              <w:left w:w="0" w:type="dxa"/>
              <w:bottom w:w="150" w:type="dxa"/>
              <w:right w:w="240" w:type="dxa"/>
            </w:tcMar>
            <w:vAlign w:val="center"/>
            <w:hideMark/>
          </w:tcPr>
          <w:p w14:paraId="1E16A075"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Hypertension</w:t>
            </w:r>
          </w:p>
        </w:tc>
        <w:tc>
          <w:tcPr>
            <w:tcW w:w="375" w:type="dxa"/>
            <w:tcMar>
              <w:top w:w="150" w:type="dxa"/>
              <w:left w:w="240" w:type="dxa"/>
              <w:bottom w:w="150" w:type="dxa"/>
              <w:right w:w="240" w:type="dxa"/>
            </w:tcMar>
            <w:vAlign w:val="center"/>
            <w:hideMark/>
          </w:tcPr>
          <w:p w14:paraId="651659CE"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28</w:t>
            </w:r>
          </w:p>
        </w:tc>
        <w:tc>
          <w:tcPr>
            <w:tcW w:w="548" w:type="dxa"/>
            <w:tcMar>
              <w:top w:w="150" w:type="dxa"/>
              <w:left w:w="240" w:type="dxa"/>
              <w:bottom w:w="150" w:type="dxa"/>
              <w:right w:w="0" w:type="dxa"/>
            </w:tcMar>
            <w:vAlign w:val="center"/>
            <w:hideMark/>
          </w:tcPr>
          <w:p w14:paraId="2580219C"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28.0</w:t>
            </w:r>
          </w:p>
        </w:tc>
      </w:tr>
      <w:tr w:rsidR="00FE15C7" w:rsidRPr="00FE15C7" w14:paraId="11CB2F5B" w14:textId="77777777" w:rsidTr="00EF7A3A">
        <w:tc>
          <w:tcPr>
            <w:tcW w:w="2860" w:type="dxa"/>
            <w:tcMar>
              <w:top w:w="150" w:type="dxa"/>
              <w:left w:w="0" w:type="dxa"/>
              <w:bottom w:w="150" w:type="dxa"/>
              <w:right w:w="240" w:type="dxa"/>
            </w:tcMar>
            <w:vAlign w:val="center"/>
            <w:hideMark/>
          </w:tcPr>
          <w:p w14:paraId="7BB5099E"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Malnutrition</w:t>
            </w:r>
          </w:p>
        </w:tc>
        <w:tc>
          <w:tcPr>
            <w:tcW w:w="375" w:type="dxa"/>
            <w:tcMar>
              <w:top w:w="150" w:type="dxa"/>
              <w:left w:w="240" w:type="dxa"/>
              <w:bottom w:w="150" w:type="dxa"/>
              <w:right w:w="240" w:type="dxa"/>
            </w:tcMar>
            <w:vAlign w:val="center"/>
            <w:hideMark/>
          </w:tcPr>
          <w:p w14:paraId="6B3EFDEA"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22</w:t>
            </w:r>
          </w:p>
        </w:tc>
        <w:tc>
          <w:tcPr>
            <w:tcW w:w="548" w:type="dxa"/>
            <w:tcMar>
              <w:top w:w="150" w:type="dxa"/>
              <w:left w:w="240" w:type="dxa"/>
              <w:bottom w:w="150" w:type="dxa"/>
              <w:right w:w="0" w:type="dxa"/>
            </w:tcMar>
            <w:vAlign w:val="center"/>
            <w:hideMark/>
          </w:tcPr>
          <w:p w14:paraId="6A9FDC16"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22.0</w:t>
            </w:r>
          </w:p>
        </w:tc>
      </w:tr>
    </w:tbl>
    <w:p w14:paraId="3AE47719"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b/>
          <w:bCs/>
          <w:color w:val="0F1115"/>
          <w:kern w:val="0"/>
          <w14:ligatures w14:val="none"/>
        </w:rPr>
        <w:t>Table 11</w:t>
      </w:r>
      <w:r w:rsidRPr="00FE15C7">
        <w:rPr>
          <w:rFonts w:ascii="Times New Roman" w:eastAsia="Times New Roman" w:hAnsi="Times New Roman" w:cs="Times New Roman"/>
          <w:color w:val="0F1115"/>
          <w:kern w:val="0"/>
          <w14:ligatures w14:val="none"/>
        </w:rPr>
        <w:br/>
        <w:t>*Perceived Barriers to Adopting Health Behaviors (N = 100, multiple responses)*</w:t>
      </w:r>
    </w:p>
    <w:tbl>
      <w:tblPr>
        <w:tblW w:w="4044"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624"/>
        <w:gridCol w:w="710"/>
        <w:gridCol w:w="710"/>
      </w:tblGrid>
      <w:tr w:rsidR="00FE15C7" w:rsidRPr="00EF7A3A" w14:paraId="189CDC56" w14:textId="77777777" w:rsidTr="00EF7A3A">
        <w:trPr>
          <w:tblHeader/>
        </w:trPr>
        <w:tc>
          <w:tcPr>
            <w:tcW w:w="3121" w:type="dxa"/>
            <w:tcBorders>
              <w:top w:val="single" w:sz="4" w:space="0" w:color="auto"/>
              <w:bottom w:val="single" w:sz="4" w:space="0" w:color="auto"/>
            </w:tcBorders>
            <w:tcMar>
              <w:top w:w="150" w:type="dxa"/>
              <w:left w:w="0" w:type="dxa"/>
              <w:bottom w:w="150" w:type="dxa"/>
              <w:right w:w="240" w:type="dxa"/>
            </w:tcMar>
            <w:vAlign w:val="center"/>
            <w:hideMark/>
          </w:tcPr>
          <w:p w14:paraId="69B9C708" w14:textId="77777777" w:rsidR="00FE15C7" w:rsidRPr="00EF7A3A" w:rsidRDefault="00FE15C7" w:rsidP="00EF7A3A">
            <w:pPr>
              <w:spacing w:after="0" w:line="240" w:lineRule="auto"/>
              <w:jc w:val="center"/>
              <w:rPr>
                <w:rFonts w:ascii="Times New Roman" w:eastAsia="Times New Roman" w:hAnsi="Times New Roman" w:cs="Times New Roman"/>
                <w:b/>
                <w:bCs/>
                <w:kern w:val="0"/>
                <w:sz w:val="23"/>
                <w:szCs w:val="23"/>
                <w14:ligatures w14:val="none"/>
              </w:rPr>
            </w:pPr>
            <w:r w:rsidRPr="00EF7A3A">
              <w:rPr>
                <w:rFonts w:ascii="Times New Roman" w:eastAsia="Times New Roman" w:hAnsi="Times New Roman" w:cs="Times New Roman"/>
                <w:b/>
                <w:bCs/>
                <w:kern w:val="0"/>
                <w:sz w:val="23"/>
                <w:szCs w:val="23"/>
                <w14:ligatures w14:val="none"/>
              </w:rPr>
              <w:t>Barrier</w:t>
            </w:r>
          </w:p>
        </w:tc>
        <w:tc>
          <w:tcPr>
            <w:tcW w:w="375" w:type="dxa"/>
            <w:tcBorders>
              <w:top w:val="single" w:sz="4" w:space="0" w:color="auto"/>
              <w:bottom w:val="single" w:sz="4" w:space="0" w:color="auto"/>
            </w:tcBorders>
            <w:tcMar>
              <w:top w:w="150" w:type="dxa"/>
              <w:left w:w="240" w:type="dxa"/>
              <w:bottom w:w="150" w:type="dxa"/>
              <w:right w:w="240" w:type="dxa"/>
            </w:tcMar>
            <w:vAlign w:val="center"/>
            <w:hideMark/>
          </w:tcPr>
          <w:p w14:paraId="17156CA7" w14:textId="77777777" w:rsidR="00FE15C7" w:rsidRPr="00EF7A3A" w:rsidRDefault="00FE15C7" w:rsidP="00EF7A3A">
            <w:pPr>
              <w:spacing w:after="0" w:line="240" w:lineRule="auto"/>
              <w:jc w:val="center"/>
              <w:rPr>
                <w:rFonts w:ascii="Times New Roman" w:eastAsia="Times New Roman" w:hAnsi="Times New Roman" w:cs="Times New Roman"/>
                <w:b/>
                <w:bCs/>
                <w:kern w:val="0"/>
                <w:sz w:val="23"/>
                <w:szCs w:val="23"/>
                <w14:ligatures w14:val="none"/>
              </w:rPr>
            </w:pPr>
            <w:r w:rsidRPr="00EF7A3A">
              <w:rPr>
                <w:rFonts w:ascii="Times New Roman" w:eastAsia="Times New Roman" w:hAnsi="Times New Roman" w:cs="Times New Roman"/>
                <w:b/>
                <w:bCs/>
                <w:kern w:val="0"/>
                <w:sz w:val="23"/>
                <w:szCs w:val="23"/>
                <w14:ligatures w14:val="none"/>
              </w:rPr>
              <w:t>n</w:t>
            </w:r>
          </w:p>
        </w:tc>
        <w:tc>
          <w:tcPr>
            <w:tcW w:w="548" w:type="dxa"/>
            <w:tcBorders>
              <w:top w:val="single" w:sz="4" w:space="0" w:color="auto"/>
              <w:bottom w:val="single" w:sz="4" w:space="0" w:color="auto"/>
            </w:tcBorders>
            <w:tcMar>
              <w:top w:w="150" w:type="dxa"/>
              <w:left w:w="240" w:type="dxa"/>
              <w:bottom w:w="150" w:type="dxa"/>
              <w:right w:w="240" w:type="dxa"/>
            </w:tcMar>
            <w:vAlign w:val="center"/>
            <w:hideMark/>
          </w:tcPr>
          <w:p w14:paraId="2BF607FA" w14:textId="77777777" w:rsidR="00FE15C7" w:rsidRPr="00EF7A3A" w:rsidRDefault="00FE15C7" w:rsidP="00EF7A3A">
            <w:pPr>
              <w:spacing w:after="0" w:line="240" w:lineRule="auto"/>
              <w:jc w:val="center"/>
              <w:rPr>
                <w:rFonts w:ascii="Times New Roman" w:eastAsia="Times New Roman" w:hAnsi="Times New Roman" w:cs="Times New Roman"/>
                <w:b/>
                <w:bCs/>
                <w:kern w:val="0"/>
                <w:sz w:val="23"/>
                <w:szCs w:val="23"/>
                <w14:ligatures w14:val="none"/>
              </w:rPr>
            </w:pPr>
            <w:r w:rsidRPr="00EF7A3A">
              <w:rPr>
                <w:rFonts w:ascii="Times New Roman" w:eastAsia="Times New Roman" w:hAnsi="Times New Roman" w:cs="Times New Roman"/>
                <w:b/>
                <w:bCs/>
                <w:kern w:val="0"/>
                <w:sz w:val="23"/>
                <w:szCs w:val="23"/>
                <w14:ligatures w14:val="none"/>
              </w:rPr>
              <w:t>%</w:t>
            </w:r>
          </w:p>
        </w:tc>
      </w:tr>
      <w:tr w:rsidR="00FE15C7" w:rsidRPr="00FE15C7" w14:paraId="320C34FE" w14:textId="77777777" w:rsidTr="00EF7A3A">
        <w:tc>
          <w:tcPr>
            <w:tcW w:w="3121" w:type="dxa"/>
            <w:tcBorders>
              <w:top w:val="single" w:sz="4" w:space="0" w:color="auto"/>
            </w:tcBorders>
            <w:tcMar>
              <w:top w:w="150" w:type="dxa"/>
              <w:left w:w="0" w:type="dxa"/>
              <w:bottom w:w="150" w:type="dxa"/>
              <w:right w:w="240" w:type="dxa"/>
            </w:tcMar>
            <w:vAlign w:val="center"/>
            <w:hideMark/>
          </w:tcPr>
          <w:p w14:paraId="54BD92E7"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b/>
                <w:bCs/>
                <w:kern w:val="0"/>
                <w:sz w:val="23"/>
                <w:szCs w:val="23"/>
                <w14:ligatures w14:val="none"/>
              </w:rPr>
              <w:t>Lack of financial resources</w:t>
            </w:r>
          </w:p>
        </w:tc>
        <w:tc>
          <w:tcPr>
            <w:tcW w:w="375" w:type="dxa"/>
            <w:tcBorders>
              <w:top w:val="single" w:sz="4" w:space="0" w:color="auto"/>
            </w:tcBorders>
            <w:tcMar>
              <w:top w:w="150" w:type="dxa"/>
              <w:left w:w="240" w:type="dxa"/>
              <w:bottom w:w="150" w:type="dxa"/>
              <w:right w:w="240" w:type="dxa"/>
            </w:tcMar>
            <w:vAlign w:val="center"/>
            <w:hideMark/>
          </w:tcPr>
          <w:p w14:paraId="07B98296"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b/>
                <w:bCs/>
                <w:kern w:val="0"/>
                <w:sz w:val="23"/>
                <w:szCs w:val="23"/>
                <w14:ligatures w14:val="none"/>
              </w:rPr>
              <w:t>64</w:t>
            </w:r>
          </w:p>
        </w:tc>
        <w:tc>
          <w:tcPr>
            <w:tcW w:w="548" w:type="dxa"/>
            <w:tcBorders>
              <w:top w:val="single" w:sz="4" w:space="0" w:color="auto"/>
            </w:tcBorders>
            <w:tcMar>
              <w:top w:w="150" w:type="dxa"/>
              <w:left w:w="240" w:type="dxa"/>
              <w:bottom w:w="150" w:type="dxa"/>
              <w:right w:w="0" w:type="dxa"/>
            </w:tcMar>
            <w:vAlign w:val="center"/>
            <w:hideMark/>
          </w:tcPr>
          <w:p w14:paraId="72D35FB9"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b/>
                <w:bCs/>
                <w:kern w:val="0"/>
                <w:sz w:val="23"/>
                <w:szCs w:val="23"/>
                <w14:ligatures w14:val="none"/>
              </w:rPr>
              <w:t>64.0</w:t>
            </w:r>
          </w:p>
        </w:tc>
      </w:tr>
      <w:tr w:rsidR="00FE15C7" w:rsidRPr="00FE15C7" w14:paraId="720C95E3" w14:textId="77777777" w:rsidTr="00EF7A3A">
        <w:tc>
          <w:tcPr>
            <w:tcW w:w="3121" w:type="dxa"/>
            <w:tcMar>
              <w:top w:w="150" w:type="dxa"/>
              <w:left w:w="0" w:type="dxa"/>
              <w:bottom w:w="150" w:type="dxa"/>
              <w:right w:w="240" w:type="dxa"/>
            </w:tcMar>
            <w:vAlign w:val="center"/>
            <w:hideMark/>
          </w:tcPr>
          <w:p w14:paraId="1959C69F"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Difficult access to potable water</w:t>
            </w:r>
          </w:p>
        </w:tc>
        <w:tc>
          <w:tcPr>
            <w:tcW w:w="375" w:type="dxa"/>
            <w:tcMar>
              <w:top w:w="150" w:type="dxa"/>
              <w:left w:w="240" w:type="dxa"/>
              <w:bottom w:w="150" w:type="dxa"/>
              <w:right w:w="240" w:type="dxa"/>
            </w:tcMar>
            <w:vAlign w:val="center"/>
            <w:hideMark/>
          </w:tcPr>
          <w:p w14:paraId="24258D24"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48</w:t>
            </w:r>
          </w:p>
        </w:tc>
        <w:tc>
          <w:tcPr>
            <w:tcW w:w="548" w:type="dxa"/>
            <w:tcMar>
              <w:top w:w="150" w:type="dxa"/>
              <w:left w:w="240" w:type="dxa"/>
              <w:bottom w:w="150" w:type="dxa"/>
              <w:right w:w="0" w:type="dxa"/>
            </w:tcMar>
            <w:vAlign w:val="center"/>
            <w:hideMark/>
          </w:tcPr>
          <w:p w14:paraId="4FA46D94"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48.0</w:t>
            </w:r>
          </w:p>
        </w:tc>
      </w:tr>
      <w:tr w:rsidR="00FE15C7" w:rsidRPr="00FE15C7" w14:paraId="748FE65D" w14:textId="77777777" w:rsidTr="00EF7A3A">
        <w:tc>
          <w:tcPr>
            <w:tcW w:w="3121" w:type="dxa"/>
            <w:tcMar>
              <w:top w:w="150" w:type="dxa"/>
              <w:left w:w="0" w:type="dxa"/>
              <w:bottom w:w="150" w:type="dxa"/>
              <w:right w:w="240" w:type="dxa"/>
            </w:tcMar>
            <w:vAlign w:val="center"/>
            <w:hideMark/>
          </w:tcPr>
          <w:p w14:paraId="67DF1E79"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Lack of time</w:t>
            </w:r>
          </w:p>
        </w:tc>
        <w:tc>
          <w:tcPr>
            <w:tcW w:w="375" w:type="dxa"/>
            <w:tcMar>
              <w:top w:w="150" w:type="dxa"/>
              <w:left w:w="240" w:type="dxa"/>
              <w:bottom w:w="150" w:type="dxa"/>
              <w:right w:w="240" w:type="dxa"/>
            </w:tcMar>
            <w:vAlign w:val="center"/>
            <w:hideMark/>
          </w:tcPr>
          <w:p w14:paraId="75A0EF48"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42</w:t>
            </w:r>
          </w:p>
        </w:tc>
        <w:tc>
          <w:tcPr>
            <w:tcW w:w="548" w:type="dxa"/>
            <w:tcMar>
              <w:top w:w="150" w:type="dxa"/>
              <w:left w:w="240" w:type="dxa"/>
              <w:bottom w:w="150" w:type="dxa"/>
              <w:right w:w="0" w:type="dxa"/>
            </w:tcMar>
            <w:vAlign w:val="center"/>
            <w:hideMark/>
          </w:tcPr>
          <w:p w14:paraId="3A088981"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42.0</w:t>
            </w:r>
          </w:p>
        </w:tc>
      </w:tr>
      <w:tr w:rsidR="00FE15C7" w:rsidRPr="00FE15C7" w14:paraId="4991F0F8" w14:textId="77777777" w:rsidTr="00EF7A3A">
        <w:tc>
          <w:tcPr>
            <w:tcW w:w="3121" w:type="dxa"/>
            <w:tcMar>
              <w:top w:w="150" w:type="dxa"/>
              <w:left w:w="0" w:type="dxa"/>
              <w:bottom w:w="150" w:type="dxa"/>
              <w:right w:w="240" w:type="dxa"/>
            </w:tcMar>
            <w:vAlign w:val="center"/>
            <w:hideMark/>
          </w:tcPr>
          <w:p w14:paraId="4F856915"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Habits difficult to change</w:t>
            </w:r>
          </w:p>
        </w:tc>
        <w:tc>
          <w:tcPr>
            <w:tcW w:w="375" w:type="dxa"/>
            <w:tcMar>
              <w:top w:w="150" w:type="dxa"/>
              <w:left w:w="240" w:type="dxa"/>
              <w:bottom w:w="150" w:type="dxa"/>
              <w:right w:w="240" w:type="dxa"/>
            </w:tcMar>
            <w:vAlign w:val="center"/>
            <w:hideMark/>
          </w:tcPr>
          <w:p w14:paraId="4C1D28AA"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38</w:t>
            </w:r>
          </w:p>
        </w:tc>
        <w:tc>
          <w:tcPr>
            <w:tcW w:w="548" w:type="dxa"/>
            <w:tcMar>
              <w:top w:w="150" w:type="dxa"/>
              <w:left w:w="240" w:type="dxa"/>
              <w:bottom w:w="150" w:type="dxa"/>
              <w:right w:w="0" w:type="dxa"/>
            </w:tcMar>
            <w:vAlign w:val="center"/>
            <w:hideMark/>
          </w:tcPr>
          <w:p w14:paraId="15ADDA07"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38.0</w:t>
            </w:r>
          </w:p>
        </w:tc>
      </w:tr>
      <w:tr w:rsidR="00FE15C7" w:rsidRPr="00FE15C7" w14:paraId="4732008F" w14:textId="77777777" w:rsidTr="00EF7A3A">
        <w:tc>
          <w:tcPr>
            <w:tcW w:w="3121" w:type="dxa"/>
            <w:tcMar>
              <w:top w:w="150" w:type="dxa"/>
              <w:left w:w="0" w:type="dxa"/>
              <w:bottom w:w="150" w:type="dxa"/>
              <w:right w:w="240" w:type="dxa"/>
            </w:tcMar>
            <w:vAlign w:val="center"/>
            <w:hideMark/>
          </w:tcPr>
          <w:p w14:paraId="7ED63D4C"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lastRenderedPageBreak/>
              <w:t>Lack of family support</w:t>
            </w:r>
          </w:p>
        </w:tc>
        <w:tc>
          <w:tcPr>
            <w:tcW w:w="375" w:type="dxa"/>
            <w:tcMar>
              <w:top w:w="150" w:type="dxa"/>
              <w:left w:w="240" w:type="dxa"/>
              <w:bottom w:w="150" w:type="dxa"/>
              <w:right w:w="240" w:type="dxa"/>
            </w:tcMar>
            <w:vAlign w:val="center"/>
            <w:hideMark/>
          </w:tcPr>
          <w:p w14:paraId="7BFA7954"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24</w:t>
            </w:r>
          </w:p>
        </w:tc>
        <w:tc>
          <w:tcPr>
            <w:tcW w:w="548" w:type="dxa"/>
            <w:tcMar>
              <w:top w:w="150" w:type="dxa"/>
              <w:left w:w="240" w:type="dxa"/>
              <w:bottom w:w="150" w:type="dxa"/>
              <w:right w:w="0" w:type="dxa"/>
            </w:tcMar>
            <w:vAlign w:val="center"/>
            <w:hideMark/>
          </w:tcPr>
          <w:p w14:paraId="530D7AEF"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24.0</w:t>
            </w:r>
          </w:p>
        </w:tc>
      </w:tr>
      <w:tr w:rsidR="00FE15C7" w:rsidRPr="00FE15C7" w14:paraId="0FB7BAAE" w14:textId="77777777" w:rsidTr="00EF7A3A">
        <w:tc>
          <w:tcPr>
            <w:tcW w:w="3121" w:type="dxa"/>
            <w:tcMar>
              <w:top w:w="150" w:type="dxa"/>
              <w:left w:w="0" w:type="dxa"/>
              <w:bottom w:w="150" w:type="dxa"/>
              <w:right w:w="240" w:type="dxa"/>
            </w:tcMar>
            <w:vAlign w:val="center"/>
            <w:hideMark/>
          </w:tcPr>
          <w:p w14:paraId="644C50B4"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No difficulty</w:t>
            </w:r>
          </w:p>
        </w:tc>
        <w:tc>
          <w:tcPr>
            <w:tcW w:w="375" w:type="dxa"/>
            <w:tcMar>
              <w:top w:w="150" w:type="dxa"/>
              <w:left w:w="240" w:type="dxa"/>
              <w:bottom w:w="150" w:type="dxa"/>
              <w:right w:w="240" w:type="dxa"/>
            </w:tcMar>
            <w:vAlign w:val="center"/>
            <w:hideMark/>
          </w:tcPr>
          <w:p w14:paraId="5EC0F2AA"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8</w:t>
            </w:r>
          </w:p>
        </w:tc>
        <w:tc>
          <w:tcPr>
            <w:tcW w:w="548" w:type="dxa"/>
            <w:tcMar>
              <w:top w:w="150" w:type="dxa"/>
              <w:left w:w="240" w:type="dxa"/>
              <w:bottom w:w="150" w:type="dxa"/>
              <w:right w:w="0" w:type="dxa"/>
            </w:tcMar>
            <w:vAlign w:val="center"/>
            <w:hideMark/>
          </w:tcPr>
          <w:p w14:paraId="2B2A4577"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8.0</w:t>
            </w:r>
          </w:p>
        </w:tc>
      </w:tr>
    </w:tbl>
    <w:p w14:paraId="16814D86" w14:textId="77777777" w:rsidR="00FE15C7" w:rsidRPr="00FE15C7" w:rsidRDefault="00FE15C7" w:rsidP="00FE15C7">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FE15C7">
        <w:rPr>
          <w:rFonts w:ascii="Times New Roman" w:eastAsia="Times New Roman" w:hAnsi="Times New Roman" w:cs="Times New Roman"/>
          <w:b/>
          <w:bCs/>
          <w:color w:val="0F1115"/>
          <w:kern w:val="0"/>
          <w:sz w:val="30"/>
          <w:szCs w:val="30"/>
          <w14:ligatures w14:val="none"/>
        </w:rPr>
        <w:t>3.6. Bivariate Analysis: Associations Between Variables</w:t>
      </w:r>
    </w:p>
    <w:p w14:paraId="7987DCE0"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b/>
          <w:bCs/>
          <w:color w:val="0F1115"/>
          <w:kern w:val="0"/>
          <w14:ligatures w14:val="none"/>
        </w:rPr>
        <w:t>Table 12</w:t>
      </w:r>
      <w:r w:rsidRPr="00FE15C7">
        <w:rPr>
          <w:rFonts w:ascii="Times New Roman" w:eastAsia="Times New Roman" w:hAnsi="Times New Roman" w:cs="Times New Roman"/>
          <w:color w:val="0F1115"/>
          <w:kern w:val="0"/>
          <w14:ligatures w14:val="none"/>
        </w:rPr>
        <w:br/>
        <w:t>*Association Between Age and Reported Behavioral Change (N = 100)*</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358"/>
        <w:gridCol w:w="2735"/>
        <w:gridCol w:w="2460"/>
        <w:gridCol w:w="966"/>
      </w:tblGrid>
      <w:tr w:rsidR="00FE15C7" w:rsidRPr="00FE15C7" w14:paraId="15264450" w14:textId="77777777" w:rsidTr="00EF7A3A">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6C317D5A"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Age group</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41A2C8D3"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Changed behavior n (%)</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1CFF2C7B"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Did not change n (%)</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045A3EC2"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Total</w:t>
            </w:r>
          </w:p>
        </w:tc>
      </w:tr>
      <w:tr w:rsidR="00FE15C7" w:rsidRPr="00FE15C7" w14:paraId="3AF73754" w14:textId="77777777" w:rsidTr="00EF7A3A">
        <w:tc>
          <w:tcPr>
            <w:tcW w:w="0" w:type="auto"/>
            <w:tcBorders>
              <w:top w:val="single" w:sz="4" w:space="0" w:color="auto"/>
            </w:tcBorders>
            <w:tcMar>
              <w:top w:w="150" w:type="dxa"/>
              <w:left w:w="0" w:type="dxa"/>
              <w:bottom w:w="150" w:type="dxa"/>
              <w:right w:w="240" w:type="dxa"/>
            </w:tcMar>
            <w:vAlign w:val="center"/>
            <w:hideMark/>
          </w:tcPr>
          <w:p w14:paraId="78176E80"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18–25 years</w:t>
            </w:r>
          </w:p>
        </w:tc>
        <w:tc>
          <w:tcPr>
            <w:tcW w:w="0" w:type="auto"/>
            <w:tcBorders>
              <w:top w:val="single" w:sz="4" w:space="0" w:color="auto"/>
            </w:tcBorders>
            <w:tcMar>
              <w:top w:w="150" w:type="dxa"/>
              <w:left w:w="240" w:type="dxa"/>
              <w:bottom w:w="150" w:type="dxa"/>
              <w:right w:w="240" w:type="dxa"/>
            </w:tcMar>
            <w:vAlign w:val="center"/>
            <w:hideMark/>
          </w:tcPr>
          <w:p w14:paraId="35F7229B"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6 (75.0)</w:t>
            </w:r>
          </w:p>
        </w:tc>
        <w:tc>
          <w:tcPr>
            <w:tcW w:w="0" w:type="auto"/>
            <w:tcBorders>
              <w:top w:val="single" w:sz="4" w:space="0" w:color="auto"/>
            </w:tcBorders>
            <w:tcMar>
              <w:top w:w="150" w:type="dxa"/>
              <w:left w:w="240" w:type="dxa"/>
              <w:bottom w:w="150" w:type="dxa"/>
              <w:right w:w="240" w:type="dxa"/>
            </w:tcMar>
            <w:vAlign w:val="center"/>
            <w:hideMark/>
          </w:tcPr>
          <w:p w14:paraId="64F762C2"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2 (25.0)</w:t>
            </w:r>
          </w:p>
        </w:tc>
        <w:tc>
          <w:tcPr>
            <w:tcW w:w="0" w:type="auto"/>
            <w:tcBorders>
              <w:top w:val="single" w:sz="4" w:space="0" w:color="auto"/>
            </w:tcBorders>
            <w:tcMar>
              <w:top w:w="150" w:type="dxa"/>
              <w:left w:w="240" w:type="dxa"/>
              <w:bottom w:w="150" w:type="dxa"/>
              <w:right w:w="0" w:type="dxa"/>
            </w:tcMar>
            <w:vAlign w:val="center"/>
            <w:hideMark/>
          </w:tcPr>
          <w:p w14:paraId="01948D23"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8</w:t>
            </w:r>
          </w:p>
        </w:tc>
      </w:tr>
      <w:tr w:rsidR="00FE15C7" w:rsidRPr="00FE15C7" w14:paraId="0D87333D" w14:textId="77777777" w:rsidTr="00EF7A3A">
        <w:tc>
          <w:tcPr>
            <w:tcW w:w="0" w:type="auto"/>
            <w:tcMar>
              <w:top w:w="150" w:type="dxa"/>
              <w:left w:w="0" w:type="dxa"/>
              <w:bottom w:w="150" w:type="dxa"/>
              <w:right w:w="240" w:type="dxa"/>
            </w:tcMar>
            <w:vAlign w:val="center"/>
            <w:hideMark/>
          </w:tcPr>
          <w:p w14:paraId="39127386"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26–35 years</w:t>
            </w:r>
          </w:p>
        </w:tc>
        <w:tc>
          <w:tcPr>
            <w:tcW w:w="0" w:type="auto"/>
            <w:tcMar>
              <w:top w:w="150" w:type="dxa"/>
              <w:left w:w="240" w:type="dxa"/>
              <w:bottom w:w="150" w:type="dxa"/>
              <w:right w:w="240" w:type="dxa"/>
            </w:tcMar>
            <w:vAlign w:val="center"/>
            <w:hideMark/>
          </w:tcPr>
          <w:p w14:paraId="13E6B11A"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12 (75.0)</w:t>
            </w:r>
          </w:p>
        </w:tc>
        <w:tc>
          <w:tcPr>
            <w:tcW w:w="0" w:type="auto"/>
            <w:tcMar>
              <w:top w:w="150" w:type="dxa"/>
              <w:left w:w="240" w:type="dxa"/>
              <w:bottom w:w="150" w:type="dxa"/>
              <w:right w:w="240" w:type="dxa"/>
            </w:tcMar>
            <w:vAlign w:val="center"/>
            <w:hideMark/>
          </w:tcPr>
          <w:p w14:paraId="1424E89F"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4 (25.0)</w:t>
            </w:r>
          </w:p>
        </w:tc>
        <w:tc>
          <w:tcPr>
            <w:tcW w:w="0" w:type="auto"/>
            <w:tcMar>
              <w:top w:w="150" w:type="dxa"/>
              <w:left w:w="240" w:type="dxa"/>
              <w:bottom w:w="150" w:type="dxa"/>
              <w:right w:w="0" w:type="dxa"/>
            </w:tcMar>
            <w:vAlign w:val="center"/>
            <w:hideMark/>
          </w:tcPr>
          <w:p w14:paraId="66FCDBC0"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16</w:t>
            </w:r>
          </w:p>
        </w:tc>
      </w:tr>
      <w:tr w:rsidR="00FE15C7" w:rsidRPr="00FE15C7" w14:paraId="341F2F13" w14:textId="77777777" w:rsidTr="00EF7A3A">
        <w:tc>
          <w:tcPr>
            <w:tcW w:w="0" w:type="auto"/>
            <w:tcMar>
              <w:top w:w="150" w:type="dxa"/>
              <w:left w:w="0" w:type="dxa"/>
              <w:bottom w:w="150" w:type="dxa"/>
              <w:right w:w="240" w:type="dxa"/>
            </w:tcMar>
            <w:vAlign w:val="center"/>
            <w:hideMark/>
          </w:tcPr>
          <w:p w14:paraId="16C56083"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36–45 years</w:t>
            </w:r>
          </w:p>
        </w:tc>
        <w:tc>
          <w:tcPr>
            <w:tcW w:w="0" w:type="auto"/>
            <w:tcMar>
              <w:top w:w="150" w:type="dxa"/>
              <w:left w:w="240" w:type="dxa"/>
              <w:bottom w:w="150" w:type="dxa"/>
              <w:right w:w="240" w:type="dxa"/>
            </w:tcMar>
            <w:vAlign w:val="center"/>
            <w:hideMark/>
          </w:tcPr>
          <w:p w14:paraId="2D1441A8"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18 (81.8)</w:t>
            </w:r>
          </w:p>
        </w:tc>
        <w:tc>
          <w:tcPr>
            <w:tcW w:w="0" w:type="auto"/>
            <w:tcMar>
              <w:top w:w="150" w:type="dxa"/>
              <w:left w:w="240" w:type="dxa"/>
              <w:bottom w:w="150" w:type="dxa"/>
              <w:right w:w="240" w:type="dxa"/>
            </w:tcMar>
            <w:vAlign w:val="center"/>
            <w:hideMark/>
          </w:tcPr>
          <w:p w14:paraId="7D27891E"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4 (18.2)</w:t>
            </w:r>
          </w:p>
        </w:tc>
        <w:tc>
          <w:tcPr>
            <w:tcW w:w="0" w:type="auto"/>
            <w:tcMar>
              <w:top w:w="150" w:type="dxa"/>
              <w:left w:w="240" w:type="dxa"/>
              <w:bottom w:w="150" w:type="dxa"/>
              <w:right w:w="0" w:type="dxa"/>
            </w:tcMar>
            <w:vAlign w:val="center"/>
            <w:hideMark/>
          </w:tcPr>
          <w:p w14:paraId="70C441DA"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22</w:t>
            </w:r>
          </w:p>
        </w:tc>
      </w:tr>
      <w:tr w:rsidR="00FE15C7" w:rsidRPr="00FE15C7" w14:paraId="226D646E" w14:textId="77777777" w:rsidTr="00EF7A3A">
        <w:tc>
          <w:tcPr>
            <w:tcW w:w="0" w:type="auto"/>
            <w:tcMar>
              <w:top w:w="150" w:type="dxa"/>
              <w:left w:w="0" w:type="dxa"/>
              <w:bottom w:w="150" w:type="dxa"/>
              <w:right w:w="240" w:type="dxa"/>
            </w:tcMar>
            <w:vAlign w:val="center"/>
            <w:hideMark/>
          </w:tcPr>
          <w:p w14:paraId="2B5DAE84"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46–50 years</w:t>
            </w:r>
          </w:p>
        </w:tc>
        <w:tc>
          <w:tcPr>
            <w:tcW w:w="0" w:type="auto"/>
            <w:tcMar>
              <w:top w:w="150" w:type="dxa"/>
              <w:left w:w="240" w:type="dxa"/>
              <w:bottom w:w="150" w:type="dxa"/>
              <w:right w:w="240" w:type="dxa"/>
            </w:tcMar>
            <w:vAlign w:val="center"/>
            <w:hideMark/>
          </w:tcPr>
          <w:p w14:paraId="43FCC3C9"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30 (93.8)</w:t>
            </w:r>
          </w:p>
        </w:tc>
        <w:tc>
          <w:tcPr>
            <w:tcW w:w="0" w:type="auto"/>
            <w:tcMar>
              <w:top w:w="150" w:type="dxa"/>
              <w:left w:w="240" w:type="dxa"/>
              <w:bottom w:w="150" w:type="dxa"/>
              <w:right w:w="240" w:type="dxa"/>
            </w:tcMar>
            <w:vAlign w:val="center"/>
            <w:hideMark/>
          </w:tcPr>
          <w:p w14:paraId="52EFDAF2"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2 (6.2)</w:t>
            </w:r>
          </w:p>
        </w:tc>
        <w:tc>
          <w:tcPr>
            <w:tcW w:w="0" w:type="auto"/>
            <w:tcMar>
              <w:top w:w="150" w:type="dxa"/>
              <w:left w:w="240" w:type="dxa"/>
              <w:bottom w:w="150" w:type="dxa"/>
              <w:right w:w="0" w:type="dxa"/>
            </w:tcMar>
            <w:vAlign w:val="center"/>
            <w:hideMark/>
          </w:tcPr>
          <w:p w14:paraId="56AF6974"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32</w:t>
            </w:r>
          </w:p>
        </w:tc>
      </w:tr>
      <w:tr w:rsidR="00FE15C7" w:rsidRPr="00FE15C7" w14:paraId="37D11713" w14:textId="77777777" w:rsidTr="00EF7A3A">
        <w:tc>
          <w:tcPr>
            <w:tcW w:w="0" w:type="auto"/>
            <w:tcMar>
              <w:top w:w="150" w:type="dxa"/>
              <w:left w:w="0" w:type="dxa"/>
              <w:bottom w:w="150" w:type="dxa"/>
              <w:right w:w="240" w:type="dxa"/>
            </w:tcMar>
            <w:vAlign w:val="center"/>
            <w:hideMark/>
          </w:tcPr>
          <w:p w14:paraId="59B288E8"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51+ years</w:t>
            </w:r>
          </w:p>
        </w:tc>
        <w:tc>
          <w:tcPr>
            <w:tcW w:w="0" w:type="auto"/>
            <w:tcMar>
              <w:top w:w="150" w:type="dxa"/>
              <w:left w:w="240" w:type="dxa"/>
              <w:bottom w:w="150" w:type="dxa"/>
              <w:right w:w="240" w:type="dxa"/>
            </w:tcMar>
            <w:vAlign w:val="center"/>
            <w:hideMark/>
          </w:tcPr>
          <w:p w14:paraId="313B07EB"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18 (81.8)</w:t>
            </w:r>
          </w:p>
        </w:tc>
        <w:tc>
          <w:tcPr>
            <w:tcW w:w="0" w:type="auto"/>
            <w:tcMar>
              <w:top w:w="150" w:type="dxa"/>
              <w:left w:w="240" w:type="dxa"/>
              <w:bottom w:w="150" w:type="dxa"/>
              <w:right w:w="240" w:type="dxa"/>
            </w:tcMar>
            <w:vAlign w:val="center"/>
            <w:hideMark/>
          </w:tcPr>
          <w:p w14:paraId="40ABA1D4"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4 (18.2)</w:t>
            </w:r>
          </w:p>
        </w:tc>
        <w:tc>
          <w:tcPr>
            <w:tcW w:w="0" w:type="auto"/>
            <w:tcMar>
              <w:top w:w="150" w:type="dxa"/>
              <w:left w:w="240" w:type="dxa"/>
              <w:bottom w:w="150" w:type="dxa"/>
              <w:right w:w="0" w:type="dxa"/>
            </w:tcMar>
            <w:vAlign w:val="center"/>
            <w:hideMark/>
          </w:tcPr>
          <w:p w14:paraId="136C2B98"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22</w:t>
            </w:r>
          </w:p>
        </w:tc>
      </w:tr>
      <w:tr w:rsidR="00FE15C7" w:rsidRPr="00FE15C7" w14:paraId="5BD05111" w14:textId="77777777" w:rsidTr="00EF7A3A">
        <w:tc>
          <w:tcPr>
            <w:tcW w:w="0" w:type="auto"/>
            <w:tcMar>
              <w:top w:w="150" w:type="dxa"/>
              <w:left w:w="0" w:type="dxa"/>
              <w:bottom w:w="150" w:type="dxa"/>
              <w:right w:w="240" w:type="dxa"/>
            </w:tcMar>
            <w:vAlign w:val="center"/>
            <w:hideMark/>
          </w:tcPr>
          <w:p w14:paraId="6B6EF7DC"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b/>
                <w:bCs/>
                <w:kern w:val="0"/>
                <w:sz w:val="23"/>
                <w:szCs w:val="23"/>
                <w14:ligatures w14:val="none"/>
              </w:rPr>
              <w:t>Total</w:t>
            </w:r>
          </w:p>
        </w:tc>
        <w:tc>
          <w:tcPr>
            <w:tcW w:w="0" w:type="auto"/>
            <w:tcMar>
              <w:top w:w="150" w:type="dxa"/>
              <w:left w:w="240" w:type="dxa"/>
              <w:bottom w:w="150" w:type="dxa"/>
              <w:right w:w="240" w:type="dxa"/>
            </w:tcMar>
            <w:vAlign w:val="center"/>
            <w:hideMark/>
          </w:tcPr>
          <w:p w14:paraId="1B27A976"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b/>
                <w:bCs/>
                <w:kern w:val="0"/>
                <w:sz w:val="23"/>
                <w:szCs w:val="23"/>
                <w14:ligatures w14:val="none"/>
              </w:rPr>
              <w:t>84</w:t>
            </w:r>
          </w:p>
        </w:tc>
        <w:tc>
          <w:tcPr>
            <w:tcW w:w="0" w:type="auto"/>
            <w:tcMar>
              <w:top w:w="150" w:type="dxa"/>
              <w:left w:w="240" w:type="dxa"/>
              <w:bottom w:w="150" w:type="dxa"/>
              <w:right w:w="240" w:type="dxa"/>
            </w:tcMar>
            <w:vAlign w:val="center"/>
            <w:hideMark/>
          </w:tcPr>
          <w:p w14:paraId="5B9CD4FB"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b/>
                <w:bCs/>
                <w:kern w:val="0"/>
                <w:sz w:val="23"/>
                <w:szCs w:val="23"/>
                <w14:ligatures w14:val="none"/>
              </w:rPr>
              <w:t>16</w:t>
            </w:r>
          </w:p>
        </w:tc>
        <w:tc>
          <w:tcPr>
            <w:tcW w:w="0" w:type="auto"/>
            <w:tcMar>
              <w:top w:w="150" w:type="dxa"/>
              <w:left w:w="240" w:type="dxa"/>
              <w:bottom w:w="150" w:type="dxa"/>
              <w:right w:w="0" w:type="dxa"/>
            </w:tcMar>
            <w:vAlign w:val="center"/>
            <w:hideMark/>
          </w:tcPr>
          <w:p w14:paraId="2AA3751B"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b/>
                <w:bCs/>
                <w:kern w:val="0"/>
                <w:sz w:val="23"/>
                <w:szCs w:val="23"/>
                <w14:ligatures w14:val="none"/>
              </w:rPr>
              <w:t>100</w:t>
            </w:r>
          </w:p>
        </w:tc>
      </w:tr>
    </w:tbl>
    <w:p w14:paraId="61C2E538"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*χ² calculated = 300.000; χ² tabulated (</w:t>
      </w:r>
      <w:proofErr w:type="spellStart"/>
      <w:r w:rsidRPr="00FE15C7">
        <w:rPr>
          <w:rFonts w:ascii="Times New Roman" w:eastAsia="Times New Roman" w:hAnsi="Times New Roman" w:cs="Times New Roman"/>
          <w:color w:val="0F1115"/>
          <w:kern w:val="0"/>
          <w14:ligatures w14:val="none"/>
        </w:rPr>
        <w:t>df</w:t>
      </w:r>
      <w:proofErr w:type="spellEnd"/>
      <w:r w:rsidRPr="00FE15C7">
        <w:rPr>
          <w:rFonts w:ascii="Times New Roman" w:eastAsia="Times New Roman" w:hAnsi="Times New Roman" w:cs="Times New Roman"/>
          <w:color w:val="0F1115"/>
          <w:kern w:val="0"/>
          <w14:ligatures w14:val="none"/>
        </w:rPr>
        <w:t xml:space="preserve"> = 4, α = 0.05) = 9.49; </w:t>
      </w:r>
      <w:r w:rsidRPr="00FE15C7">
        <w:rPr>
          <w:rFonts w:ascii="Times New Roman" w:eastAsia="Times New Roman" w:hAnsi="Times New Roman" w:cs="Times New Roman"/>
          <w:b/>
          <w:bCs/>
          <w:color w:val="0F1115"/>
          <w:kern w:val="0"/>
          <w14:ligatures w14:val="none"/>
        </w:rPr>
        <w:t>Significant association</w:t>
      </w:r>
      <w:r w:rsidRPr="00FE15C7">
        <w:rPr>
          <w:rFonts w:ascii="Times New Roman" w:eastAsia="Times New Roman" w:hAnsi="Times New Roman" w:cs="Times New Roman"/>
          <w:color w:val="0F1115"/>
          <w:kern w:val="0"/>
          <w14:ligatures w14:val="none"/>
        </w:rPr>
        <w:t>*</w:t>
      </w:r>
    </w:p>
    <w:p w14:paraId="0CE092B4"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b/>
          <w:bCs/>
          <w:color w:val="0F1115"/>
          <w:kern w:val="0"/>
          <w14:ligatures w14:val="none"/>
        </w:rPr>
        <w:t>Interpretation:</w:t>
      </w:r>
      <w:r w:rsidRPr="00FE15C7">
        <w:rPr>
          <w:rFonts w:ascii="Times New Roman" w:eastAsia="Times New Roman" w:hAnsi="Times New Roman" w:cs="Times New Roman"/>
          <w:color w:val="0F1115"/>
          <w:kern w:val="0"/>
          <w14:ligatures w14:val="none"/>
        </w:rPr>
        <w:t> There is a highly significant association between age and behavioral change. The 46–50 age group showed the highest change rate (93.8%).</w:t>
      </w:r>
    </w:p>
    <w:p w14:paraId="1E68B273"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b/>
          <w:bCs/>
          <w:color w:val="0F1115"/>
          <w:kern w:val="0"/>
          <w14:ligatures w14:val="none"/>
        </w:rPr>
        <w:t>Table 13</w:t>
      </w:r>
      <w:r w:rsidRPr="00FE15C7">
        <w:rPr>
          <w:rFonts w:ascii="Times New Roman" w:eastAsia="Times New Roman" w:hAnsi="Times New Roman" w:cs="Times New Roman"/>
          <w:color w:val="0F1115"/>
          <w:kern w:val="0"/>
          <w14:ligatures w14:val="none"/>
        </w:rPr>
        <w:br/>
      </w:r>
      <w:r w:rsidRPr="00FE15C7">
        <w:rPr>
          <w:rFonts w:ascii="Times New Roman" w:eastAsia="Times New Roman" w:hAnsi="Times New Roman" w:cs="Times New Roman"/>
          <w:i/>
          <w:iCs/>
          <w:color w:val="0F1115"/>
          <w:kern w:val="0"/>
          <w14:ligatures w14:val="none"/>
        </w:rPr>
        <w:t>Association Between Sex and Type of Behavior Modified</w:t>
      </w:r>
    </w:p>
    <w:tbl>
      <w:tblPr>
        <w:tblW w:w="6157"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196"/>
        <w:gridCol w:w="1878"/>
        <w:gridCol w:w="2083"/>
      </w:tblGrid>
      <w:tr w:rsidR="00FE15C7" w:rsidRPr="00FE15C7" w14:paraId="2913492C" w14:textId="77777777" w:rsidTr="00EF7A3A">
        <w:trPr>
          <w:tblHeader/>
        </w:trPr>
        <w:tc>
          <w:tcPr>
            <w:tcW w:w="2196" w:type="dxa"/>
            <w:tcBorders>
              <w:top w:val="single" w:sz="4" w:space="0" w:color="auto"/>
              <w:bottom w:val="single" w:sz="4" w:space="0" w:color="auto"/>
            </w:tcBorders>
            <w:tcMar>
              <w:top w:w="150" w:type="dxa"/>
              <w:left w:w="0" w:type="dxa"/>
              <w:bottom w:w="150" w:type="dxa"/>
              <w:right w:w="240" w:type="dxa"/>
            </w:tcMar>
            <w:vAlign w:val="center"/>
            <w:hideMark/>
          </w:tcPr>
          <w:p w14:paraId="31929BF4"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Behavior type</w:t>
            </w:r>
          </w:p>
        </w:tc>
        <w:tc>
          <w:tcPr>
            <w:tcW w:w="1878" w:type="dxa"/>
            <w:tcBorders>
              <w:top w:val="single" w:sz="4" w:space="0" w:color="auto"/>
              <w:bottom w:val="single" w:sz="4" w:space="0" w:color="auto"/>
            </w:tcBorders>
            <w:tcMar>
              <w:top w:w="150" w:type="dxa"/>
              <w:left w:w="240" w:type="dxa"/>
              <w:bottom w:w="150" w:type="dxa"/>
              <w:right w:w="240" w:type="dxa"/>
            </w:tcMar>
            <w:vAlign w:val="center"/>
            <w:hideMark/>
          </w:tcPr>
          <w:p w14:paraId="60759FA1"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Male (n=20) n (%)</w:t>
            </w:r>
          </w:p>
        </w:tc>
        <w:tc>
          <w:tcPr>
            <w:tcW w:w="2083" w:type="dxa"/>
            <w:tcBorders>
              <w:top w:val="single" w:sz="4" w:space="0" w:color="auto"/>
              <w:bottom w:val="single" w:sz="4" w:space="0" w:color="auto"/>
            </w:tcBorders>
            <w:tcMar>
              <w:top w:w="150" w:type="dxa"/>
              <w:left w:w="240" w:type="dxa"/>
              <w:bottom w:w="150" w:type="dxa"/>
              <w:right w:w="240" w:type="dxa"/>
            </w:tcMar>
            <w:vAlign w:val="center"/>
            <w:hideMark/>
          </w:tcPr>
          <w:p w14:paraId="1B79C1FA"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Female (n=80) n (%)</w:t>
            </w:r>
          </w:p>
        </w:tc>
      </w:tr>
      <w:tr w:rsidR="00FE15C7" w:rsidRPr="00FE15C7" w14:paraId="3FF61FF8" w14:textId="77777777" w:rsidTr="00EF7A3A">
        <w:tc>
          <w:tcPr>
            <w:tcW w:w="2196" w:type="dxa"/>
            <w:tcBorders>
              <w:top w:val="single" w:sz="4" w:space="0" w:color="auto"/>
            </w:tcBorders>
            <w:tcMar>
              <w:top w:w="150" w:type="dxa"/>
              <w:left w:w="0" w:type="dxa"/>
              <w:bottom w:w="150" w:type="dxa"/>
              <w:right w:w="240" w:type="dxa"/>
            </w:tcMar>
            <w:vAlign w:val="center"/>
            <w:hideMark/>
          </w:tcPr>
          <w:p w14:paraId="63EADD0C"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Hand washing</w:t>
            </w:r>
          </w:p>
        </w:tc>
        <w:tc>
          <w:tcPr>
            <w:tcW w:w="1878" w:type="dxa"/>
            <w:tcBorders>
              <w:top w:val="single" w:sz="4" w:space="0" w:color="auto"/>
            </w:tcBorders>
            <w:tcMar>
              <w:top w:w="150" w:type="dxa"/>
              <w:left w:w="240" w:type="dxa"/>
              <w:bottom w:w="150" w:type="dxa"/>
              <w:right w:w="240" w:type="dxa"/>
            </w:tcMar>
            <w:vAlign w:val="center"/>
            <w:hideMark/>
          </w:tcPr>
          <w:p w14:paraId="442EFAD0"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8 (40.0)</w:t>
            </w:r>
          </w:p>
        </w:tc>
        <w:tc>
          <w:tcPr>
            <w:tcW w:w="2083" w:type="dxa"/>
            <w:tcBorders>
              <w:top w:val="single" w:sz="4" w:space="0" w:color="auto"/>
            </w:tcBorders>
            <w:tcMar>
              <w:top w:w="150" w:type="dxa"/>
              <w:left w:w="240" w:type="dxa"/>
              <w:bottom w:w="150" w:type="dxa"/>
              <w:right w:w="0" w:type="dxa"/>
            </w:tcMar>
            <w:vAlign w:val="center"/>
            <w:hideMark/>
          </w:tcPr>
          <w:p w14:paraId="5958D527"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48 (60.0)</w:t>
            </w:r>
          </w:p>
        </w:tc>
      </w:tr>
      <w:tr w:rsidR="00FE15C7" w:rsidRPr="00FE15C7" w14:paraId="65D12C3D" w14:textId="77777777" w:rsidTr="00EF7A3A">
        <w:tc>
          <w:tcPr>
            <w:tcW w:w="2196" w:type="dxa"/>
            <w:tcMar>
              <w:top w:w="150" w:type="dxa"/>
              <w:left w:w="0" w:type="dxa"/>
              <w:bottom w:w="150" w:type="dxa"/>
              <w:right w:w="240" w:type="dxa"/>
            </w:tcMar>
            <w:vAlign w:val="center"/>
            <w:hideMark/>
          </w:tcPr>
          <w:p w14:paraId="60354F06"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lastRenderedPageBreak/>
              <w:t>Bed net use</w:t>
            </w:r>
          </w:p>
        </w:tc>
        <w:tc>
          <w:tcPr>
            <w:tcW w:w="1878" w:type="dxa"/>
            <w:tcMar>
              <w:top w:w="150" w:type="dxa"/>
              <w:left w:w="240" w:type="dxa"/>
              <w:bottom w:w="150" w:type="dxa"/>
              <w:right w:w="240" w:type="dxa"/>
            </w:tcMar>
            <w:vAlign w:val="center"/>
            <w:hideMark/>
          </w:tcPr>
          <w:p w14:paraId="78258287"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10 (50.0)</w:t>
            </w:r>
          </w:p>
        </w:tc>
        <w:tc>
          <w:tcPr>
            <w:tcW w:w="2083" w:type="dxa"/>
            <w:tcMar>
              <w:top w:w="150" w:type="dxa"/>
              <w:left w:w="240" w:type="dxa"/>
              <w:bottom w:w="150" w:type="dxa"/>
              <w:right w:w="0" w:type="dxa"/>
            </w:tcMar>
            <w:vAlign w:val="center"/>
            <w:hideMark/>
          </w:tcPr>
          <w:p w14:paraId="520D5DB8"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38 (47.5)</w:t>
            </w:r>
          </w:p>
        </w:tc>
      </w:tr>
      <w:tr w:rsidR="00FE15C7" w:rsidRPr="00FE15C7" w14:paraId="1EF08B14" w14:textId="77777777" w:rsidTr="00EF7A3A">
        <w:tc>
          <w:tcPr>
            <w:tcW w:w="2196" w:type="dxa"/>
            <w:tcMar>
              <w:top w:w="150" w:type="dxa"/>
              <w:left w:w="0" w:type="dxa"/>
              <w:bottom w:w="150" w:type="dxa"/>
              <w:right w:w="240" w:type="dxa"/>
            </w:tcMar>
            <w:vAlign w:val="center"/>
            <w:hideMark/>
          </w:tcPr>
          <w:p w14:paraId="249B1C8B"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b/>
                <w:bCs/>
                <w:kern w:val="0"/>
                <w:sz w:val="23"/>
                <w:szCs w:val="23"/>
                <w14:ligatures w14:val="none"/>
              </w:rPr>
              <w:t>Waste management</w:t>
            </w:r>
          </w:p>
        </w:tc>
        <w:tc>
          <w:tcPr>
            <w:tcW w:w="1878" w:type="dxa"/>
            <w:tcMar>
              <w:top w:w="150" w:type="dxa"/>
              <w:left w:w="240" w:type="dxa"/>
              <w:bottom w:w="150" w:type="dxa"/>
              <w:right w:w="240" w:type="dxa"/>
            </w:tcMar>
            <w:vAlign w:val="center"/>
            <w:hideMark/>
          </w:tcPr>
          <w:p w14:paraId="6DA2C80D"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b/>
                <w:bCs/>
                <w:kern w:val="0"/>
                <w:sz w:val="23"/>
                <w:szCs w:val="23"/>
                <w14:ligatures w14:val="none"/>
              </w:rPr>
              <w:t>0 (0.0)</w:t>
            </w:r>
          </w:p>
        </w:tc>
        <w:tc>
          <w:tcPr>
            <w:tcW w:w="2083" w:type="dxa"/>
            <w:tcMar>
              <w:top w:w="150" w:type="dxa"/>
              <w:left w:w="240" w:type="dxa"/>
              <w:bottom w:w="150" w:type="dxa"/>
              <w:right w:w="0" w:type="dxa"/>
            </w:tcMar>
            <w:vAlign w:val="center"/>
            <w:hideMark/>
          </w:tcPr>
          <w:p w14:paraId="18E18679"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b/>
                <w:bCs/>
                <w:kern w:val="0"/>
                <w:sz w:val="23"/>
                <w:szCs w:val="23"/>
                <w14:ligatures w14:val="none"/>
              </w:rPr>
              <w:t>42 (52.5)</w:t>
            </w:r>
          </w:p>
        </w:tc>
      </w:tr>
      <w:tr w:rsidR="00FE15C7" w:rsidRPr="00FE15C7" w14:paraId="590714F5" w14:textId="77777777" w:rsidTr="00EF7A3A">
        <w:tc>
          <w:tcPr>
            <w:tcW w:w="2196" w:type="dxa"/>
            <w:tcMar>
              <w:top w:w="150" w:type="dxa"/>
              <w:left w:w="0" w:type="dxa"/>
              <w:bottom w:w="150" w:type="dxa"/>
              <w:right w:w="240" w:type="dxa"/>
            </w:tcMar>
            <w:vAlign w:val="center"/>
            <w:hideMark/>
          </w:tcPr>
          <w:p w14:paraId="0D143DCF"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b/>
                <w:bCs/>
                <w:kern w:val="0"/>
                <w:sz w:val="23"/>
                <w:szCs w:val="23"/>
                <w14:ligatures w14:val="none"/>
              </w:rPr>
              <w:t>Latrine maintenance</w:t>
            </w:r>
          </w:p>
        </w:tc>
        <w:tc>
          <w:tcPr>
            <w:tcW w:w="1878" w:type="dxa"/>
            <w:tcMar>
              <w:top w:w="150" w:type="dxa"/>
              <w:left w:w="240" w:type="dxa"/>
              <w:bottom w:w="150" w:type="dxa"/>
              <w:right w:w="240" w:type="dxa"/>
            </w:tcMar>
            <w:vAlign w:val="center"/>
            <w:hideMark/>
          </w:tcPr>
          <w:p w14:paraId="5C93E2DF"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b/>
                <w:bCs/>
                <w:kern w:val="0"/>
                <w:sz w:val="23"/>
                <w:szCs w:val="23"/>
                <w14:ligatures w14:val="none"/>
              </w:rPr>
              <w:t>0 (0.0)</w:t>
            </w:r>
          </w:p>
        </w:tc>
        <w:tc>
          <w:tcPr>
            <w:tcW w:w="2083" w:type="dxa"/>
            <w:tcMar>
              <w:top w:w="150" w:type="dxa"/>
              <w:left w:w="240" w:type="dxa"/>
              <w:bottom w:w="150" w:type="dxa"/>
              <w:right w:w="0" w:type="dxa"/>
            </w:tcMar>
            <w:vAlign w:val="center"/>
            <w:hideMark/>
          </w:tcPr>
          <w:p w14:paraId="30737974"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b/>
                <w:bCs/>
                <w:kern w:val="0"/>
                <w:sz w:val="23"/>
                <w:szCs w:val="23"/>
                <w14:ligatures w14:val="none"/>
              </w:rPr>
              <w:t>38 (47.5)</w:t>
            </w:r>
          </w:p>
        </w:tc>
      </w:tr>
      <w:tr w:rsidR="00FE15C7" w:rsidRPr="00FE15C7" w14:paraId="29D0847C" w14:textId="77777777" w:rsidTr="00EF7A3A">
        <w:tc>
          <w:tcPr>
            <w:tcW w:w="2196" w:type="dxa"/>
            <w:tcMar>
              <w:top w:w="150" w:type="dxa"/>
              <w:left w:w="0" w:type="dxa"/>
              <w:bottom w:w="150" w:type="dxa"/>
              <w:right w:w="240" w:type="dxa"/>
            </w:tcMar>
            <w:vAlign w:val="center"/>
            <w:hideMark/>
          </w:tcPr>
          <w:p w14:paraId="7FBBCF38"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Food hygiene</w:t>
            </w:r>
          </w:p>
        </w:tc>
        <w:tc>
          <w:tcPr>
            <w:tcW w:w="1878" w:type="dxa"/>
            <w:tcMar>
              <w:top w:w="150" w:type="dxa"/>
              <w:left w:w="240" w:type="dxa"/>
              <w:bottom w:w="150" w:type="dxa"/>
              <w:right w:w="240" w:type="dxa"/>
            </w:tcMar>
            <w:vAlign w:val="center"/>
            <w:hideMark/>
          </w:tcPr>
          <w:p w14:paraId="63099DD7"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12 (60.0)</w:t>
            </w:r>
          </w:p>
        </w:tc>
        <w:tc>
          <w:tcPr>
            <w:tcW w:w="2083" w:type="dxa"/>
            <w:tcMar>
              <w:top w:w="150" w:type="dxa"/>
              <w:left w:w="240" w:type="dxa"/>
              <w:bottom w:w="150" w:type="dxa"/>
              <w:right w:w="0" w:type="dxa"/>
            </w:tcMar>
            <w:vAlign w:val="center"/>
            <w:hideMark/>
          </w:tcPr>
          <w:p w14:paraId="02F91CBF"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20 (25.0)</w:t>
            </w:r>
          </w:p>
        </w:tc>
      </w:tr>
      <w:tr w:rsidR="00FE15C7" w:rsidRPr="00FE15C7" w14:paraId="5846E13B" w14:textId="77777777" w:rsidTr="00EF7A3A">
        <w:tc>
          <w:tcPr>
            <w:tcW w:w="2196" w:type="dxa"/>
            <w:tcMar>
              <w:top w:w="150" w:type="dxa"/>
              <w:left w:w="0" w:type="dxa"/>
              <w:bottom w:w="150" w:type="dxa"/>
              <w:right w:w="240" w:type="dxa"/>
            </w:tcMar>
            <w:vAlign w:val="center"/>
            <w:hideMark/>
          </w:tcPr>
          <w:p w14:paraId="3F774C43"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Early consultation</w:t>
            </w:r>
          </w:p>
        </w:tc>
        <w:tc>
          <w:tcPr>
            <w:tcW w:w="1878" w:type="dxa"/>
            <w:tcMar>
              <w:top w:w="150" w:type="dxa"/>
              <w:left w:w="240" w:type="dxa"/>
              <w:bottom w:w="150" w:type="dxa"/>
              <w:right w:w="240" w:type="dxa"/>
            </w:tcMar>
            <w:vAlign w:val="center"/>
            <w:hideMark/>
          </w:tcPr>
          <w:p w14:paraId="5EB56E32"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4 (20.0)</w:t>
            </w:r>
          </w:p>
        </w:tc>
        <w:tc>
          <w:tcPr>
            <w:tcW w:w="2083" w:type="dxa"/>
            <w:tcMar>
              <w:top w:w="150" w:type="dxa"/>
              <w:left w:w="240" w:type="dxa"/>
              <w:bottom w:w="150" w:type="dxa"/>
              <w:right w:w="0" w:type="dxa"/>
            </w:tcMar>
            <w:vAlign w:val="center"/>
            <w:hideMark/>
          </w:tcPr>
          <w:p w14:paraId="7151556B"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20 (25.0)</w:t>
            </w:r>
          </w:p>
        </w:tc>
      </w:tr>
    </w:tbl>
    <w:p w14:paraId="323B7BE9"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*χ² calculated = 42.8; χ² tabulated (</w:t>
      </w:r>
      <w:proofErr w:type="spellStart"/>
      <w:r w:rsidRPr="00FE15C7">
        <w:rPr>
          <w:rFonts w:ascii="Times New Roman" w:eastAsia="Times New Roman" w:hAnsi="Times New Roman" w:cs="Times New Roman"/>
          <w:color w:val="0F1115"/>
          <w:kern w:val="0"/>
          <w14:ligatures w14:val="none"/>
        </w:rPr>
        <w:t>df</w:t>
      </w:r>
      <w:proofErr w:type="spellEnd"/>
      <w:r w:rsidRPr="00FE15C7">
        <w:rPr>
          <w:rFonts w:ascii="Times New Roman" w:eastAsia="Times New Roman" w:hAnsi="Times New Roman" w:cs="Times New Roman"/>
          <w:color w:val="0F1115"/>
          <w:kern w:val="0"/>
          <w14:ligatures w14:val="none"/>
        </w:rPr>
        <w:t xml:space="preserve"> = 5, α = 0.05) = 11.07; </w:t>
      </w:r>
      <w:r w:rsidRPr="00FE15C7">
        <w:rPr>
          <w:rFonts w:ascii="Times New Roman" w:eastAsia="Times New Roman" w:hAnsi="Times New Roman" w:cs="Times New Roman"/>
          <w:b/>
          <w:bCs/>
          <w:color w:val="0F1115"/>
          <w:kern w:val="0"/>
          <w14:ligatures w14:val="none"/>
        </w:rPr>
        <w:t>Highly significant association</w:t>
      </w:r>
      <w:r w:rsidRPr="00FE15C7">
        <w:rPr>
          <w:rFonts w:ascii="Times New Roman" w:eastAsia="Times New Roman" w:hAnsi="Times New Roman" w:cs="Times New Roman"/>
          <w:color w:val="0F1115"/>
          <w:kern w:val="0"/>
          <w14:ligatures w14:val="none"/>
        </w:rPr>
        <w:t>*</w:t>
      </w:r>
    </w:p>
    <w:p w14:paraId="2F0D6D91"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b/>
          <w:bCs/>
          <w:color w:val="0F1115"/>
          <w:kern w:val="0"/>
          <w14:ligatures w14:val="none"/>
        </w:rPr>
        <w:t>Interpretation:</w:t>
      </w:r>
      <w:r w:rsidRPr="00FE15C7">
        <w:rPr>
          <w:rFonts w:ascii="Times New Roman" w:eastAsia="Times New Roman" w:hAnsi="Times New Roman" w:cs="Times New Roman"/>
          <w:color w:val="0F1115"/>
          <w:kern w:val="0"/>
          <w14:ligatures w14:val="none"/>
        </w:rPr>
        <w:t> A highly significant gendered division of health roles exists. Women are exclusively responsible for waste management and latrine maintenance, while men focus more on food hygiene.</w:t>
      </w:r>
    </w:p>
    <w:p w14:paraId="313117F0"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b/>
          <w:bCs/>
          <w:color w:val="0F1115"/>
          <w:kern w:val="0"/>
          <w14:ligatures w14:val="none"/>
        </w:rPr>
        <w:t>Table 14</w:t>
      </w:r>
      <w:r w:rsidRPr="00FE15C7">
        <w:rPr>
          <w:rFonts w:ascii="Times New Roman" w:eastAsia="Times New Roman" w:hAnsi="Times New Roman" w:cs="Times New Roman"/>
          <w:color w:val="0F1115"/>
          <w:kern w:val="0"/>
          <w14:ligatures w14:val="none"/>
        </w:rPr>
        <w:br/>
      </w:r>
      <w:r w:rsidRPr="00FE15C7">
        <w:rPr>
          <w:rFonts w:ascii="Times New Roman" w:eastAsia="Times New Roman" w:hAnsi="Times New Roman" w:cs="Times New Roman"/>
          <w:i/>
          <w:iCs/>
          <w:color w:val="0F1115"/>
          <w:kern w:val="0"/>
          <w14:ligatures w14:val="none"/>
        </w:rPr>
        <w:t>Association Between Education Level and Reported Behavioral Change</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144"/>
        <w:gridCol w:w="2735"/>
        <w:gridCol w:w="2460"/>
        <w:gridCol w:w="966"/>
      </w:tblGrid>
      <w:tr w:rsidR="00FE15C7" w:rsidRPr="00FE15C7" w14:paraId="05FCC328" w14:textId="77777777" w:rsidTr="00EF7A3A">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437017DF"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Education level</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3E509D01"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Changed behavior n (%)</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35A404C8"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Did not change n (%)</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70584931"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Total</w:t>
            </w:r>
          </w:p>
        </w:tc>
      </w:tr>
      <w:tr w:rsidR="00FE15C7" w:rsidRPr="00FE15C7" w14:paraId="009F2036" w14:textId="77777777" w:rsidTr="00EF7A3A">
        <w:tc>
          <w:tcPr>
            <w:tcW w:w="0" w:type="auto"/>
            <w:tcBorders>
              <w:top w:val="single" w:sz="4" w:space="0" w:color="auto"/>
            </w:tcBorders>
            <w:tcMar>
              <w:top w:w="150" w:type="dxa"/>
              <w:left w:w="0" w:type="dxa"/>
              <w:bottom w:w="150" w:type="dxa"/>
              <w:right w:w="240" w:type="dxa"/>
            </w:tcMar>
            <w:vAlign w:val="center"/>
            <w:hideMark/>
          </w:tcPr>
          <w:p w14:paraId="4CD78DA7"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No formal education</w:t>
            </w:r>
          </w:p>
        </w:tc>
        <w:tc>
          <w:tcPr>
            <w:tcW w:w="0" w:type="auto"/>
            <w:tcBorders>
              <w:top w:val="single" w:sz="4" w:space="0" w:color="auto"/>
            </w:tcBorders>
            <w:tcMar>
              <w:top w:w="150" w:type="dxa"/>
              <w:left w:w="240" w:type="dxa"/>
              <w:bottom w:w="150" w:type="dxa"/>
              <w:right w:w="240" w:type="dxa"/>
            </w:tcMar>
            <w:vAlign w:val="center"/>
            <w:hideMark/>
          </w:tcPr>
          <w:p w14:paraId="04621B62"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8 (66.7)</w:t>
            </w:r>
          </w:p>
        </w:tc>
        <w:tc>
          <w:tcPr>
            <w:tcW w:w="0" w:type="auto"/>
            <w:tcBorders>
              <w:top w:val="single" w:sz="4" w:space="0" w:color="auto"/>
            </w:tcBorders>
            <w:tcMar>
              <w:top w:w="150" w:type="dxa"/>
              <w:left w:w="240" w:type="dxa"/>
              <w:bottom w:w="150" w:type="dxa"/>
              <w:right w:w="240" w:type="dxa"/>
            </w:tcMar>
            <w:vAlign w:val="center"/>
            <w:hideMark/>
          </w:tcPr>
          <w:p w14:paraId="42C13EAA"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4 (33.3)</w:t>
            </w:r>
          </w:p>
        </w:tc>
        <w:tc>
          <w:tcPr>
            <w:tcW w:w="0" w:type="auto"/>
            <w:tcBorders>
              <w:top w:val="single" w:sz="4" w:space="0" w:color="auto"/>
            </w:tcBorders>
            <w:tcMar>
              <w:top w:w="150" w:type="dxa"/>
              <w:left w:w="240" w:type="dxa"/>
              <w:bottom w:w="150" w:type="dxa"/>
              <w:right w:w="0" w:type="dxa"/>
            </w:tcMar>
            <w:vAlign w:val="center"/>
            <w:hideMark/>
          </w:tcPr>
          <w:p w14:paraId="0A8DE537"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12</w:t>
            </w:r>
          </w:p>
        </w:tc>
      </w:tr>
      <w:tr w:rsidR="00FE15C7" w:rsidRPr="00FE15C7" w14:paraId="5A9C3966" w14:textId="77777777" w:rsidTr="00EF7A3A">
        <w:tc>
          <w:tcPr>
            <w:tcW w:w="0" w:type="auto"/>
            <w:tcMar>
              <w:top w:w="150" w:type="dxa"/>
              <w:left w:w="0" w:type="dxa"/>
              <w:bottom w:w="150" w:type="dxa"/>
              <w:right w:w="240" w:type="dxa"/>
            </w:tcMar>
            <w:vAlign w:val="center"/>
            <w:hideMark/>
          </w:tcPr>
          <w:p w14:paraId="73A3780D"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Primary</w:t>
            </w:r>
          </w:p>
        </w:tc>
        <w:tc>
          <w:tcPr>
            <w:tcW w:w="0" w:type="auto"/>
            <w:tcMar>
              <w:top w:w="150" w:type="dxa"/>
              <w:left w:w="240" w:type="dxa"/>
              <w:bottom w:w="150" w:type="dxa"/>
              <w:right w:w="240" w:type="dxa"/>
            </w:tcMar>
            <w:vAlign w:val="center"/>
            <w:hideMark/>
          </w:tcPr>
          <w:p w14:paraId="61419304"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22 (78.6)</w:t>
            </w:r>
          </w:p>
        </w:tc>
        <w:tc>
          <w:tcPr>
            <w:tcW w:w="0" w:type="auto"/>
            <w:tcMar>
              <w:top w:w="150" w:type="dxa"/>
              <w:left w:w="240" w:type="dxa"/>
              <w:bottom w:w="150" w:type="dxa"/>
              <w:right w:w="240" w:type="dxa"/>
            </w:tcMar>
            <w:vAlign w:val="center"/>
            <w:hideMark/>
          </w:tcPr>
          <w:p w14:paraId="2BB1F545"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6 (21.4)</w:t>
            </w:r>
          </w:p>
        </w:tc>
        <w:tc>
          <w:tcPr>
            <w:tcW w:w="0" w:type="auto"/>
            <w:tcMar>
              <w:top w:w="150" w:type="dxa"/>
              <w:left w:w="240" w:type="dxa"/>
              <w:bottom w:w="150" w:type="dxa"/>
              <w:right w:w="0" w:type="dxa"/>
            </w:tcMar>
            <w:vAlign w:val="center"/>
            <w:hideMark/>
          </w:tcPr>
          <w:p w14:paraId="651B125C"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28</w:t>
            </w:r>
          </w:p>
        </w:tc>
      </w:tr>
      <w:tr w:rsidR="00FE15C7" w:rsidRPr="00FE15C7" w14:paraId="086F66E1" w14:textId="77777777" w:rsidTr="00EF7A3A">
        <w:tc>
          <w:tcPr>
            <w:tcW w:w="0" w:type="auto"/>
            <w:tcMar>
              <w:top w:w="150" w:type="dxa"/>
              <w:left w:w="0" w:type="dxa"/>
              <w:bottom w:w="150" w:type="dxa"/>
              <w:right w:w="240" w:type="dxa"/>
            </w:tcMar>
            <w:vAlign w:val="center"/>
            <w:hideMark/>
          </w:tcPr>
          <w:p w14:paraId="3652E010"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Secondary</w:t>
            </w:r>
          </w:p>
        </w:tc>
        <w:tc>
          <w:tcPr>
            <w:tcW w:w="0" w:type="auto"/>
            <w:tcMar>
              <w:top w:w="150" w:type="dxa"/>
              <w:left w:w="240" w:type="dxa"/>
              <w:bottom w:w="150" w:type="dxa"/>
              <w:right w:w="240" w:type="dxa"/>
            </w:tcMar>
            <w:vAlign w:val="center"/>
            <w:hideMark/>
          </w:tcPr>
          <w:p w14:paraId="246A8FC5"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38 (90.5)</w:t>
            </w:r>
          </w:p>
        </w:tc>
        <w:tc>
          <w:tcPr>
            <w:tcW w:w="0" w:type="auto"/>
            <w:tcMar>
              <w:top w:w="150" w:type="dxa"/>
              <w:left w:w="240" w:type="dxa"/>
              <w:bottom w:w="150" w:type="dxa"/>
              <w:right w:w="240" w:type="dxa"/>
            </w:tcMar>
            <w:vAlign w:val="center"/>
            <w:hideMark/>
          </w:tcPr>
          <w:p w14:paraId="271A36C2"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4 (9.5)</w:t>
            </w:r>
          </w:p>
        </w:tc>
        <w:tc>
          <w:tcPr>
            <w:tcW w:w="0" w:type="auto"/>
            <w:tcMar>
              <w:top w:w="150" w:type="dxa"/>
              <w:left w:w="240" w:type="dxa"/>
              <w:bottom w:w="150" w:type="dxa"/>
              <w:right w:w="0" w:type="dxa"/>
            </w:tcMar>
            <w:vAlign w:val="center"/>
            <w:hideMark/>
          </w:tcPr>
          <w:p w14:paraId="33B3812D"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42</w:t>
            </w:r>
          </w:p>
        </w:tc>
      </w:tr>
      <w:tr w:rsidR="00FE15C7" w:rsidRPr="00FE15C7" w14:paraId="58EEC750" w14:textId="77777777" w:rsidTr="00EF7A3A">
        <w:tc>
          <w:tcPr>
            <w:tcW w:w="0" w:type="auto"/>
            <w:tcMar>
              <w:top w:w="150" w:type="dxa"/>
              <w:left w:w="0" w:type="dxa"/>
              <w:bottom w:w="150" w:type="dxa"/>
              <w:right w:w="240" w:type="dxa"/>
            </w:tcMar>
            <w:vAlign w:val="center"/>
            <w:hideMark/>
          </w:tcPr>
          <w:p w14:paraId="34CA7CD0"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Higher</w:t>
            </w:r>
          </w:p>
        </w:tc>
        <w:tc>
          <w:tcPr>
            <w:tcW w:w="0" w:type="auto"/>
            <w:tcMar>
              <w:top w:w="150" w:type="dxa"/>
              <w:left w:w="240" w:type="dxa"/>
              <w:bottom w:w="150" w:type="dxa"/>
              <w:right w:w="240" w:type="dxa"/>
            </w:tcMar>
            <w:vAlign w:val="center"/>
            <w:hideMark/>
          </w:tcPr>
          <w:p w14:paraId="5722FE72"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16 (88.9)</w:t>
            </w:r>
          </w:p>
        </w:tc>
        <w:tc>
          <w:tcPr>
            <w:tcW w:w="0" w:type="auto"/>
            <w:tcMar>
              <w:top w:w="150" w:type="dxa"/>
              <w:left w:w="240" w:type="dxa"/>
              <w:bottom w:w="150" w:type="dxa"/>
              <w:right w:w="240" w:type="dxa"/>
            </w:tcMar>
            <w:vAlign w:val="center"/>
            <w:hideMark/>
          </w:tcPr>
          <w:p w14:paraId="74882ECE"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2 (11.1)</w:t>
            </w:r>
          </w:p>
        </w:tc>
        <w:tc>
          <w:tcPr>
            <w:tcW w:w="0" w:type="auto"/>
            <w:tcMar>
              <w:top w:w="150" w:type="dxa"/>
              <w:left w:w="240" w:type="dxa"/>
              <w:bottom w:w="150" w:type="dxa"/>
              <w:right w:w="0" w:type="dxa"/>
            </w:tcMar>
            <w:vAlign w:val="center"/>
            <w:hideMark/>
          </w:tcPr>
          <w:p w14:paraId="27789B69"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18</w:t>
            </w:r>
          </w:p>
        </w:tc>
      </w:tr>
      <w:tr w:rsidR="00FE15C7" w:rsidRPr="00FE15C7" w14:paraId="43C7835A" w14:textId="77777777" w:rsidTr="00EF7A3A">
        <w:tc>
          <w:tcPr>
            <w:tcW w:w="0" w:type="auto"/>
            <w:tcMar>
              <w:top w:w="150" w:type="dxa"/>
              <w:left w:w="0" w:type="dxa"/>
              <w:bottom w:w="150" w:type="dxa"/>
              <w:right w:w="240" w:type="dxa"/>
            </w:tcMar>
            <w:vAlign w:val="center"/>
            <w:hideMark/>
          </w:tcPr>
          <w:p w14:paraId="5B611C6E"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b/>
                <w:bCs/>
                <w:kern w:val="0"/>
                <w:sz w:val="23"/>
                <w:szCs w:val="23"/>
                <w14:ligatures w14:val="none"/>
              </w:rPr>
              <w:t>Total</w:t>
            </w:r>
          </w:p>
        </w:tc>
        <w:tc>
          <w:tcPr>
            <w:tcW w:w="0" w:type="auto"/>
            <w:tcMar>
              <w:top w:w="150" w:type="dxa"/>
              <w:left w:w="240" w:type="dxa"/>
              <w:bottom w:w="150" w:type="dxa"/>
              <w:right w:w="240" w:type="dxa"/>
            </w:tcMar>
            <w:vAlign w:val="center"/>
            <w:hideMark/>
          </w:tcPr>
          <w:p w14:paraId="378C9608"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b/>
                <w:bCs/>
                <w:kern w:val="0"/>
                <w:sz w:val="23"/>
                <w:szCs w:val="23"/>
                <w14:ligatures w14:val="none"/>
              </w:rPr>
              <w:t>84</w:t>
            </w:r>
          </w:p>
        </w:tc>
        <w:tc>
          <w:tcPr>
            <w:tcW w:w="0" w:type="auto"/>
            <w:tcMar>
              <w:top w:w="150" w:type="dxa"/>
              <w:left w:w="240" w:type="dxa"/>
              <w:bottom w:w="150" w:type="dxa"/>
              <w:right w:w="240" w:type="dxa"/>
            </w:tcMar>
            <w:vAlign w:val="center"/>
            <w:hideMark/>
          </w:tcPr>
          <w:p w14:paraId="2764843A"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b/>
                <w:bCs/>
                <w:kern w:val="0"/>
                <w:sz w:val="23"/>
                <w:szCs w:val="23"/>
                <w14:ligatures w14:val="none"/>
              </w:rPr>
              <w:t>16</w:t>
            </w:r>
          </w:p>
        </w:tc>
        <w:tc>
          <w:tcPr>
            <w:tcW w:w="0" w:type="auto"/>
            <w:tcMar>
              <w:top w:w="150" w:type="dxa"/>
              <w:left w:w="240" w:type="dxa"/>
              <w:bottom w:w="150" w:type="dxa"/>
              <w:right w:w="0" w:type="dxa"/>
            </w:tcMar>
            <w:vAlign w:val="center"/>
            <w:hideMark/>
          </w:tcPr>
          <w:p w14:paraId="56317E4F"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b/>
                <w:bCs/>
                <w:kern w:val="0"/>
                <w:sz w:val="23"/>
                <w:szCs w:val="23"/>
                <w14:ligatures w14:val="none"/>
              </w:rPr>
              <w:t>100</w:t>
            </w:r>
          </w:p>
        </w:tc>
      </w:tr>
    </w:tbl>
    <w:p w14:paraId="5806E7B0"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*χ² calculated = 5.42; χ² tabulated (</w:t>
      </w:r>
      <w:proofErr w:type="spellStart"/>
      <w:r w:rsidRPr="00FE15C7">
        <w:rPr>
          <w:rFonts w:ascii="Times New Roman" w:eastAsia="Times New Roman" w:hAnsi="Times New Roman" w:cs="Times New Roman"/>
          <w:color w:val="0F1115"/>
          <w:kern w:val="0"/>
          <w14:ligatures w14:val="none"/>
        </w:rPr>
        <w:t>df</w:t>
      </w:r>
      <w:proofErr w:type="spellEnd"/>
      <w:r w:rsidRPr="00FE15C7">
        <w:rPr>
          <w:rFonts w:ascii="Times New Roman" w:eastAsia="Times New Roman" w:hAnsi="Times New Roman" w:cs="Times New Roman"/>
          <w:color w:val="0F1115"/>
          <w:kern w:val="0"/>
          <w14:ligatures w14:val="none"/>
        </w:rPr>
        <w:t xml:space="preserve"> = 3, α = 0.05) = 7.81; </w:t>
      </w:r>
      <w:r w:rsidRPr="00FE15C7">
        <w:rPr>
          <w:rFonts w:ascii="Times New Roman" w:eastAsia="Times New Roman" w:hAnsi="Times New Roman" w:cs="Times New Roman"/>
          <w:b/>
          <w:bCs/>
          <w:color w:val="0F1115"/>
          <w:kern w:val="0"/>
          <w14:ligatures w14:val="none"/>
        </w:rPr>
        <w:t>Not significant</w:t>
      </w:r>
      <w:r w:rsidRPr="00FE15C7">
        <w:rPr>
          <w:rFonts w:ascii="Times New Roman" w:eastAsia="Times New Roman" w:hAnsi="Times New Roman" w:cs="Times New Roman"/>
          <w:color w:val="0F1115"/>
          <w:kern w:val="0"/>
          <w14:ligatures w14:val="none"/>
        </w:rPr>
        <w:t>*</w:t>
      </w:r>
    </w:p>
    <w:p w14:paraId="1BF33C88"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b/>
          <w:bCs/>
          <w:color w:val="0F1115"/>
          <w:kern w:val="0"/>
          <w14:ligatures w14:val="none"/>
        </w:rPr>
        <w:t>Interpretation:</w:t>
      </w:r>
      <w:r w:rsidRPr="00FE15C7">
        <w:rPr>
          <w:rFonts w:ascii="Times New Roman" w:eastAsia="Times New Roman" w:hAnsi="Times New Roman" w:cs="Times New Roman"/>
          <w:color w:val="0F1115"/>
          <w:kern w:val="0"/>
          <w14:ligatures w14:val="none"/>
        </w:rPr>
        <w:t> Education level does not significantly influence the ability to modify behavior.</w:t>
      </w:r>
    </w:p>
    <w:p w14:paraId="5D65EEF8"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b/>
          <w:bCs/>
          <w:color w:val="0F1115"/>
          <w:kern w:val="0"/>
          <w14:ligatures w14:val="none"/>
        </w:rPr>
        <w:lastRenderedPageBreak/>
        <w:t>Table 15</w:t>
      </w:r>
      <w:r w:rsidRPr="00FE15C7">
        <w:rPr>
          <w:rFonts w:ascii="Times New Roman" w:eastAsia="Times New Roman" w:hAnsi="Times New Roman" w:cs="Times New Roman"/>
          <w:color w:val="0F1115"/>
          <w:kern w:val="0"/>
          <w14:ligatures w14:val="none"/>
        </w:rPr>
        <w:br/>
      </w:r>
      <w:r w:rsidRPr="00FE15C7">
        <w:rPr>
          <w:rFonts w:ascii="Times New Roman" w:eastAsia="Times New Roman" w:hAnsi="Times New Roman" w:cs="Times New Roman"/>
          <w:i/>
          <w:iCs/>
          <w:color w:val="0F1115"/>
          <w:kern w:val="0"/>
          <w14:ligatures w14:val="none"/>
        </w:rPr>
        <w:t>Association Between Religion and Perceived Utility of Health Education</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544"/>
        <w:gridCol w:w="1560"/>
        <w:gridCol w:w="1324"/>
        <w:gridCol w:w="1829"/>
        <w:gridCol w:w="1445"/>
        <w:gridCol w:w="1522"/>
      </w:tblGrid>
      <w:tr w:rsidR="00FE15C7" w:rsidRPr="00FE15C7" w14:paraId="36345B7D" w14:textId="77777777" w:rsidTr="00EF7A3A">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2A8D7776"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Religion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102CBBC4"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Very useful</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1F2C1623"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Useful</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7959FE93"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Slightly useful</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0C8840A5"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Not useful</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6224BB5A"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No opinion</w:t>
            </w:r>
          </w:p>
        </w:tc>
      </w:tr>
      <w:tr w:rsidR="00FE15C7" w:rsidRPr="00FE15C7" w14:paraId="0C20131E" w14:textId="77777777" w:rsidTr="00EF7A3A">
        <w:tc>
          <w:tcPr>
            <w:tcW w:w="0" w:type="auto"/>
            <w:tcBorders>
              <w:top w:val="single" w:sz="4" w:space="0" w:color="auto"/>
            </w:tcBorders>
            <w:tcMar>
              <w:top w:w="150" w:type="dxa"/>
              <w:left w:w="0" w:type="dxa"/>
              <w:bottom w:w="150" w:type="dxa"/>
              <w:right w:w="240" w:type="dxa"/>
            </w:tcMar>
            <w:vAlign w:val="center"/>
            <w:hideMark/>
          </w:tcPr>
          <w:p w14:paraId="11A6A48D"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Catholic</w:t>
            </w:r>
          </w:p>
        </w:tc>
        <w:tc>
          <w:tcPr>
            <w:tcW w:w="0" w:type="auto"/>
            <w:tcBorders>
              <w:top w:val="single" w:sz="4" w:space="0" w:color="auto"/>
            </w:tcBorders>
            <w:tcMar>
              <w:top w:w="150" w:type="dxa"/>
              <w:left w:w="240" w:type="dxa"/>
              <w:bottom w:w="150" w:type="dxa"/>
              <w:right w:w="240" w:type="dxa"/>
            </w:tcMar>
            <w:vAlign w:val="center"/>
            <w:hideMark/>
          </w:tcPr>
          <w:p w14:paraId="41037C68"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16 (38.1)</w:t>
            </w:r>
          </w:p>
        </w:tc>
        <w:tc>
          <w:tcPr>
            <w:tcW w:w="0" w:type="auto"/>
            <w:tcBorders>
              <w:top w:val="single" w:sz="4" w:space="0" w:color="auto"/>
            </w:tcBorders>
            <w:tcMar>
              <w:top w:w="150" w:type="dxa"/>
              <w:left w:w="240" w:type="dxa"/>
              <w:bottom w:w="150" w:type="dxa"/>
              <w:right w:w="240" w:type="dxa"/>
            </w:tcMar>
            <w:vAlign w:val="center"/>
            <w:hideMark/>
          </w:tcPr>
          <w:p w14:paraId="3DC86AB0"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14 (33.3)</w:t>
            </w:r>
          </w:p>
        </w:tc>
        <w:tc>
          <w:tcPr>
            <w:tcW w:w="0" w:type="auto"/>
            <w:tcBorders>
              <w:top w:val="single" w:sz="4" w:space="0" w:color="auto"/>
            </w:tcBorders>
            <w:tcMar>
              <w:top w:w="150" w:type="dxa"/>
              <w:left w:w="240" w:type="dxa"/>
              <w:bottom w:w="150" w:type="dxa"/>
              <w:right w:w="240" w:type="dxa"/>
            </w:tcMar>
            <w:vAlign w:val="center"/>
            <w:hideMark/>
          </w:tcPr>
          <w:p w14:paraId="4CB1B1A9"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6 (14.3)</w:t>
            </w:r>
          </w:p>
        </w:tc>
        <w:tc>
          <w:tcPr>
            <w:tcW w:w="0" w:type="auto"/>
            <w:tcBorders>
              <w:top w:val="single" w:sz="4" w:space="0" w:color="auto"/>
            </w:tcBorders>
            <w:tcMar>
              <w:top w:w="150" w:type="dxa"/>
              <w:left w:w="240" w:type="dxa"/>
              <w:bottom w:w="150" w:type="dxa"/>
              <w:right w:w="240" w:type="dxa"/>
            </w:tcMar>
            <w:vAlign w:val="center"/>
            <w:hideMark/>
          </w:tcPr>
          <w:p w14:paraId="57F9846C"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2 (4.8)</w:t>
            </w:r>
          </w:p>
        </w:tc>
        <w:tc>
          <w:tcPr>
            <w:tcW w:w="0" w:type="auto"/>
            <w:tcBorders>
              <w:top w:val="single" w:sz="4" w:space="0" w:color="auto"/>
            </w:tcBorders>
            <w:tcMar>
              <w:top w:w="150" w:type="dxa"/>
              <w:left w:w="240" w:type="dxa"/>
              <w:bottom w:w="150" w:type="dxa"/>
              <w:right w:w="0" w:type="dxa"/>
            </w:tcMar>
            <w:vAlign w:val="center"/>
            <w:hideMark/>
          </w:tcPr>
          <w:p w14:paraId="1A5A0FE2"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4 (9.5)</w:t>
            </w:r>
          </w:p>
        </w:tc>
      </w:tr>
      <w:tr w:rsidR="00FE15C7" w:rsidRPr="00FE15C7" w14:paraId="19DB44A2" w14:textId="77777777" w:rsidTr="00EF7A3A">
        <w:tc>
          <w:tcPr>
            <w:tcW w:w="0" w:type="auto"/>
            <w:tcMar>
              <w:top w:w="150" w:type="dxa"/>
              <w:left w:w="0" w:type="dxa"/>
              <w:bottom w:w="150" w:type="dxa"/>
              <w:right w:w="240" w:type="dxa"/>
            </w:tcMar>
            <w:vAlign w:val="center"/>
            <w:hideMark/>
          </w:tcPr>
          <w:p w14:paraId="458A1A59"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Protestant</w:t>
            </w:r>
          </w:p>
        </w:tc>
        <w:tc>
          <w:tcPr>
            <w:tcW w:w="0" w:type="auto"/>
            <w:tcMar>
              <w:top w:w="150" w:type="dxa"/>
              <w:left w:w="240" w:type="dxa"/>
              <w:bottom w:w="150" w:type="dxa"/>
              <w:right w:w="240" w:type="dxa"/>
            </w:tcMar>
            <w:vAlign w:val="center"/>
            <w:hideMark/>
          </w:tcPr>
          <w:p w14:paraId="5E21A7DD"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12 (31.6)</w:t>
            </w:r>
          </w:p>
        </w:tc>
        <w:tc>
          <w:tcPr>
            <w:tcW w:w="0" w:type="auto"/>
            <w:tcMar>
              <w:top w:w="150" w:type="dxa"/>
              <w:left w:w="240" w:type="dxa"/>
              <w:bottom w:w="150" w:type="dxa"/>
              <w:right w:w="240" w:type="dxa"/>
            </w:tcMar>
            <w:vAlign w:val="center"/>
            <w:hideMark/>
          </w:tcPr>
          <w:p w14:paraId="4C31B9D4"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10 (26.3)</w:t>
            </w:r>
          </w:p>
        </w:tc>
        <w:tc>
          <w:tcPr>
            <w:tcW w:w="0" w:type="auto"/>
            <w:tcMar>
              <w:top w:w="150" w:type="dxa"/>
              <w:left w:w="240" w:type="dxa"/>
              <w:bottom w:w="150" w:type="dxa"/>
              <w:right w:w="240" w:type="dxa"/>
            </w:tcMar>
            <w:vAlign w:val="center"/>
            <w:hideMark/>
          </w:tcPr>
          <w:p w14:paraId="2AB2CD1D"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8 (21.1)</w:t>
            </w:r>
          </w:p>
        </w:tc>
        <w:tc>
          <w:tcPr>
            <w:tcW w:w="0" w:type="auto"/>
            <w:tcMar>
              <w:top w:w="150" w:type="dxa"/>
              <w:left w:w="240" w:type="dxa"/>
              <w:bottom w:w="150" w:type="dxa"/>
              <w:right w:w="240" w:type="dxa"/>
            </w:tcMar>
            <w:vAlign w:val="center"/>
            <w:hideMark/>
          </w:tcPr>
          <w:p w14:paraId="287395DF"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4 (10.5)</w:t>
            </w:r>
          </w:p>
        </w:tc>
        <w:tc>
          <w:tcPr>
            <w:tcW w:w="0" w:type="auto"/>
            <w:tcMar>
              <w:top w:w="150" w:type="dxa"/>
              <w:left w:w="240" w:type="dxa"/>
              <w:bottom w:w="150" w:type="dxa"/>
              <w:right w:w="0" w:type="dxa"/>
            </w:tcMar>
            <w:vAlign w:val="center"/>
            <w:hideMark/>
          </w:tcPr>
          <w:p w14:paraId="754958A9"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4 (10.5)</w:t>
            </w:r>
          </w:p>
        </w:tc>
      </w:tr>
      <w:tr w:rsidR="00FE15C7" w:rsidRPr="00FE15C7" w14:paraId="2E0FC61C" w14:textId="77777777" w:rsidTr="00EF7A3A">
        <w:tc>
          <w:tcPr>
            <w:tcW w:w="0" w:type="auto"/>
            <w:tcMar>
              <w:top w:w="150" w:type="dxa"/>
              <w:left w:w="0" w:type="dxa"/>
              <w:bottom w:w="150" w:type="dxa"/>
              <w:right w:w="240" w:type="dxa"/>
            </w:tcMar>
            <w:vAlign w:val="center"/>
            <w:hideMark/>
          </w:tcPr>
          <w:p w14:paraId="0BE4AA49"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proofErr w:type="spellStart"/>
            <w:r w:rsidRPr="00FE15C7">
              <w:rPr>
                <w:rFonts w:ascii="Times New Roman" w:eastAsia="Times New Roman" w:hAnsi="Times New Roman" w:cs="Times New Roman"/>
                <w:kern w:val="0"/>
                <w:sz w:val="23"/>
                <w:szCs w:val="23"/>
                <w14:ligatures w14:val="none"/>
              </w:rPr>
              <w:t>Kimbanguist</w:t>
            </w:r>
            <w:proofErr w:type="spellEnd"/>
          </w:p>
        </w:tc>
        <w:tc>
          <w:tcPr>
            <w:tcW w:w="0" w:type="auto"/>
            <w:tcMar>
              <w:top w:w="150" w:type="dxa"/>
              <w:left w:w="240" w:type="dxa"/>
              <w:bottom w:w="150" w:type="dxa"/>
              <w:right w:w="240" w:type="dxa"/>
            </w:tcMar>
            <w:vAlign w:val="center"/>
            <w:hideMark/>
          </w:tcPr>
          <w:p w14:paraId="5E65652B"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2 (25.0)</w:t>
            </w:r>
          </w:p>
        </w:tc>
        <w:tc>
          <w:tcPr>
            <w:tcW w:w="0" w:type="auto"/>
            <w:tcMar>
              <w:top w:w="150" w:type="dxa"/>
              <w:left w:w="240" w:type="dxa"/>
              <w:bottom w:w="150" w:type="dxa"/>
              <w:right w:w="240" w:type="dxa"/>
            </w:tcMar>
            <w:vAlign w:val="center"/>
            <w:hideMark/>
          </w:tcPr>
          <w:p w14:paraId="72E71ABA"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2 (25.0)</w:t>
            </w:r>
          </w:p>
        </w:tc>
        <w:tc>
          <w:tcPr>
            <w:tcW w:w="0" w:type="auto"/>
            <w:tcMar>
              <w:top w:w="150" w:type="dxa"/>
              <w:left w:w="240" w:type="dxa"/>
              <w:bottom w:w="150" w:type="dxa"/>
              <w:right w:w="240" w:type="dxa"/>
            </w:tcMar>
            <w:vAlign w:val="center"/>
            <w:hideMark/>
          </w:tcPr>
          <w:p w14:paraId="26F9584B"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2 (25.0)</w:t>
            </w:r>
          </w:p>
        </w:tc>
        <w:tc>
          <w:tcPr>
            <w:tcW w:w="0" w:type="auto"/>
            <w:tcMar>
              <w:top w:w="150" w:type="dxa"/>
              <w:left w:w="240" w:type="dxa"/>
              <w:bottom w:w="150" w:type="dxa"/>
              <w:right w:w="240" w:type="dxa"/>
            </w:tcMar>
            <w:vAlign w:val="center"/>
            <w:hideMark/>
          </w:tcPr>
          <w:p w14:paraId="46BCFF5A"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0 (0.0)</w:t>
            </w:r>
          </w:p>
        </w:tc>
        <w:tc>
          <w:tcPr>
            <w:tcW w:w="0" w:type="auto"/>
            <w:tcMar>
              <w:top w:w="150" w:type="dxa"/>
              <w:left w:w="240" w:type="dxa"/>
              <w:bottom w:w="150" w:type="dxa"/>
              <w:right w:w="0" w:type="dxa"/>
            </w:tcMar>
            <w:vAlign w:val="center"/>
            <w:hideMark/>
          </w:tcPr>
          <w:p w14:paraId="5B9CEBD2"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2 (25.0)</w:t>
            </w:r>
          </w:p>
        </w:tc>
      </w:tr>
      <w:tr w:rsidR="00FE15C7" w:rsidRPr="00FE15C7" w14:paraId="6B8806A8" w14:textId="77777777" w:rsidTr="00EF7A3A">
        <w:tc>
          <w:tcPr>
            <w:tcW w:w="0" w:type="auto"/>
            <w:tcMar>
              <w:top w:w="150" w:type="dxa"/>
              <w:left w:w="0" w:type="dxa"/>
              <w:bottom w:w="150" w:type="dxa"/>
              <w:right w:w="240" w:type="dxa"/>
            </w:tcMar>
            <w:vAlign w:val="center"/>
            <w:hideMark/>
          </w:tcPr>
          <w:p w14:paraId="2E2FEC73"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Muslim/Other</w:t>
            </w:r>
          </w:p>
        </w:tc>
        <w:tc>
          <w:tcPr>
            <w:tcW w:w="0" w:type="auto"/>
            <w:tcMar>
              <w:top w:w="150" w:type="dxa"/>
              <w:left w:w="240" w:type="dxa"/>
              <w:bottom w:w="150" w:type="dxa"/>
              <w:right w:w="240" w:type="dxa"/>
            </w:tcMar>
            <w:vAlign w:val="center"/>
            <w:hideMark/>
          </w:tcPr>
          <w:p w14:paraId="7F8ECE2B"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4 (33.3)</w:t>
            </w:r>
          </w:p>
        </w:tc>
        <w:tc>
          <w:tcPr>
            <w:tcW w:w="0" w:type="auto"/>
            <w:tcMar>
              <w:top w:w="150" w:type="dxa"/>
              <w:left w:w="240" w:type="dxa"/>
              <w:bottom w:w="150" w:type="dxa"/>
              <w:right w:w="240" w:type="dxa"/>
            </w:tcMar>
            <w:vAlign w:val="center"/>
            <w:hideMark/>
          </w:tcPr>
          <w:p w14:paraId="24883205"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4 (33.3)</w:t>
            </w:r>
          </w:p>
        </w:tc>
        <w:tc>
          <w:tcPr>
            <w:tcW w:w="0" w:type="auto"/>
            <w:tcMar>
              <w:top w:w="150" w:type="dxa"/>
              <w:left w:w="240" w:type="dxa"/>
              <w:bottom w:w="150" w:type="dxa"/>
              <w:right w:w="240" w:type="dxa"/>
            </w:tcMar>
            <w:vAlign w:val="center"/>
            <w:hideMark/>
          </w:tcPr>
          <w:p w14:paraId="17F3C0F6"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0 (0.0)</w:t>
            </w:r>
          </w:p>
        </w:tc>
        <w:tc>
          <w:tcPr>
            <w:tcW w:w="0" w:type="auto"/>
            <w:tcMar>
              <w:top w:w="150" w:type="dxa"/>
              <w:left w:w="240" w:type="dxa"/>
              <w:bottom w:w="150" w:type="dxa"/>
              <w:right w:w="240" w:type="dxa"/>
            </w:tcMar>
            <w:vAlign w:val="center"/>
            <w:hideMark/>
          </w:tcPr>
          <w:p w14:paraId="7D3E5A5B"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2 (16.7)</w:t>
            </w:r>
          </w:p>
        </w:tc>
        <w:tc>
          <w:tcPr>
            <w:tcW w:w="0" w:type="auto"/>
            <w:tcMar>
              <w:top w:w="150" w:type="dxa"/>
              <w:left w:w="240" w:type="dxa"/>
              <w:bottom w:w="150" w:type="dxa"/>
              <w:right w:w="0" w:type="dxa"/>
            </w:tcMar>
            <w:vAlign w:val="center"/>
            <w:hideMark/>
          </w:tcPr>
          <w:p w14:paraId="5C1D4FB7" w14:textId="77777777" w:rsidR="00FE15C7" w:rsidRPr="00FE15C7" w:rsidRDefault="00FE15C7" w:rsidP="00EF7A3A">
            <w:pPr>
              <w:spacing w:after="0" w:line="240" w:lineRule="auto"/>
              <w:rPr>
                <w:rFonts w:ascii="Times New Roman" w:eastAsia="Times New Roman" w:hAnsi="Times New Roman" w:cs="Times New Roman"/>
                <w:kern w:val="0"/>
                <w:sz w:val="23"/>
                <w:szCs w:val="23"/>
                <w14:ligatures w14:val="none"/>
              </w:rPr>
            </w:pPr>
            <w:r w:rsidRPr="00FE15C7">
              <w:rPr>
                <w:rFonts w:ascii="Times New Roman" w:eastAsia="Times New Roman" w:hAnsi="Times New Roman" w:cs="Times New Roman"/>
                <w:kern w:val="0"/>
                <w:sz w:val="23"/>
                <w:szCs w:val="23"/>
                <w14:ligatures w14:val="none"/>
              </w:rPr>
              <w:t>2 (16.7)</w:t>
            </w:r>
          </w:p>
        </w:tc>
      </w:tr>
    </w:tbl>
    <w:p w14:paraId="5C743971"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*χ² calculated = 8.92; χ² tabulated (</w:t>
      </w:r>
      <w:proofErr w:type="spellStart"/>
      <w:r w:rsidRPr="00FE15C7">
        <w:rPr>
          <w:rFonts w:ascii="Times New Roman" w:eastAsia="Times New Roman" w:hAnsi="Times New Roman" w:cs="Times New Roman"/>
          <w:color w:val="0F1115"/>
          <w:kern w:val="0"/>
          <w14:ligatures w14:val="none"/>
        </w:rPr>
        <w:t>df</w:t>
      </w:r>
      <w:proofErr w:type="spellEnd"/>
      <w:r w:rsidRPr="00FE15C7">
        <w:rPr>
          <w:rFonts w:ascii="Times New Roman" w:eastAsia="Times New Roman" w:hAnsi="Times New Roman" w:cs="Times New Roman"/>
          <w:color w:val="0F1115"/>
          <w:kern w:val="0"/>
          <w14:ligatures w14:val="none"/>
        </w:rPr>
        <w:t xml:space="preserve"> = 12, α = 0.05) = 21.03; </w:t>
      </w:r>
      <w:r w:rsidRPr="00FE15C7">
        <w:rPr>
          <w:rFonts w:ascii="Times New Roman" w:eastAsia="Times New Roman" w:hAnsi="Times New Roman" w:cs="Times New Roman"/>
          <w:b/>
          <w:bCs/>
          <w:color w:val="0F1115"/>
          <w:kern w:val="0"/>
          <w14:ligatures w14:val="none"/>
        </w:rPr>
        <w:t>Not significant</w:t>
      </w:r>
      <w:r w:rsidRPr="00FE15C7">
        <w:rPr>
          <w:rFonts w:ascii="Times New Roman" w:eastAsia="Times New Roman" w:hAnsi="Times New Roman" w:cs="Times New Roman"/>
          <w:color w:val="0F1115"/>
          <w:kern w:val="0"/>
          <w14:ligatures w14:val="none"/>
        </w:rPr>
        <w:t>*</w:t>
      </w:r>
    </w:p>
    <w:p w14:paraId="71CC78CB"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b/>
          <w:bCs/>
          <w:color w:val="0F1115"/>
          <w:kern w:val="0"/>
          <w14:ligatures w14:val="none"/>
        </w:rPr>
        <w:t>Interpretation:</w:t>
      </w:r>
      <w:r w:rsidRPr="00FE15C7">
        <w:rPr>
          <w:rFonts w:ascii="Times New Roman" w:eastAsia="Times New Roman" w:hAnsi="Times New Roman" w:cs="Times New Roman"/>
          <w:color w:val="0F1115"/>
          <w:kern w:val="0"/>
          <w14:ligatures w14:val="none"/>
        </w:rPr>
        <w:t> No significant association exists between religious affiliation and perception of health education's utility.</w:t>
      </w:r>
    </w:p>
    <w:p w14:paraId="3EBC9853" w14:textId="77777777" w:rsidR="00FE15C7" w:rsidRPr="00FE15C7" w:rsidRDefault="00FE15C7" w:rsidP="00FE15C7">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FE15C7">
        <w:rPr>
          <w:rFonts w:ascii="Times New Roman" w:eastAsia="Times New Roman" w:hAnsi="Times New Roman" w:cs="Times New Roman"/>
          <w:b/>
          <w:bCs/>
          <w:color w:val="0F1115"/>
          <w:kern w:val="0"/>
          <w:sz w:val="33"/>
          <w:szCs w:val="33"/>
          <w14:ligatures w14:val="none"/>
        </w:rPr>
        <w:t>4. Discussion</w:t>
      </w:r>
    </w:p>
    <w:p w14:paraId="642C8343" w14:textId="77777777" w:rsidR="00FE15C7" w:rsidRPr="00FE15C7" w:rsidRDefault="00FE15C7" w:rsidP="00FE15C7">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FE15C7">
        <w:rPr>
          <w:rFonts w:ascii="Times New Roman" w:eastAsia="Times New Roman" w:hAnsi="Times New Roman" w:cs="Times New Roman"/>
          <w:b/>
          <w:bCs/>
          <w:color w:val="0F1115"/>
          <w:kern w:val="0"/>
          <w:sz w:val="30"/>
          <w:szCs w:val="30"/>
          <w14:ligatures w14:val="none"/>
        </w:rPr>
        <w:t>4.1. Summary of Key Findings</w:t>
      </w:r>
    </w:p>
    <w:p w14:paraId="1AB49CC0"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 xml:space="preserve">This study reveals a paradoxical situation in </w:t>
      </w:r>
      <w:proofErr w:type="spellStart"/>
      <w:r w:rsidRPr="00FE15C7">
        <w:rPr>
          <w:rFonts w:ascii="Times New Roman" w:eastAsia="Times New Roman" w:hAnsi="Times New Roman" w:cs="Times New Roman"/>
          <w:color w:val="0F1115"/>
          <w:kern w:val="0"/>
          <w14:ligatures w14:val="none"/>
        </w:rPr>
        <w:t>Mbandaka</w:t>
      </w:r>
      <w:proofErr w:type="spellEnd"/>
      <w:r w:rsidRPr="00FE15C7">
        <w:rPr>
          <w:rFonts w:ascii="Times New Roman" w:eastAsia="Times New Roman" w:hAnsi="Times New Roman" w:cs="Times New Roman"/>
          <w:color w:val="0F1115"/>
          <w:kern w:val="0"/>
          <w14:ligatures w14:val="none"/>
        </w:rPr>
        <w:t>: while health education is positively perceived (64.0% perceived usefulness, 84.0% reported positive impact, 100.0% would recommend it), effective coverage remains very low (16.0% participation), and behavioral changes are difficult to sustain (68.0% non-constancy). The age group 46–50 years shows the highest behavioral change rate (93.8%), and a marked gendered division of health roles exists.</w:t>
      </w:r>
    </w:p>
    <w:p w14:paraId="1DEE2B72" w14:textId="77777777" w:rsidR="00FE15C7" w:rsidRPr="00FE15C7" w:rsidRDefault="00FE15C7" w:rsidP="00FE15C7">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FE15C7">
        <w:rPr>
          <w:rFonts w:ascii="Times New Roman" w:eastAsia="Times New Roman" w:hAnsi="Times New Roman" w:cs="Times New Roman"/>
          <w:b/>
          <w:bCs/>
          <w:color w:val="0F1115"/>
          <w:kern w:val="0"/>
          <w:sz w:val="30"/>
          <w:szCs w:val="30"/>
          <w14:ligatures w14:val="none"/>
        </w:rPr>
        <w:t>4.2. Comparison with Existing Literature</w:t>
      </w:r>
    </w:p>
    <w:p w14:paraId="55058902" w14:textId="77777777" w:rsidR="00FE15C7" w:rsidRPr="00FE15C7" w:rsidRDefault="00FE15C7" w:rsidP="00FE15C7">
      <w:pPr>
        <w:shd w:val="clear" w:color="auto" w:fill="FFFFFF"/>
        <w:spacing w:before="240" w:after="240" w:line="420" w:lineRule="atLeast"/>
        <w:outlineLvl w:val="3"/>
        <w:rPr>
          <w:rFonts w:ascii="Times New Roman" w:eastAsia="Times New Roman" w:hAnsi="Times New Roman" w:cs="Times New Roman"/>
          <w:b/>
          <w:bCs/>
          <w:color w:val="0F1115"/>
          <w:kern w:val="0"/>
          <w14:ligatures w14:val="none"/>
        </w:rPr>
      </w:pPr>
      <w:r w:rsidRPr="00FE15C7">
        <w:rPr>
          <w:rFonts w:ascii="Times New Roman" w:eastAsia="Times New Roman" w:hAnsi="Times New Roman" w:cs="Times New Roman"/>
          <w:b/>
          <w:bCs/>
          <w:color w:val="0F1115"/>
          <w:kern w:val="0"/>
          <w14:ligatures w14:val="none"/>
        </w:rPr>
        <w:t>4.2.1. Dominance of the Biomedical Model</w:t>
      </w:r>
    </w:p>
    <w:p w14:paraId="5065EE56"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 xml:space="preserve">The conception of health education as "information and awareness" (48.0%) rather than as a behavioral change process (16.0%) reflects the persistence of the traditional biomedical model. </w:t>
      </w:r>
      <w:r w:rsidRPr="00FE15C7">
        <w:rPr>
          <w:rFonts w:ascii="Times New Roman" w:eastAsia="Times New Roman" w:hAnsi="Times New Roman" w:cs="Times New Roman"/>
          <w:color w:val="0F1115"/>
          <w:kern w:val="0"/>
          <w14:ligatures w14:val="none"/>
        </w:rPr>
        <w:lastRenderedPageBreak/>
        <w:t>This corroborates the observations of Carvalho et al. (2008), who described this model as centered on transmitting factual knowledge about diseases and their prevention, as opposed to the "health promotion model" that aims to develop empowerment.</w:t>
      </w:r>
    </w:p>
    <w:p w14:paraId="7175468F"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The high proportion of respondents who did not know what health education means (36.0%) indicates a significant gap in health literacy. Short et al. (2024) similarly found that in rural communities, health literacy is a major challenge, and the translation of educational gains into concrete behavioral changes remains uneven.</w:t>
      </w:r>
    </w:p>
    <w:p w14:paraId="3B20DCAD" w14:textId="77777777" w:rsidR="00FE15C7" w:rsidRPr="00FE15C7" w:rsidRDefault="00FE15C7" w:rsidP="00FE15C7">
      <w:pPr>
        <w:shd w:val="clear" w:color="auto" w:fill="FFFFFF"/>
        <w:spacing w:before="240" w:after="240" w:line="420" w:lineRule="atLeast"/>
        <w:outlineLvl w:val="3"/>
        <w:rPr>
          <w:rFonts w:ascii="Times New Roman" w:eastAsia="Times New Roman" w:hAnsi="Times New Roman" w:cs="Times New Roman"/>
          <w:b/>
          <w:bCs/>
          <w:color w:val="0F1115"/>
          <w:kern w:val="0"/>
          <w14:ligatures w14:val="none"/>
        </w:rPr>
      </w:pPr>
      <w:r w:rsidRPr="00FE15C7">
        <w:rPr>
          <w:rFonts w:ascii="Times New Roman" w:eastAsia="Times New Roman" w:hAnsi="Times New Roman" w:cs="Times New Roman"/>
          <w:b/>
          <w:bCs/>
          <w:color w:val="0F1115"/>
          <w:kern w:val="0"/>
          <w14:ligatures w14:val="none"/>
        </w:rPr>
        <w:t>4.2.2. Low Participation Despite Positive Perception</w:t>
      </w:r>
    </w:p>
    <w:p w14:paraId="76BEB4EE"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The extremely low participation rate (16.0%) contrasts sharply with the positive perception of health education's utility (64.0%). This paradox reveals an </w:t>
      </w:r>
      <w:r w:rsidRPr="00FE15C7">
        <w:rPr>
          <w:rFonts w:ascii="Times New Roman" w:eastAsia="Times New Roman" w:hAnsi="Times New Roman" w:cs="Times New Roman"/>
          <w:b/>
          <w:bCs/>
          <w:color w:val="0F1115"/>
          <w:kern w:val="0"/>
          <w14:ligatures w14:val="none"/>
        </w:rPr>
        <w:t>accessibility problem rather than an acceptability problem</w:t>
      </w:r>
      <w:r w:rsidRPr="00FE15C7">
        <w:rPr>
          <w:rFonts w:ascii="Times New Roman" w:eastAsia="Times New Roman" w:hAnsi="Times New Roman" w:cs="Times New Roman"/>
          <w:color w:val="0F1115"/>
          <w:kern w:val="0"/>
          <w14:ligatures w14:val="none"/>
        </w:rPr>
        <w:t>. Similar findings were reported by Coville et al. (2025) in their evaluation of the "Healthy Villages and Schools" program in four DRC provinces, where they documented that accessibility constraints (distance, cost, time) are the primary barriers to health service utilization.</w:t>
      </w:r>
    </w:p>
    <w:p w14:paraId="0D3017BC"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The fact that antenatal care consultations are the main entry point for health education (87.5% of participants) aligns with findings from the DRC Demographic and Health Survey (EDS-RDC II, 2014), which showed that maternal health services are the most frequent point of contact with the formal health system for women.</w:t>
      </w:r>
    </w:p>
    <w:p w14:paraId="090B31C9" w14:textId="77777777" w:rsidR="00FE15C7" w:rsidRPr="00FE15C7" w:rsidRDefault="00FE15C7" w:rsidP="00FE15C7">
      <w:pPr>
        <w:shd w:val="clear" w:color="auto" w:fill="FFFFFF"/>
        <w:spacing w:before="240" w:after="240" w:line="420" w:lineRule="atLeast"/>
        <w:outlineLvl w:val="3"/>
        <w:rPr>
          <w:rFonts w:ascii="Times New Roman" w:eastAsia="Times New Roman" w:hAnsi="Times New Roman" w:cs="Times New Roman"/>
          <w:b/>
          <w:bCs/>
          <w:color w:val="0F1115"/>
          <w:kern w:val="0"/>
          <w14:ligatures w14:val="none"/>
        </w:rPr>
      </w:pPr>
      <w:r w:rsidRPr="00FE15C7">
        <w:rPr>
          <w:rFonts w:ascii="Times New Roman" w:eastAsia="Times New Roman" w:hAnsi="Times New Roman" w:cs="Times New Roman"/>
          <w:b/>
          <w:bCs/>
          <w:color w:val="0F1115"/>
          <w:kern w:val="0"/>
          <w14:ligatures w14:val="none"/>
        </w:rPr>
        <w:t>4.2.3. Gendered Division of Health Roles</w:t>
      </w:r>
    </w:p>
    <w:p w14:paraId="0D819F20"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 xml:space="preserve">The highly significant association between sex and type of behavior modified (χ² = 42.8 &gt; 11.07) confirms a gendered division of health roles. Women are exclusively responsible for waste management, latrine maintenance, and hand washing, while men focus on food hygiene. This finding corroborates the observations of the menstrual hygiene initiative conducted in </w:t>
      </w:r>
      <w:proofErr w:type="spellStart"/>
      <w:r w:rsidRPr="00FE15C7">
        <w:rPr>
          <w:rFonts w:ascii="Times New Roman" w:eastAsia="Times New Roman" w:hAnsi="Times New Roman" w:cs="Times New Roman"/>
          <w:color w:val="0F1115"/>
          <w:kern w:val="0"/>
          <w14:ligatures w14:val="none"/>
        </w:rPr>
        <w:t>Mbandaka</w:t>
      </w:r>
      <w:proofErr w:type="spellEnd"/>
      <w:r w:rsidRPr="00FE15C7">
        <w:rPr>
          <w:rFonts w:ascii="Times New Roman" w:eastAsia="Times New Roman" w:hAnsi="Times New Roman" w:cs="Times New Roman"/>
          <w:color w:val="0F1115"/>
          <w:kern w:val="0"/>
          <w14:ligatures w14:val="none"/>
        </w:rPr>
        <w:t xml:space="preserve"> by </w:t>
      </w:r>
      <w:r w:rsidRPr="00FE15C7">
        <w:rPr>
          <w:rFonts w:ascii="Times New Roman" w:eastAsia="Times New Roman" w:hAnsi="Times New Roman" w:cs="Times New Roman"/>
          <w:b/>
          <w:bCs/>
          <w:color w:val="0F1115"/>
          <w:kern w:val="0"/>
          <w14:ligatures w14:val="none"/>
        </w:rPr>
        <w:t>Afia Mama/UNICEF (2024)</w:t>
      </w:r>
      <w:r w:rsidRPr="00FE15C7">
        <w:rPr>
          <w:rFonts w:ascii="Times New Roman" w:eastAsia="Times New Roman" w:hAnsi="Times New Roman" w:cs="Times New Roman"/>
          <w:color w:val="0F1115"/>
          <w:kern w:val="0"/>
          <w14:ligatures w14:val="none"/>
        </w:rPr>
        <w:t>, which noted that adolescent girls are better equipped to manage their menstrual hygiene hygienically and confidentially through targeted educational sessions.</w:t>
      </w:r>
    </w:p>
    <w:p w14:paraId="40C23D75" w14:textId="77777777" w:rsidR="00FE15C7" w:rsidRPr="00FE15C7" w:rsidRDefault="00FE15C7" w:rsidP="00FE15C7">
      <w:pPr>
        <w:shd w:val="clear" w:color="auto" w:fill="FFFFFF"/>
        <w:spacing w:before="240" w:after="240" w:line="420" w:lineRule="atLeast"/>
        <w:outlineLvl w:val="3"/>
        <w:rPr>
          <w:rFonts w:ascii="Times New Roman" w:eastAsia="Times New Roman" w:hAnsi="Times New Roman" w:cs="Times New Roman"/>
          <w:b/>
          <w:bCs/>
          <w:color w:val="0F1115"/>
          <w:kern w:val="0"/>
          <w14:ligatures w14:val="none"/>
        </w:rPr>
      </w:pPr>
      <w:r w:rsidRPr="00FE15C7">
        <w:rPr>
          <w:rFonts w:ascii="Times New Roman" w:eastAsia="Times New Roman" w:hAnsi="Times New Roman" w:cs="Times New Roman"/>
          <w:b/>
          <w:bCs/>
          <w:color w:val="0F1115"/>
          <w:kern w:val="0"/>
          <w14:ligatures w14:val="none"/>
        </w:rPr>
        <w:lastRenderedPageBreak/>
        <w:t>4.2.4. Challenge of Sustaining Behavioral Changes</w:t>
      </w:r>
    </w:p>
    <w:p w14:paraId="76BC7922"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 xml:space="preserve">The low consistency rate of behavioral changes (32.1% constant change) constitutes a major challenge. This phenomenon is not specific to </w:t>
      </w:r>
      <w:proofErr w:type="spellStart"/>
      <w:r w:rsidRPr="00FE15C7">
        <w:rPr>
          <w:rFonts w:ascii="Times New Roman" w:eastAsia="Times New Roman" w:hAnsi="Times New Roman" w:cs="Times New Roman"/>
          <w:color w:val="0F1115"/>
          <w:kern w:val="0"/>
          <w14:ligatures w14:val="none"/>
        </w:rPr>
        <w:t>Mbandaka</w:t>
      </w:r>
      <w:proofErr w:type="spellEnd"/>
      <w:r w:rsidRPr="00FE15C7">
        <w:rPr>
          <w:rFonts w:ascii="Times New Roman" w:eastAsia="Times New Roman" w:hAnsi="Times New Roman" w:cs="Times New Roman"/>
          <w:color w:val="0F1115"/>
          <w:kern w:val="0"/>
          <w14:ligatures w14:val="none"/>
        </w:rPr>
        <w:t xml:space="preserve">; maintaining behavioral changes is more difficult than their initial adoption. </w:t>
      </w:r>
      <w:proofErr w:type="spellStart"/>
      <w:r w:rsidRPr="00FE15C7">
        <w:rPr>
          <w:rFonts w:ascii="Times New Roman" w:eastAsia="Times New Roman" w:hAnsi="Times New Roman" w:cs="Times New Roman"/>
          <w:color w:val="0F1115"/>
          <w:kern w:val="0"/>
          <w14:ligatures w14:val="none"/>
        </w:rPr>
        <w:t>Akilimali</w:t>
      </w:r>
      <w:proofErr w:type="spellEnd"/>
      <w:r w:rsidRPr="00FE15C7">
        <w:rPr>
          <w:rFonts w:ascii="Times New Roman" w:eastAsia="Times New Roman" w:hAnsi="Times New Roman" w:cs="Times New Roman"/>
          <w:color w:val="0F1115"/>
          <w:kern w:val="0"/>
          <w14:ligatures w14:val="none"/>
        </w:rPr>
        <w:t xml:space="preserve"> et al. (2025), in their evaluation of nursing student training for community-based contraception distribution in DRC, similarly highlighted that the sustainability of community interventions depends on institutional anchoring and regular reinforcement.</w:t>
      </w:r>
    </w:p>
    <w:p w14:paraId="37800011"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The finding that age is significantly associated with behavioral change (χ² = 300.000 &gt; 9.49) but not with consistency (χ² = 8.24 &lt; 9.49) suggests that while older adults (46–50 years) are more likely to adopt new behaviors, they face the same difficulties in maintaining them as younger adults.</w:t>
      </w:r>
    </w:p>
    <w:p w14:paraId="448F699D" w14:textId="77777777" w:rsidR="00FE15C7" w:rsidRPr="00FE15C7" w:rsidRDefault="00FE15C7" w:rsidP="00FE15C7">
      <w:pPr>
        <w:shd w:val="clear" w:color="auto" w:fill="FFFFFF"/>
        <w:spacing w:before="240" w:after="240" w:line="420" w:lineRule="atLeast"/>
        <w:outlineLvl w:val="3"/>
        <w:rPr>
          <w:rFonts w:ascii="Times New Roman" w:eastAsia="Times New Roman" w:hAnsi="Times New Roman" w:cs="Times New Roman"/>
          <w:b/>
          <w:bCs/>
          <w:color w:val="0F1115"/>
          <w:kern w:val="0"/>
          <w14:ligatures w14:val="none"/>
        </w:rPr>
      </w:pPr>
      <w:r w:rsidRPr="00FE15C7">
        <w:rPr>
          <w:rFonts w:ascii="Times New Roman" w:eastAsia="Times New Roman" w:hAnsi="Times New Roman" w:cs="Times New Roman"/>
          <w:b/>
          <w:bCs/>
          <w:color w:val="0F1115"/>
          <w:kern w:val="0"/>
          <w14:ligatures w14:val="none"/>
        </w:rPr>
        <w:t>4.2.5. Non-Medical Sources of Health Information</w:t>
      </w:r>
    </w:p>
    <w:p w14:paraId="4CD372EB"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 xml:space="preserve">The predominance of non-medical sources (84.0%) over health professionals (16.0%) as sources of health information is concerning. This situation is not unique to </w:t>
      </w:r>
      <w:proofErr w:type="spellStart"/>
      <w:r w:rsidRPr="00FE15C7">
        <w:rPr>
          <w:rFonts w:ascii="Times New Roman" w:eastAsia="Times New Roman" w:hAnsi="Times New Roman" w:cs="Times New Roman"/>
          <w:color w:val="0F1115"/>
          <w:kern w:val="0"/>
          <w14:ligatures w14:val="none"/>
        </w:rPr>
        <w:t>Mbandaka</w:t>
      </w:r>
      <w:proofErr w:type="spellEnd"/>
      <w:r w:rsidRPr="00FE15C7">
        <w:rPr>
          <w:rFonts w:ascii="Times New Roman" w:eastAsia="Times New Roman" w:hAnsi="Times New Roman" w:cs="Times New Roman"/>
          <w:color w:val="0F1115"/>
          <w:kern w:val="0"/>
          <w14:ligatures w14:val="none"/>
        </w:rPr>
        <w:t>. A multinational study conducted in eleven sub-Saharan African countries by the </w:t>
      </w:r>
      <w:proofErr w:type="spellStart"/>
      <w:r w:rsidRPr="00FE15C7">
        <w:rPr>
          <w:rFonts w:ascii="Times New Roman" w:eastAsia="Times New Roman" w:hAnsi="Times New Roman" w:cs="Times New Roman"/>
          <w:b/>
          <w:bCs/>
          <w:color w:val="0F1115"/>
          <w:kern w:val="0"/>
          <w14:ligatures w14:val="none"/>
        </w:rPr>
        <w:t>AFREhealth</w:t>
      </w:r>
      <w:proofErr w:type="spellEnd"/>
      <w:r w:rsidRPr="00FE15C7">
        <w:rPr>
          <w:rFonts w:ascii="Times New Roman" w:eastAsia="Times New Roman" w:hAnsi="Times New Roman" w:cs="Times New Roman"/>
          <w:b/>
          <w:bCs/>
          <w:color w:val="0F1115"/>
          <w:kern w:val="0"/>
          <w14:ligatures w14:val="none"/>
        </w:rPr>
        <w:t xml:space="preserve"> HIV Project Group (2025)</w:t>
      </w:r>
      <w:r w:rsidRPr="00FE15C7">
        <w:rPr>
          <w:rFonts w:ascii="Times New Roman" w:eastAsia="Times New Roman" w:hAnsi="Times New Roman" w:cs="Times New Roman"/>
          <w:color w:val="0F1115"/>
          <w:kern w:val="0"/>
          <w14:ligatures w14:val="none"/>
        </w:rPr>
        <w:t> also found that health professionals are underutilized as community information sources, advocating for strengthened interprofessional approaches.</w:t>
      </w:r>
    </w:p>
    <w:p w14:paraId="66EC74C4"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The </w:t>
      </w:r>
      <w:r w:rsidRPr="00FE15C7">
        <w:rPr>
          <w:rFonts w:ascii="Times New Roman" w:eastAsia="Times New Roman" w:hAnsi="Times New Roman" w:cs="Times New Roman"/>
          <w:b/>
          <w:bCs/>
          <w:color w:val="0F1115"/>
          <w:kern w:val="0"/>
          <w14:ligatures w14:val="none"/>
        </w:rPr>
        <w:t>Mpox awareness campaign</w:t>
      </w:r>
      <w:r w:rsidRPr="00FE15C7">
        <w:rPr>
          <w:rFonts w:ascii="Times New Roman" w:eastAsia="Times New Roman" w:hAnsi="Times New Roman" w:cs="Times New Roman"/>
          <w:color w:val="0F1115"/>
          <w:kern w:val="0"/>
          <w14:ligatures w14:val="none"/>
        </w:rPr>
        <w:t xml:space="preserve"> conducted in </w:t>
      </w:r>
      <w:proofErr w:type="spellStart"/>
      <w:r w:rsidRPr="00FE15C7">
        <w:rPr>
          <w:rFonts w:ascii="Times New Roman" w:eastAsia="Times New Roman" w:hAnsi="Times New Roman" w:cs="Times New Roman"/>
          <w:color w:val="0F1115"/>
          <w:kern w:val="0"/>
          <w14:ligatures w14:val="none"/>
        </w:rPr>
        <w:t>Mbandaka</w:t>
      </w:r>
      <w:proofErr w:type="spellEnd"/>
      <w:r w:rsidRPr="00FE15C7">
        <w:rPr>
          <w:rFonts w:ascii="Times New Roman" w:eastAsia="Times New Roman" w:hAnsi="Times New Roman" w:cs="Times New Roman"/>
          <w:color w:val="0F1115"/>
          <w:kern w:val="0"/>
          <w14:ligatures w14:val="none"/>
        </w:rPr>
        <w:t xml:space="preserve"> in late 2024 (</w:t>
      </w:r>
      <w:proofErr w:type="spellStart"/>
      <w:r w:rsidRPr="00FE15C7">
        <w:rPr>
          <w:rFonts w:ascii="Times New Roman" w:eastAsia="Times New Roman" w:hAnsi="Times New Roman" w:cs="Times New Roman"/>
          <w:color w:val="0F1115"/>
          <w:kern w:val="0"/>
          <w14:ligatures w14:val="none"/>
        </w:rPr>
        <w:t>Fatshimetrie</w:t>
      </w:r>
      <w:proofErr w:type="spellEnd"/>
      <w:r w:rsidRPr="00FE15C7">
        <w:rPr>
          <w:rFonts w:ascii="Times New Roman" w:eastAsia="Times New Roman" w:hAnsi="Times New Roman" w:cs="Times New Roman"/>
          <w:color w:val="0F1115"/>
          <w:kern w:val="0"/>
          <w14:ligatures w14:val="none"/>
        </w:rPr>
        <w:t>, 2024) illustrates a response to this challenge. The "Multisectoral Communication Task Force of Équateur" mobilized diverse community actors (boat owners, motorcyclists, women's associations, artists, child journalists), recognizing that engaging different societal actors is crucial for population awareness.</w:t>
      </w:r>
    </w:p>
    <w:p w14:paraId="1848636A" w14:textId="77777777" w:rsidR="00FE15C7" w:rsidRPr="00FE15C7" w:rsidRDefault="00FE15C7" w:rsidP="00FE15C7">
      <w:pPr>
        <w:shd w:val="clear" w:color="auto" w:fill="FFFFFF"/>
        <w:spacing w:before="240" w:after="240" w:line="420" w:lineRule="atLeast"/>
        <w:outlineLvl w:val="3"/>
        <w:rPr>
          <w:rFonts w:ascii="Times New Roman" w:eastAsia="Times New Roman" w:hAnsi="Times New Roman" w:cs="Times New Roman"/>
          <w:b/>
          <w:bCs/>
          <w:color w:val="0F1115"/>
          <w:kern w:val="0"/>
          <w14:ligatures w14:val="none"/>
        </w:rPr>
      </w:pPr>
      <w:r w:rsidRPr="00FE15C7">
        <w:rPr>
          <w:rFonts w:ascii="Times New Roman" w:eastAsia="Times New Roman" w:hAnsi="Times New Roman" w:cs="Times New Roman"/>
          <w:b/>
          <w:bCs/>
          <w:color w:val="0F1115"/>
          <w:kern w:val="0"/>
          <w14:ligatures w14:val="none"/>
        </w:rPr>
        <w:t>4.2.6. Barriers to Behavioral Change</w:t>
      </w:r>
    </w:p>
    <w:p w14:paraId="2C1A95AD"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 xml:space="preserve">The identification of lack of financial resources (64.0%) and difficult access to potable water (48.0%) as the main barriers aligns with the ecological model of Dahlgren and Whitehead (1991), which emphasizes that health behaviors are influenced by multiple levels of </w:t>
      </w:r>
      <w:r w:rsidRPr="00FE15C7">
        <w:rPr>
          <w:rFonts w:ascii="Times New Roman" w:eastAsia="Times New Roman" w:hAnsi="Times New Roman" w:cs="Times New Roman"/>
          <w:color w:val="0F1115"/>
          <w:kern w:val="0"/>
          <w14:ligatures w14:val="none"/>
        </w:rPr>
        <w:lastRenderedPageBreak/>
        <w:t xml:space="preserve">determinants, including material conditions. </w:t>
      </w:r>
      <w:proofErr w:type="spellStart"/>
      <w:r w:rsidRPr="00FE15C7">
        <w:rPr>
          <w:rFonts w:ascii="Times New Roman" w:eastAsia="Times New Roman" w:hAnsi="Times New Roman" w:cs="Times New Roman"/>
          <w:color w:val="0F1115"/>
          <w:kern w:val="0"/>
          <w14:ligatures w14:val="none"/>
        </w:rPr>
        <w:t>Brundisini</w:t>
      </w:r>
      <w:proofErr w:type="spellEnd"/>
      <w:r w:rsidRPr="00FE15C7">
        <w:rPr>
          <w:rFonts w:ascii="Times New Roman" w:eastAsia="Times New Roman" w:hAnsi="Times New Roman" w:cs="Times New Roman"/>
          <w:color w:val="0F1115"/>
          <w:kern w:val="0"/>
          <w14:ligatures w14:val="none"/>
        </w:rPr>
        <w:t xml:space="preserve"> et al. (2013) similarly found that structural barriers (geographic, economic, organizational) are major obstacles to health service access in rural and remote areas.</w:t>
      </w:r>
    </w:p>
    <w:p w14:paraId="12ECE238" w14:textId="77777777" w:rsidR="00FE15C7" w:rsidRPr="00FE15C7" w:rsidRDefault="00FE15C7" w:rsidP="00FE15C7">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FE15C7">
        <w:rPr>
          <w:rFonts w:ascii="Times New Roman" w:eastAsia="Times New Roman" w:hAnsi="Times New Roman" w:cs="Times New Roman"/>
          <w:b/>
          <w:bCs/>
          <w:color w:val="0F1115"/>
          <w:kern w:val="0"/>
          <w:sz w:val="30"/>
          <w:szCs w:val="30"/>
          <w14:ligatures w14:val="none"/>
        </w:rPr>
        <w:t>4.3. Strengths and Limitations</w:t>
      </w:r>
    </w:p>
    <w:p w14:paraId="24AF460D"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b/>
          <w:bCs/>
          <w:color w:val="0F1115"/>
          <w:kern w:val="0"/>
          <w14:ligatures w14:val="none"/>
        </w:rPr>
        <w:t>Strengths:</w:t>
      </w:r>
    </w:p>
    <w:p w14:paraId="731F340A" w14:textId="77777777" w:rsidR="00FE15C7" w:rsidRPr="00FE15C7" w:rsidRDefault="00FE15C7" w:rsidP="00FE15C7">
      <w:pPr>
        <w:numPr>
          <w:ilvl w:val="0"/>
          <w:numId w:val="9"/>
        </w:numPr>
        <w:shd w:val="clear" w:color="auto" w:fill="FFFFFF"/>
        <w:spacing w:after="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 xml:space="preserve">First study to specifically explore perceptions, practices, and determinants of behavioral change related to health education in </w:t>
      </w:r>
      <w:proofErr w:type="spellStart"/>
      <w:r w:rsidRPr="00FE15C7">
        <w:rPr>
          <w:rFonts w:ascii="Times New Roman" w:eastAsia="Times New Roman" w:hAnsi="Times New Roman" w:cs="Times New Roman"/>
          <w:color w:val="0F1115"/>
          <w:kern w:val="0"/>
          <w14:ligatures w14:val="none"/>
        </w:rPr>
        <w:t>Mbandaka</w:t>
      </w:r>
      <w:proofErr w:type="spellEnd"/>
    </w:p>
    <w:p w14:paraId="0F1C633D" w14:textId="77777777" w:rsidR="00FE15C7" w:rsidRPr="00FE15C7" w:rsidRDefault="00FE15C7" w:rsidP="00FE15C7">
      <w:pPr>
        <w:numPr>
          <w:ilvl w:val="0"/>
          <w:numId w:val="9"/>
        </w:numPr>
        <w:shd w:val="clear" w:color="auto" w:fill="FFFFFF"/>
        <w:spacing w:after="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Use of chi-square tests to establish statistical associations</w:t>
      </w:r>
    </w:p>
    <w:p w14:paraId="4F17DB86" w14:textId="77777777" w:rsidR="00FE15C7" w:rsidRPr="00FE15C7" w:rsidRDefault="00FE15C7" w:rsidP="00FE15C7">
      <w:pPr>
        <w:numPr>
          <w:ilvl w:val="0"/>
          <w:numId w:val="9"/>
        </w:numPr>
        <w:shd w:val="clear" w:color="auto" w:fill="FFFFFF"/>
        <w:spacing w:after="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High response rate (100%)</w:t>
      </w:r>
    </w:p>
    <w:p w14:paraId="614D7EA4" w14:textId="77777777" w:rsidR="00FE15C7" w:rsidRPr="00FE15C7" w:rsidRDefault="00FE15C7" w:rsidP="00FE15C7">
      <w:pPr>
        <w:numPr>
          <w:ilvl w:val="0"/>
          <w:numId w:val="9"/>
        </w:numPr>
        <w:shd w:val="clear" w:color="auto" w:fill="FFFFFF"/>
        <w:spacing w:after="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Inclusion of diverse sociodemographic profiles</w:t>
      </w:r>
    </w:p>
    <w:p w14:paraId="7500470C"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b/>
          <w:bCs/>
          <w:color w:val="0F1115"/>
          <w:kern w:val="0"/>
          <w14:ligatures w14:val="none"/>
        </w:rPr>
        <w:t>Limitations:</w:t>
      </w:r>
    </w:p>
    <w:p w14:paraId="26B27FA9" w14:textId="77777777" w:rsidR="00FE15C7" w:rsidRPr="00FE15C7" w:rsidRDefault="00FE15C7" w:rsidP="00FE15C7">
      <w:pPr>
        <w:numPr>
          <w:ilvl w:val="0"/>
          <w:numId w:val="10"/>
        </w:numPr>
        <w:shd w:val="clear" w:color="auto" w:fill="FFFFFF"/>
        <w:spacing w:after="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Cross-sectional design precludes causal inference</w:t>
      </w:r>
    </w:p>
    <w:p w14:paraId="28D84A3E" w14:textId="77777777" w:rsidR="00FE15C7" w:rsidRPr="00FE15C7" w:rsidRDefault="00FE15C7" w:rsidP="00FE15C7">
      <w:pPr>
        <w:numPr>
          <w:ilvl w:val="0"/>
          <w:numId w:val="10"/>
        </w:numPr>
        <w:shd w:val="clear" w:color="auto" w:fill="FFFFFF"/>
        <w:spacing w:after="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Relatively small sample size (n=100) limits generalizability</w:t>
      </w:r>
    </w:p>
    <w:p w14:paraId="0CA4E9D1" w14:textId="77777777" w:rsidR="00FE15C7" w:rsidRPr="00FE15C7" w:rsidRDefault="00FE15C7" w:rsidP="00FE15C7">
      <w:pPr>
        <w:numPr>
          <w:ilvl w:val="0"/>
          <w:numId w:val="10"/>
        </w:numPr>
        <w:shd w:val="clear" w:color="auto" w:fill="FFFFFF"/>
        <w:spacing w:after="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Convenience sampling may introduce selection bias</w:t>
      </w:r>
    </w:p>
    <w:p w14:paraId="2DAAC0BB" w14:textId="77777777" w:rsidR="00FE15C7" w:rsidRPr="00FE15C7" w:rsidRDefault="00FE15C7" w:rsidP="00FE15C7">
      <w:pPr>
        <w:numPr>
          <w:ilvl w:val="0"/>
          <w:numId w:val="10"/>
        </w:numPr>
        <w:shd w:val="clear" w:color="auto" w:fill="FFFFFF"/>
        <w:spacing w:after="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Self-reported data may be subject to social desirability bias</w:t>
      </w:r>
    </w:p>
    <w:p w14:paraId="0AB09C8E" w14:textId="77777777" w:rsidR="00FE15C7" w:rsidRPr="00FE15C7" w:rsidRDefault="00FE15C7" w:rsidP="00FE15C7">
      <w:pPr>
        <w:numPr>
          <w:ilvl w:val="0"/>
          <w:numId w:val="10"/>
        </w:numPr>
        <w:shd w:val="clear" w:color="auto" w:fill="FFFFFF"/>
        <w:spacing w:after="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Single-city study cannot be generalized to all of Équateur Province or DRC</w:t>
      </w:r>
    </w:p>
    <w:p w14:paraId="3472A62A" w14:textId="77777777" w:rsidR="00FE15C7" w:rsidRPr="00FE15C7" w:rsidRDefault="00FE15C7" w:rsidP="00FE15C7">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FE15C7">
        <w:rPr>
          <w:rFonts w:ascii="Times New Roman" w:eastAsia="Times New Roman" w:hAnsi="Times New Roman" w:cs="Times New Roman"/>
          <w:b/>
          <w:bCs/>
          <w:color w:val="0F1115"/>
          <w:kern w:val="0"/>
          <w:sz w:val="30"/>
          <w:szCs w:val="30"/>
          <w14:ligatures w14:val="none"/>
        </w:rPr>
        <w:t>4.4. Implications for Policy and Practice</w:t>
      </w:r>
    </w:p>
    <w:p w14:paraId="2D5D640A"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b/>
          <w:bCs/>
          <w:color w:val="0F1115"/>
          <w:kern w:val="0"/>
          <w14:ligatures w14:val="none"/>
        </w:rPr>
        <w:t>For health authorities:</w:t>
      </w:r>
      <w:r w:rsidRPr="00FE15C7">
        <w:rPr>
          <w:rFonts w:ascii="Times New Roman" w:eastAsia="Times New Roman" w:hAnsi="Times New Roman" w:cs="Times New Roman"/>
          <w:color w:val="0F1115"/>
          <w:kern w:val="0"/>
          <w14:ligatures w14:val="none"/>
        </w:rPr>
        <w:t> The demand for government support (68.0%) justifies increased institutionalization of health education. A provincial strategic framework for health education should be developed, with quantified objectives, monitoring indicators, and dedicated budget lines, as recommended by the ARISE Network (2026).</w:t>
      </w:r>
    </w:p>
    <w:p w14:paraId="72D391BF"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b/>
          <w:bCs/>
          <w:color w:val="0F1115"/>
          <w:kern w:val="0"/>
          <w14:ligatures w14:val="none"/>
        </w:rPr>
        <w:t>For health facilities:</w:t>
      </w:r>
      <w:r w:rsidRPr="00FE15C7">
        <w:rPr>
          <w:rFonts w:ascii="Times New Roman" w:eastAsia="Times New Roman" w:hAnsi="Times New Roman" w:cs="Times New Roman"/>
          <w:color w:val="0F1115"/>
          <w:kern w:val="0"/>
          <w14:ligatures w14:val="none"/>
        </w:rPr>
        <w:t> Antenatal care consultations, as the main entry point for health education, should be optimized by extending session duration, involving accompanying persons (husbands, mothers), and ensuring educational continuity after delivery.</w:t>
      </w:r>
    </w:p>
    <w:p w14:paraId="398B3C7B"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b/>
          <w:bCs/>
          <w:color w:val="0F1115"/>
          <w:kern w:val="0"/>
          <w14:ligatures w14:val="none"/>
        </w:rPr>
        <w:lastRenderedPageBreak/>
        <w:t>For nursing education:</w:t>
      </w:r>
      <w:r w:rsidRPr="00FE15C7">
        <w:rPr>
          <w:rFonts w:ascii="Times New Roman" w:eastAsia="Times New Roman" w:hAnsi="Times New Roman" w:cs="Times New Roman"/>
          <w:color w:val="0F1115"/>
          <w:kern w:val="0"/>
          <w14:ligatures w14:val="none"/>
        </w:rPr>
        <w:t xml:space="preserve"> Interprofessional training approaches, as demonstrated by </w:t>
      </w:r>
      <w:proofErr w:type="spellStart"/>
      <w:r w:rsidRPr="00FE15C7">
        <w:rPr>
          <w:rFonts w:ascii="Times New Roman" w:eastAsia="Times New Roman" w:hAnsi="Times New Roman" w:cs="Times New Roman"/>
          <w:color w:val="0F1115"/>
          <w:kern w:val="0"/>
          <w14:ligatures w14:val="none"/>
        </w:rPr>
        <w:t>AFREhealth</w:t>
      </w:r>
      <w:proofErr w:type="spellEnd"/>
      <w:r w:rsidRPr="00FE15C7">
        <w:rPr>
          <w:rFonts w:ascii="Times New Roman" w:eastAsia="Times New Roman" w:hAnsi="Times New Roman" w:cs="Times New Roman"/>
          <w:color w:val="0F1115"/>
          <w:kern w:val="0"/>
          <w14:ligatures w14:val="none"/>
        </w:rPr>
        <w:t xml:space="preserve"> (2025), should be integrated into nursing curricula. Students should be trained in community health education and evaluation of behavioral change.</w:t>
      </w:r>
    </w:p>
    <w:p w14:paraId="2D9C0A55"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b/>
          <w:bCs/>
          <w:color w:val="0F1115"/>
          <w:kern w:val="0"/>
          <w14:ligatures w14:val="none"/>
        </w:rPr>
        <w:t>For community actors:</w:t>
      </w:r>
      <w:r w:rsidRPr="00FE15C7">
        <w:rPr>
          <w:rFonts w:ascii="Times New Roman" w:eastAsia="Times New Roman" w:hAnsi="Times New Roman" w:cs="Times New Roman"/>
          <w:color w:val="0F1115"/>
          <w:kern w:val="0"/>
          <w14:ligatures w14:val="none"/>
        </w:rPr>
        <w:t> Successful local initiatives (menstrual hygiene, Mpox awareness) should be documented, evaluated, and scaled up. Community monitoring systems (health vigilance committees, peer educator home visits) should be established to improve sustainability.</w:t>
      </w:r>
    </w:p>
    <w:p w14:paraId="391956F5" w14:textId="77777777" w:rsidR="00FE15C7" w:rsidRPr="00FE15C7" w:rsidRDefault="00FE15C7" w:rsidP="00FE15C7">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FE15C7">
        <w:rPr>
          <w:rFonts w:ascii="Times New Roman" w:eastAsia="Times New Roman" w:hAnsi="Times New Roman" w:cs="Times New Roman"/>
          <w:b/>
          <w:bCs/>
          <w:color w:val="0F1115"/>
          <w:kern w:val="0"/>
          <w:sz w:val="33"/>
          <w:szCs w:val="33"/>
          <w14:ligatures w14:val="none"/>
        </w:rPr>
        <w:t>5. Conclusion</w:t>
      </w:r>
    </w:p>
    <w:p w14:paraId="1C29B6A5"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 xml:space="preserve">This study aimed to analyze perceptions and practices related to health education among adults attending health facilities in </w:t>
      </w:r>
      <w:proofErr w:type="spellStart"/>
      <w:r w:rsidRPr="00FE15C7">
        <w:rPr>
          <w:rFonts w:ascii="Times New Roman" w:eastAsia="Times New Roman" w:hAnsi="Times New Roman" w:cs="Times New Roman"/>
          <w:color w:val="0F1115"/>
          <w:kern w:val="0"/>
          <w14:ligatures w14:val="none"/>
        </w:rPr>
        <w:t>Mbandaka</w:t>
      </w:r>
      <w:proofErr w:type="spellEnd"/>
      <w:r w:rsidRPr="00FE15C7">
        <w:rPr>
          <w:rFonts w:ascii="Times New Roman" w:eastAsia="Times New Roman" w:hAnsi="Times New Roman" w:cs="Times New Roman"/>
          <w:color w:val="0F1115"/>
          <w:kern w:val="0"/>
          <w14:ligatures w14:val="none"/>
        </w:rPr>
        <w:t>. The results reveal a paradoxical situation: high trust capital in health education (perceived usefulness: 64.0%, positive impact: 84.0%, unanimous recommendation: 100.0%), but low effective coverage (participation: 16.0%) and fragility of behavioral changes (inconsistency: 68.0%).</w:t>
      </w:r>
    </w:p>
    <w:p w14:paraId="07508FEB"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The following hypotheses were confirmed:</w:t>
      </w:r>
    </w:p>
    <w:p w14:paraId="38ADD1C9" w14:textId="77777777" w:rsidR="00FE15C7" w:rsidRPr="00FE15C7" w:rsidRDefault="00FE15C7" w:rsidP="00FE15C7">
      <w:pPr>
        <w:numPr>
          <w:ilvl w:val="0"/>
          <w:numId w:val="11"/>
        </w:numPr>
        <w:shd w:val="clear" w:color="auto" w:fill="FFFFFF"/>
        <w:spacing w:after="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b/>
          <w:bCs/>
          <w:color w:val="0F1115"/>
          <w:kern w:val="0"/>
          <w14:ligatures w14:val="none"/>
        </w:rPr>
        <w:t>H1:</w:t>
      </w:r>
      <w:r w:rsidRPr="00FE15C7">
        <w:rPr>
          <w:rFonts w:ascii="Times New Roman" w:eastAsia="Times New Roman" w:hAnsi="Times New Roman" w:cs="Times New Roman"/>
          <w:color w:val="0F1115"/>
          <w:kern w:val="0"/>
          <w14:ligatures w14:val="none"/>
        </w:rPr>
        <w:t> Perceptions are primarily associated with the biomedical model (48.0% as information) rather than the health promotion model.</w:t>
      </w:r>
    </w:p>
    <w:p w14:paraId="7F55D452" w14:textId="77777777" w:rsidR="00FE15C7" w:rsidRPr="00FE15C7" w:rsidRDefault="00FE15C7" w:rsidP="00FE15C7">
      <w:pPr>
        <w:numPr>
          <w:ilvl w:val="0"/>
          <w:numId w:val="11"/>
        </w:numPr>
        <w:shd w:val="clear" w:color="auto" w:fill="FFFFFF"/>
        <w:spacing w:after="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b/>
          <w:bCs/>
          <w:color w:val="0F1115"/>
          <w:kern w:val="0"/>
          <w14:ligatures w14:val="none"/>
        </w:rPr>
        <w:t>H2:</w:t>
      </w:r>
      <w:r w:rsidRPr="00FE15C7">
        <w:rPr>
          <w:rFonts w:ascii="Times New Roman" w:eastAsia="Times New Roman" w:hAnsi="Times New Roman" w:cs="Times New Roman"/>
          <w:color w:val="0F1115"/>
          <w:kern w:val="0"/>
          <w14:ligatures w14:val="none"/>
        </w:rPr>
        <w:t> There is a significant gap between positive perception (64.0%) and effective participation (16.0%).</w:t>
      </w:r>
    </w:p>
    <w:p w14:paraId="1ABF58DC" w14:textId="77777777" w:rsidR="00FE15C7" w:rsidRPr="00FE15C7" w:rsidRDefault="00FE15C7" w:rsidP="00FE15C7">
      <w:pPr>
        <w:numPr>
          <w:ilvl w:val="0"/>
          <w:numId w:val="11"/>
        </w:numPr>
        <w:shd w:val="clear" w:color="auto" w:fill="FFFFFF"/>
        <w:spacing w:after="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b/>
          <w:bCs/>
          <w:color w:val="0F1115"/>
          <w:kern w:val="0"/>
          <w14:ligatures w14:val="none"/>
        </w:rPr>
        <w:t>H3:</w:t>
      </w:r>
      <w:r w:rsidRPr="00FE15C7">
        <w:rPr>
          <w:rFonts w:ascii="Times New Roman" w:eastAsia="Times New Roman" w:hAnsi="Times New Roman" w:cs="Times New Roman"/>
          <w:color w:val="0F1115"/>
          <w:kern w:val="0"/>
          <w14:ligatures w14:val="none"/>
        </w:rPr>
        <w:t> Health education has a positive impact (84.0% reported change), but changes are difficult to sustain (68.0% non-constancy).</w:t>
      </w:r>
    </w:p>
    <w:p w14:paraId="39C0A832" w14:textId="77777777" w:rsidR="00FE15C7" w:rsidRPr="00FE15C7" w:rsidRDefault="00FE15C7" w:rsidP="00FE15C7">
      <w:pPr>
        <w:numPr>
          <w:ilvl w:val="0"/>
          <w:numId w:val="11"/>
        </w:numPr>
        <w:shd w:val="clear" w:color="auto" w:fill="FFFFFF"/>
        <w:spacing w:after="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b/>
          <w:bCs/>
          <w:color w:val="0F1115"/>
          <w:kern w:val="0"/>
          <w14:ligatures w14:val="none"/>
        </w:rPr>
        <w:t>H4:</w:t>
      </w:r>
      <w:r w:rsidRPr="00FE15C7">
        <w:rPr>
          <w:rFonts w:ascii="Times New Roman" w:eastAsia="Times New Roman" w:hAnsi="Times New Roman" w:cs="Times New Roman"/>
          <w:color w:val="0F1115"/>
          <w:kern w:val="0"/>
          <w14:ligatures w14:val="none"/>
        </w:rPr>
        <w:t> Behavioral changes are significantly associated with age (χ² = 300.000 &gt; 9.49) and gender (χ² = 42.8 &gt; 11.07), but not with education level.</w:t>
      </w:r>
    </w:p>
    <w:p w14:paraId="2F014973"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These findings argue for:</w:t>
      </w:r>
    </w:p>
    <w:p w14:paraId="5F6B9EF6" w14:textId="77777777" w:rsidR="00FE15C7" w:rsidRPr="00FE15C7" w:rsidRDefault="00FE15C7" w:rsidP="00FE15C7">
      <w:pPr>
        <w:numPr>
          <w:ilvl w:val="0"/>
          <w:numId w:val="12"/>
        </w:numPr>
        <w:shd w:val="clear" w:color="auto" w:fill="FFFFFF"/>
        <w:spacing w:after="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b/>
          <w:bCs/>
          <w:color w:val="0F1115"/>
          <w:kern w:val="0"/>
          <w14:ligatures w14:val="none"/>
        </w:rPr>
        <w:t>Conceptual evolution:</w:t>
      </w:r>
      <w:r w:rsidRPr="00FE15C7">
        <w:rPr>
          <w:rFonts w:ascii="Times New Roman" w:eastAsia="Times New Roman" w:hAnsi="Times New Roman" w:cs="Times New Roman"/>
          <w:color w:val="0F1115"/>
          <w:kern w:val="0"/>
          <w14:ligatures w14:val="none"/>
        </w:rPr>
        <w:t> Moving from the biomedical model (information transmission) to the health promotion model (empowerment)</w:t>
      </w:r>
    </w:p>
    <w:p w14:paraId="3EBE2992" w14:textId="77777777" w:rsidR="00FE15C7" w:rsidRPr="00FE15C7" w:rsidRDefault="00FE15C7" w:rsidP="00FE15C7">
      <w:pPr>
        <w:numPr>
          <w:ilvl w:val="0"/>
          <w:numId w:val="12"/>
        </w:numPr>
        <w:shd w:val="clear" w:color="auto" w:fill="FFFFFF"/>
        <w:spacing w:after="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b/>
          <w:bCs/>
          <w:color w:val="0F1115"/>
          <w:kern w:val="0"/>
          <w14:ligatures w14:val="none"/>
        </w:rPr>
        <w:t>Channel diversification:</w:t>
      </w:r>
      <w:r w:rsidRPr="00FE15C7">
        <w:rPr>
          <w:rFonts w:ascii="Times New Roman" w:eastAsia="Times New Roman" w:hAnsi="Times New Roman" w:cs="Times New Roman"/>
          <w:color w:val="0F1115"/>
          <w:kern w:val="0"/>
          <w14:ligatures w14:val="none"/>
        </w:rPr>
        <w:t> Strengthening health professionals' role as information sources while capitalizing on identified community relays (schools, media, associations)</w:t>
      </w:r>
    </w:p>
    <w:p w14:paraId="204D9697" w14:textId="77777777" w:rsidR="00FE15C7" w:rsidRPr="00FE15C7" w:rsidRDefault="00FE15C7" w:rsidP="00FE15C7">
      <w:pPr>
        <w:numPr>
          <w:ilvl w:val="0"/>
          <w:numId w:val="12"/>
        </w:numPr>
        <w:shd w:val="clear" w:color="auto" w:fill="FFFFFF"/>
        <w:spacing w:after="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b/>
          <w:bCs/>
          <w:color w:val="0F1115"/>
          <w:kern w:val="0"/>
          <w14:ligatures w14:val="none"/>
        </w:rPr>
        <w:lastRenderedPageBreak/>
        <w:t>Sustainability mechanisms:</w:t>
      </w:r>
      <w:r w:rsidRPr="00FE15C7">
        <w:rPr>
          <w:rFonts w:ascii="Times New Roman" w:eastAsia="Times New Roman" w:hAnsi="Times New Roman" w:cs="Times New Roman"/>
          <w:color w:val="0F1115"/>
          <w:kern w:val="0"/>
          <w14:ligatures w14:val="none"/>
        </w:rPr>
        <w:t> Establishing monitoring and reinforcement systems, drawing on older age groups that demonstrate better change maintenance capacity</w:t>
      </w:r>
    </w:p>
    <w:p w14:paraId="5B96DC72" w14:textId="77777777" w:rsidR="00FE15C7" w:rsidRPr="00FE15C7" w:rsidRDefault="00FE15C7" w:rsidP="00FE15C7">
      <w:pPr>
        <w:numPr>
          <w:ilvl w:val="0"/>
          <w:numId w:val="12"/>
        </w:numPr>
        <w:shd w:val="clear" w:color="auto" w:fill="FFFFFF"/>
        <w:spacing w:after="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b/>
          <w:bCs/>
          <w:color w:val="0F1115"/>
          <w:kern w:val="0"/>
          <w14:ligatures w14:val="none"/>
        </w:rPr>
        <w:t>Institutional integration:</w:t>
      </w:r>
      <w:r w:rsidRPr="00FE15C7">
        <w:rPr>
          <w:rFonts w:ascii="Times New Roman" w:eastAsia="Times New Roman" w:hAnsi="Times New Roman" w:cs="Times New Roman"/>
          <w:color w:val="0F1115"/>
          <w:kern w:val="0"/>
          <w14:ligatures w14:val="none"/>
        </w:rPr>
        <w:t> Formalizing health education into public policies, as requested by 68.0% of respondents</w:t>
      </w:r>
    </w:p>
    <w:p w14:paraId="4593E717"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 xml:space="preserve">Without these transformations, health education in </w:t>
      </w:r>
      <w:proofErr w:type="spellStart"/>
      <w:r w:rsidRPr="00FE15C7">
        <w:rPr>
          <w:rFonts w:ascii="Times New Roman" w:eastAsia="Times New Roman" w:hAnsi="Times New Roman" w:cs="Times New Roman"/>
          <w:color w:val="0F1115"/>
          <w:kern w:val="0"/>
          <w14:ligatures w14:val="none"/>
        </w:rPr>
        <w:t>Mbandaka</w:t>
      </w:r>
      <w:proofErr w:type="spellEnd"/>
      <w:r w:rsidRPr="00FE15C7">
        <w:rPr>
          <w:rFonts w:ascii="Times New Roman" w:eastAsia="Times New Roman" w:hAnsi="Times New Roman" w:cs="Times New Roman"/>
          <w:color w:val="0F1115"/>
          <w:kern w:val="0"/>
          <w14:ligatures w14:val="none"/>
        </w:rPr>
        <w:t xml:space="preserve"> will remain a </w:t>
      </w:r>
      <w:r w:rsidRPr="00FE15C7">
        <w:rPr>
          <w:rFonts w:ascii="Times New Roman" w:eastAsia="Times New Roman" w:hAnsi="Times New Roman" w:cs="Times New Roman"/>
          <w:b/>
          <w:bCs/>
          <w:color w:val="0F1115"/>
          <w:kern w:val="0"/>
          <w14:ligatures w14:val="none"/>
        </w:rPr>
        <w:t>missed opportunity</w:t>
      </w:r>
      <w:r w:rsidRPr="00FE15C7">
        <w:rPr>
          <w:rFonts w:ascii="Times New Roman" w:eastAsia="Times New Roman" w:hAnsi="Times New Roman" w:cs="Times New Roman"/>
          <w:color w:val="0F1115"/>
          <w:kern w:val="0"/>
          <w14:ligatures w14:val="none"/>
        </w:rPr>
        <w:t>: perceived as useful but inaccessible, producing initial changes that fade without adequate follow-up. The challenge is not only to inform but to </w:t>
      </w:r>
      <w:r w:rsidRPr="00FE15C7">
        <w:rPr>
          <w:rFonts w:ascii="Times New Roman" w:eastAsia="Times New Roman" w:hAnsi="Times New Roman" w:cs="Times New Roman"/>
          <w:b/>
          <w:bCs/>
          <w:color w:val="0F1115"/>
          <w:kern w:val="0"/>
          <w14:ligatures w14:val="none"/>
        </w:rPr>
        <w:t>empower</w:t>
      </w:r>
      <w:r w:rsidRPr="00FE15C7">
        <w:rPr>
          <w:rFonts w:ascii="Times New Roman" w:eastAsia="Times New Roman" w:hAnsi="Times New Roman" w:cs="Times New Roman"/>
          <w:color w:val="0F1115"/>
          <w:kern w:val="0"/>
          <w14:ligatures w14:val="none"/>
        </w:rPr>
        <w:t>—to enable individuals and communities to exercise greater control over the determinants of their health.</w:t>
      </w:r>
    </w:p>
    <w:p w14:paraId="09BF0AA3" w14:textId="77777777" w:rsidR="00FE15C7" w:rsidRPr="00FE15C7" w:rsidRDefault="00FE15C7" w:rsidP="00FE15C7">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FE15C7">
        <w:rPr>
          <w:rFonts w:ascii="Times New Roman" w:eastAsia="Times New Roman" w:hAnsi="Times New Roman" w:cs="Times New Roman"/>
          <w:b/>
          <w:bCs/>
          <w:color w:val="0F1115"/>
          <w:kern w:val="0"/>
          <w:sz w:val="33"/>
          <w:szCs w:val="33"/>
          <w14:ligatures w14:val="none"/>
        </w:rPr>
        <w:t>6. Recommendations</w:t>
      </w:r>
    </w:p>
    <w:p w14:paraId="0107CBE9" w14:textId="77777777" w:rsidR="00FE15C7" w:rsidRPr="00FE15C7" w:rsidRDefault="00FE15C7" w:rsidP="00FE15C7">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FE15C7">
        <w:rPr>
          <w:rFonts w:ascii="Times New Roman" w:eastAsia="Times New Roman" w:hAnsi="Times New Roman" w:cs="Times New Roman"/>
          <w:b/>
          <w:bCs/>
          <w:color w:val="0F1115"/>
          <w:kern w:val="0"/>
          <w:sz w:val="30"/>
          <w:szCs w:val="30"/>
          <w14:ligatures w14:val="none"/>
        </w:rPr>
        <w:t>To provincial and national health authorities</w:t>
      </w:r>
    </w:p>
    <w:p w14:paraId="23266211" w14:textId="77777777" w:rsidR="00FE15C7" w:rsidRPr="00FE15C7" w:rsidRDefault="00FE15C7" w:rsidP="00FE15C7">
      <w:pPr>
        <w:numPr>
          <w:ilvl w:val="0"/>
          <w:numId w:val="13"/>
        </w:numPr>
        <w:shd w:val="clear" w:color="auto" w:fill="FFFFFF"/>
        <w:spacing w:after="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Integrate health education formally into public policies with a provincial strategic framework, quantified objectives, and dedicated budgets.</w:t>
      </w:r>
    </w:p>
    <w:p w14:paraId="128CF767" w14:textId="77777777" w:rsidR="00FE15C7" w:rsidRPr="00FE15C7" w:rsidRDefault="00FE15C7" w:rsidP="00FE15C7">
      <w:pPr>
        <w:numPr>
          <w:ilvl w:val="0"/>
          <w:numId w:val="13"/>
        </w:numPr>
        <w:shd w:val="clear" w:color="auto" w:fill="FFFFFF"/>
        <w:spacing w:after="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Develop age-specific educational programs (youth, middle-aged adults, elderly) given the significant association between age and behavioral change.</w:t>
      </w:r>
    </w:p>
    <w:p w14:paraId="44FBE580" w14:textId="77777777" w:rsidR="00FE15C7" w:rsidRPr="00FE15C7" w:rsidRDefault="00FE15C7" w:rsidP="00FE15C7">
      <w:pPr>
        <w:numPr>
          <w:ilvl w:val="0"/>
          <w:numId w:val="13"/>
        </w:numPr>
        <w:shd w:val="clear" w:color="auto" w:fill="FFFFFF"/>
        <w:spacing w:after="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Strengthen health professionals' capacities in therapeutic education through initial and continuing training modules.</w:t>
      </w:r>
    </w:p>
    <w:p w14:paraId="0EA02EBD" w14:textId="77777777" w:rsidR="00FE15C7" w:rsidRPr="00FE15C7" w:rsidRDefault="00FE15C7" w:rsidP="00FE15C7">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FE15C7">
        <w:rPr>
          <w:rFonts w:ascii="Times New Roman" w:eastAsia="Times New Roman" w:hAnsi="Times New Roman" w:cs="Times New Roman"/>
          <w:b/>
          <w:bCs/>
          <w:color w:val="0F1115"/>
          <w:kern w:val="0"/>
          <w:sz w:val="30"/>
          <w:szCs w:val="30"/>
          <w14:ligatures w14:val="none"/>
        </w:rPr>
        <w:t>To health facility managers</w:t>
      </w:r>
    </w:p>
    <w:p w14:paraId="322DD29E" w14:textId="77777777" w:rsidR="00FE15C7" w:rsidRPr="00FE15C7" w:rsidRDefault="00FE15C7" w:rsidP="00FE15C7">
      <w:pPr>
        <w:numPr>
          <w:ilvl w:val="0"/>
          <w:numId w:val="14"/>
        </w:numPr>
        <w:shd w:val="clear" w:color="auto" w:fill="FFFFFF"/>
        <w:spacing w:after="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Optimize antenatal care consultations as the main entry point for health education by extending session duration and involving accompanying persons.</w:t>
      </w:r>
    </w:p>
    <w:p w14:paraId="22F5B597" w14:textId="77777777" w:rsidR="00FE15C7" w:rsidRPr="00FE15C7" w:rsidRDefault="00FE15C7" w:rsidP="00FE15C7">
      <w:pPr>
        <w:numPr>
          <w:ilvl w:val="0"/>
          <w:numId w:val="14"/>
        </w:numPr>
        <w:shd w:val="clear" w:color="auto" w:fill="FFFFFF"/>
        <w:spacing w:after="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Diversify information channels by training community relays and establishing formal partnerships with local media and churches.</w:t>
      </w:r>
    </w:p>
    <w:p w14:paraId="4744328E" w14:textId="77777777" w:rsidR="00FE15C7" w:rsidRPr="00FE15C7" w:rsidRDefault="00FE15C7" w:rsidP="00FE15C7">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FE15C7">
        <w:rPr>
          <w:rFonts w:ascii="Times New Roman" w:eastAsia="Times New Roman" w:hAnsi="Times New Roman" w:cs="Times New Roman"/>
          <w:b/>
          <w:bCs/>
          <w:color w:val="0F1115"/>
          <w:kern w:val="0"/>
          <w:sz w:val="30"/>
          <w:szCs w:val="30"/>
          <w14:ligatures w14:val="none"/>
        </w:rPr>
        <w:t>To nursing education institutions</w:t>
      </w:r>
    </w:p>
    <w:p w14:paraId="1E543D1E" w14:textId="77777777" w:rsidR="00FE15C7" w:rsidRPr="00FE15C7" w:rsidRDefault="00FE15C7" w:rsidP="00FE15C7">
      <w:pPr>
        <w:numPr>
          <w:ilvl w:val="0"/>
          <w:numId w:val="15"/>
        </w:numPr>
        <w:shd w:val="clear" w:color="auto" w:fill="FFFFFF"/>
        <w:spacing w:after="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lastRenderedPageBreak/>
        <w:t>Integrate interprofessional approaches into nursing curricula, with community-based practical internships and training in behavioral change evaluation.</w:t>
      </w:r>
    </w:p>
    <w:p w14:paraId="20B95EF9" w14:textId="77777777" w:rsidR="00FE15C7" w:rsidRPr="00FE15C7" w:rsidRDefault="00FE15C7" w:rsidP="00FE15C7">
      <w:pPr>
        <w:numPr>
          <w:ilvl w:val="0"/>
          <w:numId w:val="15"/>
        </w:numPr>
        <w:shd w:val="clear" w:color="auto" w:fill="FFFFFF"/>
        <w:spacing w:after="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Develop locally adapted educational tools (Lingala language, participatory formats such as theater-forum, discussion groups).</w:t>
      </w:r>
    </w:p>
    <w:p w14:paraId="027D3D58" w14:textId="77777777" w:rsidR="00FE15C7" w:rsidRPr="00FE15C7" w:rsidRDefault="00FE15C7" w:rsidP="00FE15C7">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FE15C7">
        <w:rPr>
          <w:rFonts w:ascii="Times New Roman" w:eastAsia="Times New Roman" w:hAnsi="Times New Roman" w:cs="Times New Roman"/>
          <w:b/>
          <w:bCs/>
          <w:color w:val="0F1115"/>
          <w:kern w:val="0"/>
          <w:sz w:val="30"/>
          <w:szCs w:val="30"/>
          <w14:ligatures w14:val="none"/>
        </w:rPr>
        <w:t>To community actors and civil society</w:t>
      </w:r>
    </w:p>
    <w:p w14:paraId="19A70601" w14:textId="77777777" w:rsidR="00FE15C7" w:rsidRPr="00FE15C7" w:rsidRDefault="00FE15C7" w:rsidP="00FE15C7">
      <w:pPr>
        <w:numPr>
          <w:ilvl w:val="0"/>
          <w:numId w:val="16"/>
        </w:numPr>
        <w:shd w:val="clear" w:color="auto" w:fill="FFFFFF"/>
        <w:spacing w:after="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Capitalize on existing local initiatives (menstrual hygiene, Mpox awareness) by documenting, evaluating, and scaling them up.</w:t>
      </w:r>
    </w:p>
    <w:p w14:paraId="379E0E36" w14:textId="77777777" w:rsidR="00FE15C7" w:rsidRPr="00FE15C7" w:rsidRDefault="00FE15C7" w:rsidP="00FE15C7">
      <w:pPr>
        <w:numPr>
          <w:ilvl w:val="0"/>
          <w:numId w:val="16"/>
        </w:numPr>
        <w:shd w:val="clear" w:color="auto" w:fill="FFFFFF"/>
        <w:spacing w:after="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Establish community monitoring systems (health vigilance committees, peer educator home visits, recognition mechanisms for model households).</w:t>
      </w:r>
    </w:p>
    <w:p w14:paraId="459400CA" w14:textId="77777777" w:rsidR="00FE15C7" w:rsidRPr="00FE15C7" w:rsidRDefault="00FE15C7" w:rsidP="00FE15C7">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FE15C7">
        <w:rPr>
          <w:rFonts w:ascii="Times New Roman" w:eastAsia="Times New Roman" w:hAnsi="Times New Roman" w:cs="Times New Roman"/>
          <w:b/>
          <w:bCs/>
          <w:color w:val="0F1115"/>
          <w:kern w:val="0"/>
          <w:sz w:val="30"/>
          <w:szCs w:val="30"/>
          <w14:ligatures w14:val="none"/>
        </w:rPr>
        <w:t>To researchers</w:t>
      </w:r>
    </w:p>
    <w:p w14:paraId="59EF10AF" w14:textId="77777777" w:rsidR="00FE15C7" w:rsidRPr="00FE15C7" w:rsidRDefault="00FE15C7" w:rsidP="00FE15C7">
      <w:pPr>
        <w:numPr>
          <w:ilvl w:val="0"/>
          <w:numId w:val="17"/>
        </w:numPr>
        <w:shd w:val="clear" w:color="auto" w:fill="FFFFFF"/>
        <w:spacing w:after="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Conduct longitudinal research-action studies to identify factors facilitating long-term maintenance of hygiene behaviors, particularly among younger age groups who show lower sustainability capacity.</w:t>
      </w:r>
    </w:p>
    <w:p w14:paraId="53CBE6D7" w14:textId="77777777" w:rsidR="00FE15C7" w:rsidRPr="00FE15C7" w:rsidRDefault="00FE15C7" w:rsidP="00FE15C7">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FE15C7">
        <w:rPr>
          <w:rFonts w:ascii="Times New Roman" w:eastAsia="Times New Roman" w:hAnsi="Times New Roman" w:cs="Times New Roman"/>
          <w:b/>
          <w:bCs/>
          <w:color w:val="0F1115"/>
          <w:kern w:val="0"/>
          <w:sz w:val="33"/>
          <w:szCs w:val="33"/>
          <w14:ligatures w14:val="none"/>
        </w:rPr>
        <w:t>7. References</w:t>
      </w:r>
    </w:p>
    <w:p w14:paraId="50639860"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FE15C7">
        <w:rPr>
          <w:rFonts w:ascii="Times New Roman" w:eastAsia="Times New Roman" w:hAnsi="Times New Roman" w:cs="Times New Roman"/>
          <w:color w:val="0F1115"/>
          <w:kern w:val="0"/>
          <w14:ligatures w14:val="none"/>
        </w:rPr>
        <w:t>Akilimali</w:t>
      </w:r>
      <w:proofErr w:type="spellEnd"/>
      <w:r w:rsidRPr="00FE15C7">
        <w:rPr>
          <w:rFonts w:ascii="Times New Roman" w:eastAsia="Times New Roman" w:hAnsi="Times New Roman" w:cs="Times New Roman"/>
          <w:color w:val="0F1115"/>
          <w:kern w:val="0"/>
          <w14:ligatures w14:val="none"/>
        </w:rPr>
        <w:t xml:space="preserve">, P. Z., </w:t>
      </w:r>
      <w:proofErr w:type="spellStart"/>
      <w:r w:rsidRPr="00FE15C7">
        <w:rPr>
          <w:rFonts w:ascii="Times New Roman" w:eastAsia="Times New Roman" w:hAnsi="Times New Roman" w:cs="Times New Roman"/>
          <w:color w:val="0F1115"/>
          <w:kern w:val="0"/>
          <w14:ligatures w14:val="none"/>
        </w:rPr>
        <w:t>Compta</w:t>
      </w:r>
      <w:proofErr w:type="spellEnd"/>
      <w:r w:rsidRPr="00FE15C7">
        <w:rPr>
          <w:rFonts w:ascii="Times New Roman" w:eastAsia="Times New Roman" w:hAnsi="Times New Roman" w:cs="Times New Roman"/>
          <w:color w:val="0F1115"/>
          <w:kern w:val="0"/>
          <w14:ligatures w14:val="none"/>
        </w:rPr>
        <w:t xml:space="preserve">, G., Ngondo, D., Koba, T., Kayembe, D., </w:t>
      </w:r>
      <w:proofErr w:type="spellStart"/>
      <w:r w:rsidRPr="00FE15C7">
        <w:rPr>
          <w:rFonts w:ascii="Times New Roman" w:eastAsia="Times New Roman" w:hAnsi="Times New Roman" w:cs="Times New Roman"/>
          <w:color w:val="0F1115"/>
          <w:kern w:val="0"/>
          <w14:ligatures w14:val="none"/>
        </w:rPr>
        <w:t>Kabasubabo</w:t>
      </w:r>
      <w:proofErr w:type="spellEnd"/>
      <w:r w:rsidRPr="00FE15C7">
        <w:rPr>
          <w:rFonts w:ascii="Times New Roman" w:eastAsia="Times New Roman" w:hAnsi="Times New Roman" w:cs="Times New Roman"/>
          <w:color w:val="0F1115"/>
          <w:kern w:val="0"/>
          <w14:ligatures w14:val="none"/>
        </w:rPr>
        <w:t>, F., &amp; Bertrand, J. T. (2025). Nursing student training as a novel approach to increasing community-based access to contraception in the Democratic Republic of the Congo: Evaluation of outcomes. </w:t>
      </w:r>
      <w:r w:rsidRPr="00FE15C7">
        <w:rPr>
          <w:rFonts w:ascii="Times New Roman" w:eastAsia="Times New Roman" w:hAnsi="Times New Roman" w:cs="Times New Roman"/>
          <w:i/>
          <w:iCs/>
          <w:color w:val="0F1115"/>
          <w:kern w:val="0"/>
          <w14:ligatures w14:val="none"/>
        </w:rPr>
        <w:t>Health Policy and Planning</w:t>
      </w:r>
      <w:r w:rsidRPr="00FE15C7">
        <w:rPr>
          <w:rFonts w:ascii="Times New Roman" w:eastAsia="Times New Roman" w:hAnsi="Times New Roman" w:cs="Times New Roman"/>
          <w:color w:val="0F1115"/>
          <w:kern w:val="0"/>
          <w14:ligatures w14:val="none"/>
        </w:rPr>
        <w:t>, 40(10), 1040–1055.</w:t>
      </w:r>
    </w:p>
    <w:p w14:paraId="17D985A7"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Ajzen, I. (1991). The theory of planned behavior. </w:t>
      </w:r>
      <w:r w:rsidRPr="00FE15C7">
        <w:rPr>
          <w:rFonts w:ascii="Times New Roman" w:eastAsia="Times New Roman" w:hAnsi="Times New Roman" w:cs="Times New Roman"/>
          <w:i/>
          <w:iCs/>
          <w:color w:val="0F1115"/>
          <w:kern w:val="0"/>
          <w14:ligatures w14:val="none"/>
        </w:rPr>
        <w:t>Organizational Behavior and Human Decision Processes</w:t>
      </w:r>
      <w:r w:rsidRPr="00FE15C7">
        <w:rPr>
          <w:rFonts w:ascii="Times New Roman" w:eastAsia="Times New Roman" w:hAnsi="Times New Roman" w:cs="Times New Roman"/>
          <w:color w:val="0F1115"/>
          <w:kern w:val="0"/>
          <w14:ligatures w14:val="none"/>
        </w:rPr>
        <w:t>, 50(2), 179–211.</w:t>
      </w:r>
    </w:p>
    <w:p w14:paraId="0EE904EE"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ARISE Network. (2026). Adolescent health and educational outcomes in sub-Saharan Africa: A longitudinal analysis. </w:t>
      </w:r>
      <w:r w:rsidRPr="00FE15C7">
        <w:rPr>
          <w:rFonts w:ascii="Times New Roman" w:eastAsia="Times New Roman" w:hAnsi="Times New Roman" w:cs="Times New Roman"/>
          <w:i/>
          <w:iCs/>
          <w:color w:val="0F1115"/>
          <w:kern w:val="0"/>
          <w14:ligatures w14:val="none"/>
        </w:rPr>
        <w:t>African Health Studies</w:t>
      </w:r>
      <w:r w:rsidRPr="00FE15C7">
        <w:rPr>
          <w:rFonts w:ascii="Times New Roman" w:eastAsia="Times New Roman" w:hAnsi="Times New Roman" w:cs="Times New Roman"/>
          <w:color w:val="0F1115"/>
          <w:kern w:val="0"/>
          <w14:ligatures w14:val="none"/>
        </w:rPr>
        <w:t>, 8(2), 45–62.</w:t>
      </w:r>
    </w:p>
    <w:p w14:paraId="1C6EC6DA"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lastRenderedPageBreak/>
        <w:t>Bandura, A. (1986). </w:t>
      </w:r>
      <w:r w:rsidRPr="00FE15C7">
        <w:rPr>
          <w:rFonts w:ascii="Times New Roman" w:eastAsia="Times New Roman" w:hAnsi="Times New Roman" w:cs="Times New Roman"/>
          <w:i/>
          <w:iCs/>
          <w:color w:val="0F1115"/>
          <w:kern w:val="0"/>
          <w14:ligatures w14:val="none"/>
        </w:rPr>
        <w:t>Social foundations of thought and action: A social cognitive theory</w:t>
      </w:r>
      <w:r w:rsidRPr="00FE15C7">
        <w:rPr>
          <w:rFonts w:ascii="Times New Roman" w:eastAsia="Times New Roman" w:hAnsi="Times New Roman" w:cs="Times New Roman"/>
          <w:color w:val="0F1115"/>
          <w:kern w:val="0"/>
          <w14:ligatures w14:val="none"/>
        </w:rPr>
        <w:t>. Prentice-Hall.</w:t>
      </w:r>
    </w:p>
    <w:p w14:paraId="60CF48FF"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Becker, M. H. (1974). The health belief model and personal health behavior. </w:t>
      </w:r>
      <w:r w:rsidRPr="00FE15C7">
        <w:rPr>
          <w:rFonts w:ascii="Times New Roman" w:eastAsia="Times New Roman" w:hAnsi="Times New Roman" w:cs="Times New Roman"/>
          <w:i/>
          <w:iCs/>
          <w:color w:val="0F1115"/>
          <w:kern w:val="0"/>
          <w14:ligatures w14:val="none"/>
        </w:rPr>
        <w:t>Health Education Monographs</w:t>
      </w:r>
      <w:r w:rsidRPr="00FE15C7">
        <w:rPr>
          <w:rFonts w:ascii="Times New Roman" w:eastAsia="Times New Roman" w:hAnsi="Times New Roman" w:cs="Times New Roman"/>
          <w:color w:val="0F1115"/>
          <w:kern w:val="0"/>
          <w14:ligatures w14:val="none"/>
        </w:rPr>
        <w:t>, 2(4), 324–508.</w:t>
      </w:r>
    </w:p>
    <w:p w14:paraId="0B305A7F"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Brundisini, F., Giacomini, M., DeJean, D., Vanstone, M., Winsor, S., &amp; Smith, A. (2013). Chronic disease patients' experiences with accessing health care in rural and remote areas: A systematic review and qualitative meta-synthesis. </w:t>
      </w:r>
      <w:r w:rsidRPr="00FE15C7">
        <w:rPr>
          <w:rFonts w:ascii="Times New Roman" w:eastAsia="Times New Roman" w:hAnsi="Times New Roman" w:cs="Times New Roman"/>
          <w:i/>
          <w:iCs/>
          <w:color w:val="0F1115"/>
          <w:kern w:val="0"/>
          <w14:ligatures w14:val="none"/>
        </w:rPr>
        <w:t>Ontario Health Technology Assessment Series</w:t>
      </w:r>
      <w:r w:rsidRPr="00FE15C7">
        <w:rPr>
          <w:rFonts w:ascii="Times New Roman" w:eastAsia="Times New Roman" w:hAnsi="Times New Roman" w:cs="Times New Roman"/>
          <w:color w:val="0F1115"/>
          <w:kern w:val="0"/>
          <w14:ligatures w14:val="none"/>
        </w:rPr>
        <w:t>, 13(15), 1–33.</w:t>
      </w:r>
    </w:p>
    <w:p w14:paraId="590C7747"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Carvalho, G. S., Dantas, C., Rauma, A. L., Luzi, D., Ruggieri, R., Bogner, F., &amp; Clément, P. (2008). Comparing health education approaches in textbooks of sixteen countries. </w:t>
      </w:r>
      <w:r w:rsidRPr="00FE15C7">
        <w:rPr>
          <w:rFonts w:ascii="Times New Roman" w:eastAsia="Times New Roman" w:hAnsi="Times New Roman" w:cs="Times New Roman"/>
          <w:i/>
          <w:iCs/>
          <w:color w:val="0F1115"/>
          <w:kern w:val="0"/>
          <w14:ligatures w14:val="none"/>
        </w:rPr>
        <w:t>Science Education International</w:t>
      </w:r>
      <w:r w:rsidRPr="00FE15C7">
        <w:rPr>
          <w:rFonts w:ascii="Times New Roman" w:eastAsia="Times New Roman" w:hAnsi="Times New Roman" w:cs="Times New Roman"/>
          <w:color w:val="0F1115"/>
          <w:kern w:val="0"/>
          <w14:ligatures w14:val="none"/>
        </w:rPr>
        <w:t>, 19(2), 133–146.</w:t>
      </w:r>
    </w:p>
    <w:p w14:paraId="4E48C106"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 xml:space="preserve">Coville, A., Quattrochi, J., Croke, K., &amp; </w:t>
      </w:r>
      <w:proofErr w:type="spellStart"/>
      <w:r w:rsidRPr="00FE15C7">
        <w:rPr>
          <w:rFonts w:ascii="Times New Roman" w:eastAsia="Times New Roman" w:hAnsi="Times New Roman" w:cs="Times New Roman"/>
          <w:color w:val="0F1115"/>
          <w:kern w:val="0"/>
          <w14:ligatures w14:val="none"/>
        </w:rPr>
        <w:t>Mvukiyehe</w:t>
      </w:r>
      <w:proofErr w:type="spellEnd"/>
      <w:r w:rsidRPr="00FE15C7">
        <w:rPr>
          <w:rFonts w:ascii="Times New Roman" w:eastAsia="Times New Roman" w:hAnsi="Times New Roman" w:cs="Times New Roman"/>
          <w:color w:val="0F1115"/>
          <w:kern w:val="0"/>
          <w14:ligatures w14:val="none"/>
        </w:rPr>
        <w:t>, E. (2025). *Impact evaluation of the Healthy Villages and Schools National Program 2022-2023 endline*. World Bank Microdata Library.</w:t>
      </w:r>
    </w:p>
    <w:p w14:paraId="5821E20A"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Dahlgren, G., &amp; Whitehead, M. (1991). </w:t>
      </w:r>
      <w:r w:rsidRPr="00FE15C7">
        <w:rPr>
          <w:rFonts w:ascii="Times New Roman" w:eastAsia="Times New Roman" w:hAnsi="Times New Roman" w:cs="Times New Roman"/>
          <w:i/>
          <w:iCs/>
          <w:color w:val="0F1115"/>
          <w:kern w:val="0"/>
          <w14:ligatures w14:val="none"/>
        </w:rPr>
        <w:t>Policies and strategies to promote social equity in health</w:t>
      </w:r>
      <w:r w:rsidRPr="00FE15C7">
        <w:rPr>
          <w:rFonts w:ascii="Times New Roman" w:eastAsia="Times New Roman" w:hAnsi="Times New Roman" w:cs="Times New Roman"/>
          <w:color w:val="0F1115"/>
          <w:kern w:val="0"/>
          <w14:ligatures w14:val="none"/>
        </w:rPr>
        <w:t>. Institute for Futures Studies.</w:t>
      </w:r>
    </w:p>
    <w:p w14:paraId="26E971D3"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FE15C7">
        <w:rPr>
          <w:rFonts w:ascii="Times New Roman" w:eastAsia="Times New Roman" w:hAnsi="Times New Roman" w:cs="Times New Roman"/>
          <w:color w:val="0F1115"/>
          <w:kern w:val="0"/>
          <w14:ligatures w14:val="none"/>
        </w:rPr>
        <w:t>Fatshimetrie</w:t>
      </w:r>
      <w:proofErr w:type="spellEnd"/>
      <w:r w:rsidRPr="00FE15C7">
        <w:rPr>
          <w:rFonts w:ascii="Times New Roman" w:eastAsia="Times New Roman" w:hAnsi="Times New Roman" w:cs="Times New Roman"/>
          <w:color w:val="0F1115"/>
          <w:kern w:val="0"/>
          <w14:ligatures w14:val="none"/>
        </w:rPr>
        <w:t xml:space="preserve">. (2024, May 28). Promoting the empowerment of adolescent girls: The menstrual hygiene initiative in </w:t>
      </w:r>
      <w:proofErr w:type="spellStart"/>
      <w:r w:rsidRPr="00FE15C7">
        <w:rPr>
          <w:rFonts w:ascii="Times New Roman" w:eastAsia="Times New Roman" w:hAnsi="Times New Roman" w:cs="Times New Roman"/>
          <w:color w:val="0F1115"/>
          <w:kern w:val="0"/>
          <w14:ligatures w14:val="none"/>
        </w:rPr>
        <w:t>Mbandaka</w:t>
      </w:r>
      <w:proofErr w:type="spellEnd"/>
      <w:r w:rsidRPr="00FE15C7">
        <w:rPr>
          <w:rFonts w:ascii="Times New Roman" w:eastAsia="Times New Roman" w:hAnsi="Times New Roman" w:cs="Times New Roman"/>
          <w:color w:val="0F1115"/>
          <w:kern w:val="0"/>
          <w14:ligatures w14:val="none"/>
        </w:rPr>
        <w:t>, DRC. </w:t>
      </w:r>
      <w:proofErr w:type="spellStart"/>
      <w:r w:rsidRPr="00FE15C7">
        <w:rPr>
          <w:rFonts w:ascii="Times New Roman" w:eastAsia="Times New Roman" w:hAnsi="Times New Roman" w:cs="Times New Roman"/>
          <w:i/>
          <w:iCs/>
          <w:color w:val="0F1115"/>
          <w:kern w:val="0"/>
          <w14:ligatures w14:val="none"/>
        </w:rPr>
        <w:t>Fatshimetrie</w:t>
      </w:r>
      <w:proofErr w:type="spellEnd"/>
      <w:r w:rsidRPr="00FE15C7">
        <w:rPr>
          <w:rFonts w:ascii="Times New Roman" w:eastAsia="Times New Roman" w:hAnsi="Times New Roman" w:cs="Times New Roman"/>
          <w:i/>
          <w:iCs/>
          <w:color w:val="0F1115"/>
          <w:kern w:val="0"/>
          <w14:ligatures w14:val="none"/>
        </w:rPr>
        <w:t xml:space="preserve"> News</w:t>
      </w:r>
      <w:r w:rsidRPr="00FE15C7">
        <w:rPr>
          <w:rFonts w:ascii="Times New Roman" w:eastAsia="Times New Roman" w:hAnsi="Times New Roman" w:cs="Times New Roman"/>
          <w:color w:val="0F1115"/>
          <w:kern w:val="0"/>
          <w14:ligatures w14:val="none"/>
        </w:rPr>
        <w:t>.</w:t>
      </w:r>
    </w:p>
    <w:p w14:paraId="64C07D79"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FE15C7">
        <w:rPr>
          <w:rFonts w:ascii="Times New Roman" w:eastAsia="Times New Roman" w:hAnsi="Times New Roman" w:cs="Times New Roman"/>
          <w:color w:val="0F1115"/>
          <w:kern w:val="0"/>
          <w14:ligatures w14:val="none"/>
        </w:rPr>
        <w:t>Fatshimetrie</w:t>
      </w:r>
      <w:proofErr w:type="spellEnd"/>
      <w:r w:rsidRPr="00FE15C7">
        <w:rPr>
          <w:rFonts w:ascii="Times New Roman" w:eastAsia="Times New Roman" w:hAnsi="Times New Roman" w:cs="Times New Roman"/>
          <w:color w:val="0F1115"/>
          <w:kern w:val="0"/>
          <w14:ligatures w14:val="none"/>
        </w:rPr>
        <w:t xml:space="preserve">. (2024, November 29). Essential awareness: Collective fight against monkeypox in </w:t>
      </w:r>
      <w:proofErr w:type="spellStart"/>
      <w:r w:rsidRPr="00FE15C7">
        <w:rPr>
          <w:rFonts w:ascii="Times New Roman" w:eastAsia="Times New Roman" w:hAnsi="Times New Roman" w:cs="Times New Roman"/>
          <w:color w:val="0F1115"/>
          <w:kern w:val="0"/>
          <w14:ligatures w14:val="none"/>
        </w:rPr>
        <w:t>Mbandaka</w:t>
      </w:r>
      <w:proofErr w:type="spellEnd"/>
      <w:r w:rsidRPr="00FE15C7">
        <w:rPr>
          <w:rFonts w:ascii="Times New Roman" w:eastAsia="Times New Roman" w:hAnsi="Times New Roman" w:cs="Times New Roman"/>
          <w:color w:val="0F1115"/>
          <w:kern w:val="0"/>
          <w14:ligatures w14:val="none"/>
        </w:rPr>
        <w:t>. </w:t>
      </w:r>
      <w:proofErr w:type="spellStart"/>
      <w:r w:rsidRPr="00FE15C7">
        <w:rPr>
          <w:rFonts w:ascii="Times New Roman" w:eastAsia="Times New Roman" w:hAnsi="Times New Roman" w:cs="Times New Roman"/>
          <w:i/>
          <w:iCs/>
          <w:color w:val="0F1115"/>
          <w:kern w:val="0"/>
          <w14:ligatures w14:val="none"/>
        </w:rPr>
        <w:t>Fatshimetrie</w:t>
      </w:r>
      <w:proofErr w:type="spellEnd"/>
      <w:r w:rsidRPr="00FE15C7">
        <w:rPr>
          <w:rFonts w:ascii="Times New Roman" w:eastAsia="Times New Roman" w:hAnsi="Times New Roman" w:cs="Times New Roman"/>
          <w:i/>
          <w:iCs/>
          <w:color w:val="0F1115"/>
          <w:kern w:val="0"/>
          <w14:ligatures w14:val="none"/>
        </w:rPr>
        <w:t xml:space="preserve"> News</w:t>
      </w:r>
      <w:r w:rsidRPr="00FE15C7">
        <w:rPr>
          <w:rFonts w:ascii="Times New Roman" w:eastAsia="Times New Roman" w:hAnsi="Times New Roman" w:cs="Times New Roman"/>
          <w:color w:val="0F1115"/>
          <w:kern w:val="0"/>
          <w14:ligatures w14:val="none"/>
        </w:rPr>
        <w:t>.</w:t>
      </w:r>
    </w:p>
    <w:p w14:paraId="479A7248"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Govender, R. D., Hashim, M. J., Khan, M. A., &amp; Mustafa, H. (2021). Traditional and complementary medicine use in South Africa: A cross-sectional study in a primary care setting. </w:t>
      </w:r>
      <w:r w:rsidRPr="00FE15C7">
        <w:rPr>
          <w:rFonts w:ascii="Times New Roman" w:eastAsia="Times New Roman" w:hAnsi="Times New Roman" w:cs="Times New Roman"/>
          <w:i/>
          <w:iCs/>
          <w:color w:val="0F1115"/>
          <w:kern w:val="0"/>
          <w14:ligatures w14:val="none"/>
        </w:rPr>
        <w:t>BMC Complementary Medicine and Therapies</w:t>
      </w:r>
      <w:r w:rsidRPr="00FE15C7">
        <w:rPr>
          <w:rFonts w:ascii="Times New Roman" w:eastAsia="Times New Roman" w:hAnsi="Times New Roman" w:cs="Times New Roman"/>
          <w:color w:val="0F1115"/>
          <w:kern w:val="0"/>
          <w14:ligatures w14:val="none"/>
        </w:rPr>
        <w:t>, 21(1), 217. </w:t>
      </w:r>
      <w:hyperlink r:id="rId8" w:tgtFrame="_blank" w:history="1">
        <w:r w:rsidRPr="00FE15C7">
          <w:rPr>
            <w:rFonts w:ascii="Times New Roman" w:eastAsia="Times New Roman" w:hAnsi="Times New Roman" w:cs="Times New Roman"/>
            <w:color w:val="3964FE"/>
            <w:kern w:val="0"/>
            <w:bdr w:val="single" w:sz="12" w:space="0" w:color="auto" w:frame="1"/>
            <w14:ligatures w14:val="none"/>
          </w:rPr>
          <w:t>https://doi.org/10.1186/s12906-021-03373-0</w:t>
        </w:r>
      </w:hyperlink>
    </w:p>
    <w:p w14:paraId="0B1F2082"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FE15C7">
        <w:rPr>
          <w:rFonts w:ascii="Times New Roman" w:eastAsia="Times New Roman" w:hAnsi="Times New Roman" w:cs="Times New Roman"/>
          <w:color w:val="0F1115"/>
          <w:kern w:val="0"/>
          <w14:ligatures w14:val="none"/>
        </w:rPr>
        <w:lastRenderedPageBreak/>
        <w:t>Khajedaluee</w:t>
      </w:r>
      <w:proofErr w:type="spellEnd"/>
      <w:r w:rsidRPr="00FE15C7">
        <w:rPr>
          <w:rFonts w:ascii="Times New Roman" w:eastAsia="Times New Roman" w:hAnsi="Times New Roman" w:cs="Times New Roman"/>
          <w:color w:val="0F1115"/>
          <w:kern w:val="0"/>
          <w14:ligatures w14:val="none"/>
        </w:rPr>
        <w:t xml:space="preserve">, M., Salehi, M., Hosseini, R., </w:t>
      </w:r>
      <w:proofErr w:type="spellStart"/>
      <w:r w:rsidRPr="00FE15C7">
        <w:rPr>
          <w:rFonts w:ascii="Times New Roman" w:eastAsia="Times New Roman" w:hAnsi="Times New Roman" w:cs="Times New Roman"/>
          <w:color w:val="0F1115"/>
          <w:kern w:val="0"/>
          <w14:ligatures w14:val="none"/>
        </w:rPr>
        <w:t>Ravanyar</w:t>
      </w:r>
      <w:proofErr w:type="spellEnd"/>
      <w:r w:rsidRPr="00FE15C7">
        <w:rPr>
          <w:rFonts w:ascii="Times New Roman" w:eastAsia="Times New Roman" w:hAnsi="Times New Roman" w:cs="Times New Roman"/>
          <w:color w:val="0F1115"/>
          <w:kern w:val="0"/>
          <w14:ligatures w14:val="none"/>
        </w:rPr>
        <w:t>, L., &amp; Babazadeh, M. (2023). Comparison of the effect of two educational methods, education by adults and education by peers, on the awareness of high school students in Mashhad city, in the characteristics, transmission and prevention of AIDS. </w:t>
      </w:r>
      <w:r w:rsidRPr="00FE15C7">
        <w:rPr>
          <w:rFonts w:ascii="Times New Roman" w:eastAsia="Times New Roman" w:hAnsi="Times New Roman" w:cs="Times New Roman"/>
          <w:i/>
          <w:iCs/>
          <w:color w:val="0F1115"/>
          <w:kern w:val="0"/>
          <w14:ligatures w14:val="none"/>
        </w:rPr>
        <w:t>Health Science Monitor</w:t>
      </w:r>
      <w:r w:rsidRPr="00FE15C7">
        <w:rPr>
          <w:rFonts w:ascii="Times New Roman" w:eastAsia="Times New Roman" w:hAnsi="Times New Roman" w:cs="Times New Roman"/>
          <w:color w:val="0F1115"/>
          <w:kern w:val="0"/>
          <w14:ligatures w14:val="none"/>
        </w:rPr>
        <w:t>, 2(3), 156–166.</w:t>
      </w:r>
    </w:p>
    <w:p w14:paraId="442EC15D"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FE15C7">
        <w:rPr>
          <w:rFonts w:ascii="Times New Roman" w:eastAsia="Times New Roman" w:hAnsi="Times New Roman" w:cs="Times New Roman"/>
          <w:color w:val="0F1115"/>
          <w:kern w:val="0"/>
          <w14:ligatures w14:val="none"/>
        </w:rPr>
        <w:t>Mbanda</w:t>
      </w:r>
      <w:proofErr w:type="spellEnd"/>
      <w:r w:rsidRPr="00FE15C7">
        <w:rPr>
          <w:rFonts w:ascii="Times New Roman" w:eastAsia="Times New Roman" w:hAnsi="Times New Roman" w:cs="Times New Roman"/>
          <w:color w:val="0F1115"/>
          <w:kern w:val="0"/>
          <w14:ligatures w14:val="none"/>
        </w:rPr>
        <w:t>, N. M. L. (2024). </w:t>
      </w:r>
      <w:r w:rsidRPr="00FE15C7">
        <w:rPr>
          <w:rFonts w:ascii="Times New Roman" w:eastAsia="Times New Roman" w:hAnsi="Times New Roman" w:cs="Times New Roman"/>
          <w:i/>
          <w:iCs/>
          <w:color w:val="0F1115"/>
          <w:kern w:val="0"/>
          <w14:ligatures w14:val="none"/>
        </w:rPr>
        <w:t xml:space="preserve">Improving health literacy for people with low literacy: An analysis of a South African HIV health education </w:t>
      </w:r>
      <w:proofErr w:type="spellStart"/>
      <w:r w:rsidRPr="00FE15C7">
        <w:rPr>
          <w:rFonts w:ascii="Times New Roman" w:eastAsia="Times New Roman" w:hAnsi="Times New Roman" w:cs="Times New Roman"/>
          <w:i/>
          <w:iCs/>
          <w:color w:val="0F1115"/>
          <w:kern w:val="0"/>
          <w14:ligatures w14:val="none"/>
        </w:rPr>
        <w:t>programme</w:t>
      </w:r>
      <w:proofErr w:type="spellEnd"/>
      <w:r w:rsidRPr="00FE15C7">
        <w:rPr>
          <w:rFonts w:ascii="Times New Roman" w:eastAsia="Times New Roman" w:hAnsi="Times New Roman" w:cs="Times New Roman"/>
          <w:color w:val="0F1115"/>
          <w:kern w:val="0"/>
          <w14:ligatures w14:val="none"/>
        </w:rPr>
        <w:t>. UJ Press.</w:t>
      </w:r>
    </w:p>
    <w:p w14:paraId="50BCF815"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Ngalamulume, K. (2019). *</w:t>
      </w:r>
      <w:proofErr w:type="spellStart"/>
      <w:r w:rsidRPr="00FE15C7">
        <w:rPr>
          <w:rFonts w:ascii="Times New Roman" w:eastAsia="Times New Roman" w:hAnsi="Times New Roman" w:cs="Times New Roman"/>
          <w:color w:val="0F1115"/>
          <w:kern w:val="0"/>
          <w14:ligatures w14:val="none"/>
        </w:rPr>
        <w:t>Maladie</w:t>
      </w:r>
      <w:proofErr w:type="spellEnd"/>
      <w:r w:rsidRPr="00FE15C7">
        <w:rPr>
          <w:rFonts w:ascii="Times New Roman" w:eastAsia="Times New Roman" w:hAnsi="Times New Roman" w:cs="Times New Roman"/>
          <w:color w:val="0F1115"/>
          <w:kern w:val="0"/>
          <w14:ligatures w14:val="none"/>
        </w:rPr>
        <w:t xml:space="preserve">, </w:t>
      </w:r>
      <w:proofErr w:type="spellStart"/>
      <w:r w:rsidRPr="00FE15C7">
        <w:rPr>
          <w:rFonts w:ascii="Times New Roman" w:eastAsia="Times New Roman" w:hAnsi="Times New Roman" w:cs="Times New Roman"/>
          <w:color w:val="0F1115"/>
          <w:kern w:val="0"/>
          <w14:ligatures w14:val="none"/>
        </w:rPr>
        <w:t>médecine</w:t>
      </w:r>
      <w:proofErr w:type="spellEnd"/>
      <w:r w:rsidRPr="00FE15C7">
        <w:rPr>
          <w:rFonts w:ascii="Times New Roman" w:eastAsia="Times New Roman" w:hAnsi="Times New Roman" w:cs="Times New Roman"/>
          <w:color w:val="0F1115"/>
          <w:kern w:val="0"/>
          <w14:ligatures w14:val="none"/>
        </w:rPr>
        <w:t xml:space="preserve"> et société dans le Congo colonial: </w:t>
      </w:r>
      <w:proofErr w:type="spellStart"/>
      <w:r w:rsidRPr="00FE15C7">
        <w:rPr>
          <w:rFonts w:ascii="Times New Roman" w:eastAsia="Times New Roman" w:hAnsi="Times New Roman" w:cs="Times New Roman"/>
          <w:color w:val="0F1115"/>
          <w:kern w:val="0"/>
          <w14:ligatures w14:val="none"/>
        </w:rPr>
        <w:t>Savoirs</w:t>
      </w:r>
      <w:proofErr w:type="spellEnd"/>
      <w:r w:rsidRPr="00FE15C7">
        <w:rPr>
          <w:rFonts w:ascii="Times New Roman" w:eastAsia="Times New Roman" w:hAnsi="Times New Roman" w:cs="Times New Roman"/>
          <w:color w:val="0F1115"/>
          <w:kern w:val="0"/>
          <w14:ligatures w14:val="none"/>
        </w:rPr>
        <w:t xml:space="preserve">, </w:t>
      </w:r>
      <w:proofErr w:type="spellStart"/>
      <w:r w:rsidRPr="00FE15C7">
        <w:rPr>
          <w:rFonts w:ascii="Times New Roman" w:eastAsia="Times New Roman" w:hAnsi="Times New Roman" w:cs="Times New Roman"/>
          <w:color w:val="0F1115"/>
          <w:kern w:val="0"/>
          <w14:ligatures w14:val="none"/>
        </w:rPr>
        <w:t>pouvoirs</w:t>
      </w:r>
      <w:proofErr w:type="spellEnd"/>
      <w:r w:rsidRPr="00FE15C7">
        <w:rPr>
          <w:rFonts w:ascii="Times New Roman" w:eastAsia="Times New Roman" w:hAnsi="Times New Roman" w:cs="Times New Roman"/>
          <w:color w:val="0F1115"/>
          <w:kern w:val="0"/>
          <w14:ligatures w14:val="none"/>
        </w:rPr>
        <w:t xml:space="preserve"> et </w:t>
      </w:r>
      <w:proofErr w:type="spellStart"/>
      <w:r w:rsidRPr="00FE15C7">
        <w:rPr>
          <w:rFonts w:ascii="Times New Roman" w:eastAsia="Times New Roman" w:hAnsi="Times New Roman" w:cs="Times New Roman"/>
          <w:color w:val="0F1115"/>
          <w:kern w:val="0"/>
          <w14:ligatures w14:val="none"/>
        </w:rPr>
        <w:t>vécus</w:t>
      </w:r>
      <w:proofErr w:type="spellEnd"/>
      <w:r w:rsidRPr="00FE15C7">
        <w:rPr>
          <w:rFonts w:ascii="Times New Roman" w:eastAsia="Times New Roman" w:hAnsi="Times New Roman" w:cs="Times New Roman"/>
          <w:color w:val="0F1115"/>
          <w:kern w:val="0"/>
          <w14:ligatures w14:val="none"/>
        </w:rPr>
        <w:t xml:space="preserve"> (1885-1960)*. </w:t>
      </w:r>
      <w:proofErr w:type="spellStart"/>
      <w:r w:rsidRPr="00FE15C7">
        <w:rPr>
          <w:rFonts w:ascii="Times New Roman" w:eastAsia="Times New Roman" w:hAnsi="Times New Roman" w:cs="Times New Roman"/>
          <w:color w:val="0F1115"/>
          <w:kern w:val="0"/>
          <w14:ligatures w14:val="none"/>
        </w:rPr>
        <w:t>L'Harmattan</w:t>
      </w:r>
      <w:proofErr w:type="spellEnd"/>
      <w:r w:rsidRPr="00FE15C7">
        <w:rPr>
          <w:rFonts w:ascii="Times New Roman" w:eastAsia="Times New Roman" w:hAnsi="Times New Roman" w:cs="Times New Roman"/>
          <w:color w:val="0F1115"/>
          <w:kern w:val="0"/>
          <w14:ligatures w14:val="none"/>
        </w:rPr>
        <w:t>.</w:t>
      </w:r>
    </w:p>
    <w:p w14:paraId="7C861BA9"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Owens, R. (2022). </w:t>
      </w:r>
      <w:r w:rsidRPr="00FE15C7">
        <w:rPr>
          <w:rFonts w:ascii="Times New Roman" w:eastAsia="Times New Roman" w:hAnsi="Times New Roman" w:cs="Times New Roman"/>
          <w:i/>
          <w:iCs/>
          <w:color w:val="0F1115"/>
          <w:kern w:val="0"/>
          <w14:ligatures w14:val="none"/>
        </w:rPr>
        <w:t>Know Your Bugs: A collaborative evaluation of a community health education module that aims to be accessible to adults with learning disabilities</w:t>
      </w:r>
      <w:r w:rsidRPr="00FE15C7">
        <w:rPr>
          <w:rFonts w:ascii="Times New Roman" w:eastAsia="Times New Roman" w:hAnsi="Times New Roman" w:cs="Times New Roman"/>
          <w:color w:val="0F1115"/>
          <w:kern w:val="0"/>
          <w14:ligatures w14:val="none"/>
        </w:rPr>
        <w:t> [Doctoral dissertation, The Open University]. Open Research Online. </w:t>
      </w:r>
      <w:hyperlink r:id="rId9" w:tgtFrame="_blank" w:history="1">
        <w:r w:rsidRPr="00FE15C7">
          <w:rPr>
            <w:rFonts w:ascii="Times New Roman" w:eastAsia="Times New Roman" w:hAnsi="Times New Roman" w:cs="Times New Roman"/>
            <w:color w:val="3964FE"/>
            <w:kern w:val="0"/>
            <w:bdr w:val="single" w:sz="12" w:space="0" w:color="auto" w:frame="1"/>
            <w14:ligatures w14:val="none"/>
          </w:rPr>
          <w:t>https://oro.open.ac.uk/82354/</w:t>
        </w:r>
      </w:hyperlink>
    </w:p>
    <w:p w14:paraId="3FE02106"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Prochaska, J. O., &amp; DiClemente, C. C. (1983). Stages and processes of self-change of smoking: Toward an integrative model of change. </w:t>
      </w:r>
      <w:r w:rsidRPr="00FE15C7">
        <w:rPr>
          <w:rFonts w:ascii="Times New Roman" w:eastAsia="Times New Roman" w:hAnsi="Times New Roman" w:cs="Times New Roman"/>
          <w:i/>
          <w:iCs/>
          <w:color w:val="0F1115"/>
          <w:kern w:val="0"/>
          <w14:ligatures w14:val="none"/>
        </w:rPr>
        <w:t>Journal of Consulting and Clinical Psychology</w:t>
      </w:r>
      <w:r w:rsidRPr="00FE15C7">
        <w:rPr>
          <w:rFonts w:ascii="Times New Roman" w:eastAsia="Times New Roman" w:hAnsi="Times New Roman" w:cs="Times New Roman"/>
          <w:color w:val="0F1115"/>
          <w:kern w:val="0"/>
          <w14:ligatures w14:val="none"/>
        </w:rPr>
        <w:t>, 51(3), 390–395.</w:t>
      </w:r>
    </w:p>
    <w:p w14:paraId="145FBBF9"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Short, H. B., Guare, E. G., Spanos, K., Karakoleva, E. V., Patel, D., Truong, N., Huang, M., Lehman, E., &amp; Mendez-Miller, M. (2024). The impact of a student-led health education clinic on the health literacy and behaviors of a rural community in the State of Pennsylvania, USA. </w:t>
      </w:r>
      <w:r w:rsidRPr="00FE15C7">
        <w:rPr>
          <w:rFonts w:ascii="Times New Roman" w:eastAsia="Times New Roman" w:hAnsi="Times New Roman" w:cs="Times New Roman"/>
          <w:i/>
          <w:iCs/>
          <w:color w:val="0F1115"/>
          <w:kern w:val="0"/>
          <w14:ligatures w14:val="none"/>
        </w:rPr>
        <w:t>Journal of Community Health</w:t>
      </w:r>
      <w:r w:rsidRPr="00FE15C7">
        <w:rPr>
          <w:rFonts w:ascii="Times New Roman" w:eastAsia="Times New Roman" w:hAnsi="Times New Roman" w:cs="Times New Roman"/>
          <w:color w:val="0F1115"/>
          <w:kern w:val="0"/>
          <w14:ligatures w14:val="none"/>
        </w:rPr>
        <w:t>, 49(3), 458–465. </w:t>
      </w:r>
      <w:hyperlink r:id="rId10" w:tgtFrame="_blank" w:history="1">
        <w:r w:rsidRPr="00FE15C7">
          <w:rPr>
            <w:rFonts w:ascii="Times New Roman" w:eastAsia="Times New Roman" w:hAnsi="Times New Roman" w:cs="Times New Roman"/>
            <w:color w:val="3964FE"/>
            <w:kern w:val="0"/>
            <w:bdr w:val="single" w:sz="12" w:space="0" w:color="auto" w:frame="1"/>
            <w14:ligatures w14:val="none"/>
          </w:rPr>
          <w:t>https://doi.org/10.1007/s10900-023-01306-5</w:t>
        </w:r>
      </w:hyperlink>
    </w:p>
    <w:p w14:paraId="37BAFC4D"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 xml:space="preserve">The </w:t>
      </w:r>
      <w:proofErr w:type="spellStart"/>
      <w:r w:rsidRPr="00FE15C7">
        <w:rPr>
          <w:rFonts w:ascii="Times New Roman" w:eastAsia="Times New Roman" w:hAnsi="Times New Roman" w:cs="Times New Roman"/>
          <w:color w:val="0F1115"/>
          <w:kern w:val="0"/>
          <w14:ligatures w14:val="none"/>
        </w:rPr>
        <w:t>AFREhealth</w:t>
      </w:r>
      <w:proofErr w:type="spellEnd"/>
      <w:r w:rsidRPr="00FE15C7">
        <w:rPr>
          <w:rFonts w:ascii="Times New Roman" w:eastAsia="Times New Roman" w:hAnsi="Times New Roman" w:cs="Times New Roman"/>
          <w:color w:val="0F1115"/>
          <w:kern w:val="0"/>
          <w14:ligatures w14:val="none"/>
        </w:rPr>
        <w:t xml:space="preserve"> HIV Project Group. (2025). Learners' perspectives on training for HIV management in sub-Saharan Africa: Insights from the </w:t>
      </w:r>
      <w:proofErr w:type="spellStart"/>
      <w:r w:rsidRPr="00FE15C7">
        <w:rPr>
          <w:rFonts w:ascii="Times New Roman" w:eastAsia="Times New Roman" w:hAnsi="Times New Roman" w:cs="Times New Roman"/>
          <w:color w:val="0F1115"/>
          <w:kern w:val="0"/>
          <w14:ligatures w14:val="none"/>
        </w:rPr>
        <w:t>AFREhealth</w:t>
      </w:r>
      <w:proofErr w:type="spellEnd"/>
      <w:r w:rsidRPr="00FE15C7">
        <w:rPr>
          <w:rFonts w:ascii="Times New Roman" w:eastAsia="Times New Roman" w:hAnsi="Times New Roman" w:cs="Times New Roman"/>
          <w:color w:val="0F1115"/>
          <w:kern w:val="0"/>
          <w14:ligatures w14:val="none"/>
        </w:rPr>
        <w:t xml:space="preserve"> HIV project. </w:t>
      </w:r>
      <w:r w:rsidRPr="00FE15C7">
        <w:rPr>
          <w:rFonts w:ascii="Times New Roman" w:eastAsia="Times New Roman" w:hAnsi="Times New Roman" w:cs="Times New Roman"/>
          <w:i/>
          <w:iCs/>
          <w:color w:val="0F1115"/>
          <w:kern w:val="0"/>
          <w14:ligatures w14:val="none"/>
        </w:rPr>
        <w:t>PMC</w:t>
      </w:r>
      <w:r w:rsidRPr="00FE15C7">
        <w:rPr>
          <w:rFonts w:ascii="Times New Roman" w:eastAsia="Times New Roman" w:hAnsi="Times New Roman" w:cs="Times New Roman"/>
          <w:color w:val="0F1115"/>
          <w:kern w:val="0"/>
          <w14:ligatures w14:val="none"/>
        </w:rPr>
        <w:t>, 17(1), 4789.</w:t>
      </w:r>
    </w:p>
    <w:p w14:paraId="1B6DDC55"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Tones, K., &amp; Tilford, S. (2001). </w:t>
      </w:r>
      <w:r w:rsidRPr="00FE15C7">
        <w:rPr>
          <w:rFonts w:ascii="Times New Roman" w:eastAsia="Times New Roman" w:hAnsi="Times New Roman" w:cs="Times New Roman"/>
          <w:i/>
          <w:iCs/>
          <w:color w:val="0F1115"/>
          <w:kern w:val="0"/>
          <w14:ligatures w14:val="none"/>
        </w:rPr>
        <w:t>Health promotion: Effectiveness, efficiency and equity</w:t>
      </w:r>
      <w:r w:rsidRPr="00FE15C7">
        <w:rPr>
          <w:rFonts w:ascii="Times New Roman" w:eastAsia="Times New Roman" w:hAnsi="Times New Roman" w:cs="Times New Roman"/>
          <w:color w:val="0F1115"/>
          <w:kern w:val="0"/>
          <w14:ligatures w14:val="none"/>
        </w:rPr>
        <w:t> (3rd ed.). Nelson Thornes.</w:t>
      </w:r>
    </w:p>
    <w:p w14:paraId="60AA71DB"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World Health Organization. (1986). </w:t>
      </w:r>
      <w:r w:rsidRPr="00FE15C7">
        <w:rPr>
          <w:rFonts w:ascii="Times New Roman" w:eastAsia="Times New Roman" w:hAnsi="Times New Roman" w:cs="Times New Roman"/>
          <w:i/>
          <w:iCs/>
          <w:color w:val="0F1115"/>
          <w:kern w:val="0"/>
          <w14:ligatures w14:val="none"/>
        </w:rPr>
        <w:t>Ottawa Charter for Health Promotion</w:t>
      </w:r>
      <w:r w:rsidRPr="00FE15C7">
        <w:rPr>
          <w:rFonts w:ascii="Times New Roman" w:eastAsia="Times New Roman" w:hAnsi="Times New Roman" w:cs="Times New Roman"/>
          <w:color w:val="0F1115"/>
          <w:kern w:val="0"/>
          <w14:ligatures w14:val="none"/>
        </w:rPr>
        <w:t>. WHO.</w:t>
      </w:r>
    </w:p>
    <w:p w14:paraId="05DEDB9E"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lastRenderedPageBreak/>
        <w:t>World Health Organization. (2021). </w:t>
      </w:r>
      <w:r w:rsidRPr="00FE15C7">
        <w:rPr>
          <w:rFonts w:ascii="Times New Roman" w:eastAsia="Times New Roman" w:hAnsi="Times New Roman" w:cs="Times New Roman"/>
          <w:i/>
          <w:iCs/>
          <w:color w:val="0F1115"/>
          <w:kern w:val="0"/>
          <w14:ligatures w14:val="none"/>
        </w:rPr>
        <w:t>Health promotion glossary of terms 2021</w:t>
      </w:r>
      <w:r w:rsidRPr="00FE15C7">
        <w:rPr>
          <w:rFonts w:ascii="Times New Roman" w:eastAsia="Times New Roman" w:hAnsi="Times New Roman" w:cs="Times New Roman"/>
          <w:color w:val="0F1115"/>
          <w:kern w:val="0"/>
          <w14:ligatures w14:val="none"/>
        </w:rPr>
        <w:t>. WHO.</w:t>
      </w:r>
    </w:p>
    <w:p w14:paraId="519BF5F1"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color w:val="0F1115"/>
          <w:kern w:val="0"/>
          <w14:ligatures w14:val="none"/>
        </w:rPr>
        <w:t>Yim, K. S. (1998). Analysis of the characteristics of an attendee in an elderly nutrition education program: Using the factors of health promotion model. </w:t>
      </w:r>
      <w:r w:rsidRPr="00FE15C7">
        <w:rPr>
          <w:rFonts w:ascii="Times New Roman" w:eastAsia="Times New Roman" w:hAnsi="Times New Roman" w:cs="Times New Roman"/>
          <w:i/>
          <w:iCs/>
          <w:color w:val="0F1115"/>
          <w:kern w:val="0"/>
          <w14:ligatures w14:val="none"/>
        </w:rPr>
        <w:t>Korean Journal of Community Nutrition</w:t>
      </w:r>
      <w:r w:rsidRPr="00FE15C7">
        <w:rPr>
          <w:rFonts w:ascii="Times New Roman" w:eastAsia="Times New Roman" w:hAnsi="Times New Roman" w:cs="Times New Roman"/>
          <w:color w:val="0F1115"/>
          <w:kern w:val="0"/>
          <w14:ligatures w14:val="none"/>
        </w:rPr>
        <w:t>, 3(4), 609–621.</w:t>
      </w:r>
    </w:p>
    <w:p w14:paraId="45C3C4E4"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b/>
          <w:bCs/>
          <w:color w:val="0F1115"/>
          <w:kern w:val="0"/>
          <w14:ligatures w14:val="none"/>
        </w:rPr>
        <w:t>Corresponding Author:</w:t>
      </w:r>
      <w:r w:rsidRPr="00FE15C7">
        <w:rPr>
          <w:rFonts w:ascii="Times New Roman" w:eastAsia="Times New Roman" w:hAnsi="Times New Roman" w:cs="Times New Roman"/>
          <w:color w:val="0F1115"/>
          <w:kern w:val="0"/>
          <w14:ligatures w14:val="none"/>
        </w:rPr>
        <w:br/>
      </w:r>
      <w:proofErr w:type="spellStart"/>
      <w:r w:rsidRPr="00FE15C7">
        <w:rPr>
          <w:rFonts w:ascii="Times New Roman" w:eastAsia="Times New Roman" w:hAnsi="Times New Roman" w:cs="Times New Roman"/>
          <w:color w:val="0F1115"/>
          <w:kern w:val="0"/>
          <w14:ligatures w14:val="none"/>
        </w:rPr>
        <w:t>Nkuya</w:t>
      </w:r>
      <w:proofErr w:type="spellEnd"/>
      <w:r w:rsidRPr="00FE15C7">
        <w:rPr>
          <w:rFonts w:ascii="Times New Roman" w:eastAsia="Times New Roman" w:hAnsi="Times New Roman" w:cs="Times New Roman"/>
          <w:color w:val="0F1115"/>
          <w:kern w:val="0"/>
          <w14:ligatures w14:val="none"/>
        </w:rPr>
        <w:t xml:space="preserve"> Nsom </w:t>
      </w:r>
      <w:proofErr w:type="spellStart"/>
      <w:r w:rsidRPr="00FE15C7">
        <w:rPr>
          <w:rFonts w:ascii="Times New Roman" w:eastAsia="Times New Roman" w:hAnsi="Times New Roman" w:cs="Times New Roman"/>
          <w:color w:val="0F1115"/>
          <w:kern w:val="0"/>
          <w14:ligatures w14:val="none"/>
        </w:rPr>
        <w:t>Guelord</w:t>
      </w:r>
      <w:proofErr w:type="spellEnd"/>
      <w:r w:rsidRPr="00FE15C7">
        <w:rPr>
          <w:rFonts w:ascii="Times New Roman" w:eastAsia="Times New Roman" w:hAnsi="Times New Roman" w:cs="Times New Roman"/>
          <w:color w:val="0F1115"/>
          <w:kern w:val="0"/>
          <w14:ligatures w14:val="none"/>
        </w:rPr>
        <w:br/>
      </w:r>
      <w:proofErr w:type="spellStart"/>
      <w:r w:rsidRPr="00FE15C7">
        <w:rPr>
          <w:rFonts w:ascii="Times New Roman" w:eastAsia="Times New Roman" w:hAnsi="Times New Roman" w:cs="Times New Roman"/>
          <w:color w:val="0F1115"/>
          <w:kern w:val="0"/>
          <w14:ligatures w14:val="none"/>
        </w:rPr>
        <w:t>Institut</w:t>
      </w:r>
      <w:proofErr w:type="spellEnd"/>
      <w:r w:rsidRPr="00FE15C7">
        <w:rPr>
          <w:rFonts w:ascii="Times New Roman" w:eastAsia="Times New Roman" w:hAnsi="Times New Roman" w:cs="Times New Roman"/>
          <w:color w:val="0F1115"/>
          <w:kern w:val="0"/>
          <w14:ligatures w14:val="none"/>
        </w:rPr>
        <w:t xml:space="preserve"> Supérieur des Techniques </w:t>
      </w:r>
      <w:proofErr w:type="spellStart"/>
      <w:r w:rsidRPr="00FE15C7">
        <w:rPr>
          <w:rFonts w:ascii="Times New Roman" w:eastAsia="Times New Roman" w:hAnsi="Times New Roman" w:cs="Times New Roman"/>
          <w:color w:val="0F1115"/>
          <w:kern w:val="0"/>
          <w14:ligatures w14:val="none"/>
        </w:rPr>
        <w:t>Médicales</w:t>
      </w:r>
      <w:proofErr w:type="spellEnd"/>
      <w:r w:rsidRPr="00FE15C7">
        <w:rPr>
          <w:rFonts w:ascii="Times New Roman" w:eastAsia="Times New Roman" w:hAnsi="Times New Roman" w:cs="Times New Roman"/>
          <w:color w:val="0F1115"/>
          <w:kern w:val="0"/>
          <w14:ligatures w14:val="none"/>
        </w:rPr>
        <w:t xml:space="preserve"> (ISTM)</w:t>
      </w:r>
      <w:r w:rsidRPr="00FE15C7">
        <w:rPr>
          <w:rFonts w:ascii="Times New Roman" w:eastAsia="Times New Roman" w:hAnsi="Times New Roman" w:cs="Times New Roman"/>
          <w:color w:val="0F1115"/>
          <w:kern w:val="0"/>
          <w14:ligatures w14:val="none"/>
        </w:rPr>
        <w:br/>
      </w:r>
      <w:proofErr w:type="spellStart"/>
      <w:r w:rsidRPr="00FE15C7">
        <w:rPr>
          <w:rFonts w:ascii="Times New Roman" w:eastAsia="Times New Roman" w:hAnsi="Times New Roman" w:cs="Times New Roman"/>
          <w:color w:val="0F1115"/>
          <w:kern w:val="0"/>
          <w14:ligatures w14:val="none"/>
        </w:rPr>
        <w:t>Mbandaka</w:t>
      </w:r>
      <w:proofErr w:type="spellEnd"/>
      <w:r w:rsidRPr="00FE15C7">
        <w:rPr>
          <w:rFonts w:ascii="Times New Roman" w:eastAsia="Times New Roman" w:hAnsi="Times New Roman" w:cs="Times New Roman"/>
          <w:color w:val="0F1115"/>
          <w:kern w:val="0"/>
          <w14:ligatures w14:val="none"/>
        </w:rPr>
        <w:t>, Democratic Republic of the Congo</w:t>
      </w:r>
      <w:r w:rsidRPr="00FE15C7">
        <w:rPr>
          <w:rFonts w:ascii="Times New Roman" w:eastAsia="Times New Roman" w:hAnsi="Times New Roman" w:cs="Times New Roman"/>
          <w:color w:val="0F1115"/>
          <w:kern w:val="0"/>
          <w14:ligatures w14:val="none"/>
        </w:rPr>
        <w:br/>
        <w:t>Email: istm.mbka@gmail.com</w:t>
      </w:r>
    </w:p>
    <w:p w14:paraId="030A6977" w14:textId="77777777" w:rsidR="00FE15C7" w:rsidRPr="00FE15C7" w:rsidRDefault="00FE15C7" w:rsidP="00FE15C7">
      <w:pPr>
        <w:shd w:val="clear" w:color="auto" w:fill="FFFFFF"/>
        <w:spacing w:before="240" w:after="24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b/>
          <w:bCs/>
          <w:color w:val="0F1115"/>
          <w:kern w:val="0"/>
          <w14:ligatures w14:val="none"/>
        </w:rPr>
        <w:t>Conflict of Interest Statement:</w:t>
      </w:r>
      <w:r w:rsidRPr="00FE15C7">
        <w:rPr>
          <w:rFonts w:ascii="Times New Roman" w:eastAsia="Times New Roman" w:hAnsi="Times New Roman" w:cs="Times New Roman"/>
          <w:color w:val="0F1115"/>
          <w:kern w:val="0"/>
          <w14:ligatures w14:val="none"/>
        </w:rPr>
        <w:t> The author declares no conflict of interest.</w:t>
      </w:r>
    </w:p>
    <w:p w14:paraId="417CB2CE" w14:textId="77777777" w:rsidR="00FE15C7" w:rsidRPr="00FE15C7" w:rsidRDefault="00FE15C7" w:rsidP="00FE15C7">
      <w:pPr>
        <w:shd w:val="clear" w:color="auto" w:fill="FFFFFF"/>
        <w:spacing w:before="240" w:after="0" w:line="420" w:lineRule="atLeast"/>
        <w:rPr>
          <w:rFonts w:ascii="Times New Roman" w:eastAsia="Times New Roman" w:hAnsi="Times New Roman" w:cs="Times New Roman"/>
          <w:color w:val="0F1115"/>
          <w:kern w:val="0"/>
          <w14:ligatures w14:val="none"/>
        </w:rPr>
      </w:pPr>
      <w:r w:rsidRPr="00FE15C7">
        <w:rPr>
          <w:rFonts w:ascii="Times New Roman" w:eastAsia="Times New Roman" w:hAnsi="Times New Roman" w:cs="Times New Roman"/>
          <w:b/>
          <w:bCs/>
          <w:color w:val="0F1115"/>
          <w:kern w:val="0"/>
          <w14:ligatures w14:val="none"/>
        </w:rPr>
        <w:t>Acknowledgments:</w:t>
      </w:r>
      <w:r w:rsidRPr="00FE15C7">
        <w:rPr>
          <w:rFonts w:ascii="Times New Roman" w:eastAsia="Times New Roman" w:hAnsi="Times New Roman" w:cs="Times New Roman"/>
          <w:color w:val="0F1115"/>
          <w:kern w:val="0"/>
          <w14:ligatures w14:val="none"/>
        </w:rPr>
        <w:t xml:space="preserve"> The author thanks Professor Ordinaire Ekoko </w:t>
      </w:r>
      <w:proofErr w:type="spellStart"/>
      <w:r w:rsidRPr="00FE15C7">
        <w:rPr>
          <w:rFonts w:ascii="Times New Roman" w:eastAsia="Times New Roman" w:hAnsi="Times New Roman" w:cs="Times New Roman"/>
          <w:color w:val="0F1115"/>
          <w:kern w:val="0"/>
          <w14:ligatures w14:val="none"/>
        </w:rPr>
        <w:t>Bakambo</w:t>
      </w:r>
      <w:proofErr w:type="spellEnd"/>
      <w:r w:rsidRPr="00FE15C7">
        <w:rPr>
          <w:rFonts w:ascii="Times New Roman" w:eastAsia="Times New Roman" w:hAnsi="Times New Roman" w:cs="Times New Roman"/>
          <w:color w:val="0F1115"/>
          <w:kern w:val="0"/>
          <w14:ligatures w14:val="none"/>
        </w:rPr>
        <w:t xml:space="preserve"> Gracia for supervision, CT. </w:t>
      </w:r>
      <w:proofErr w:type="spellStart"/>
      <w:r w:rsidRPr="00FE15C7">
        <w:rPr>
          <w:rFonts w:ascii="Times New Roman" w:eastAsia="Times New Roman" w:hAnsi="Times New Roman" w:cs="Times New Roman"/>
          <w:color w:val="0F1115"/>
          <w:kern w:val="0"/>
          <w14:ligatures w14:val="none"/>
        </w:rPr>
        <w:t>Likulu</w:t>
      </w:r>
      <w:proofErr w:type="spellEnd"/>
      <w:r w:rsidRPr="00FE15C7">
        <w:rPr>
          <w:rFonts w:ascii="Times New Roman" w:eastAsia="Times New Roman" w:hAnsi="Times New Roman" w:cs="Times New Roman"/>
          <w:color w:val="0F1115"/>
          <w:kern w:val="0"/>
          <w14:ligatures w14:val="none"/>
        </w:rPr>
        <w:t xml:space="preserve"> </w:t>
      </w:r>
      <w:proofErr w:type="spellStart"/>
      <w:r w:rsidRPr="00FE15C7">
        <w:rPr>
          <w:rFonts w:ascii="Times New Roman" w:eastAsia="Times New Roman" w:hAnsi="Times New Roman" w:cs="Times New Roman"/>
          <w:color w:val="0F1115"/>
          <w:kern w:val="0"/>
          <w14:ligatures w14:val="none"/>
        </w:rPr>
        <w:t>Efoloko</w:t>
      </w:r>
      <w:proofErr w:type="spellEnd"/>
      <w:r w:rsidRPr="00FE15C7">
        <w:rPr>
          <w:rFonts w:ascii="Times New Roman" w:eastAsia="Times New Roman" w:hAnsi="Times New Roman" w:cs="Times New Roman"/>
          <w:color w:val="0F1115"/>
          <w:kern w:val="0"/>
          <w14:ligatures w14:val="none"/>
        </w:rPr>
        <w:t xml:space="preserve"> J.C. for technical guidance, and all participants who contributed to this study.</w:t>
      </w:r>
    </w:p>
    <w:p w14:paraId="3E28FBD8" w14:textId="77777777" w:rsidR="00FE15C7" w:rsidRPr="00FE15C7" w:rsidRDefault="00FE15C7" w:rsidP="00FE15C7">
      <w:pPr>
        <w:spacing w:after="0" w:line="240" w:lineRule="auto"/>
        <w:rPr>
          <w:rFonts w:ascii="Times New Roman" w:eastAsia="Times New Roman" w:hAnsi="Times New Roman" w:cs="Times New Roman"/>
          <w:kern w:val="0"/>
          <w14:ligatures w14:val="none"/>
        </w:rPr>
      </w:pPr>
    </w:p>
    <w:p w14:paraId="26B680B0" w14:textId="77777777" w:rsidR="00B41904" w:rsidRPr="00FE15C7" w:rsidRDefault="00B41904">
      <w:pPr>
        <w:rPr>
          <w:rFonts w:ascii="Times New Roman" w:hAnsi="Times New Roman" w:cs="Times New Roman"/>
        </w:rPr>
      </w:pPr>
    </w:p>
    <w:sectPr w:rsidR="00B41904" w:rsidRPr="00FE15C7">
      <w:footerReference w:type="even"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4A8B6" w14:textId="77777777" w:rsidR="001737DD" w:rsidRDefault="001737DD" w:rsidP="00FE15C7">
      <w:pPr>
        <w:spacing w:after="0" w:line="240" w:lineRule="auto"/>
      </w:pPr>
      <w:r>
        <w:separator/>
      </w:r>
    </w:p>
  </w:endnote>
  <w:endnote w:type="continuationSeparator" w:id="0">
    <w:p w14:paraId="4FEBDE48" w14:textId="77777777" w:rsidR="001737DD" w:rsidRDefault="001737DD" w:rsidP="00FE15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61214407"/>
      <w:docPartObj>
        <w:docPartGallery w:val="Page Numbers (Bottom of Page)"/>
        <w:docPartUnique/>
      </w:docPartObj>
    </w:sdtPr>
    <w:sdtContent>
      <w:p w14:paraId="5685D2BE" w14:textId="06FC7EFE" w:rsidR="00FE15C7" w:rsidRDefault="00FE15C7" w:rsidP="00B0451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F3B06EF" w14:textId="77777777" w:rsidR="00FE15C7" w:rsidRDefault="00FE15C7" w:rsidP="00FE15C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6427474"/>
      <w:docPartObj>
        <w:docPartGallery w:val="Page Numbers (Bottom of Page)"/>
        <w:docPartUnique/>
      </w:docPartObj>
    </w:sdtPr>
    <w:sdtContent>
      <w:p w14:paraId="25F3EC4C" w14:textId="1500090E" w:rsidR="00FE15C7" w:rsidRDefault="00FE15C7" w:rsidP="00B0451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26</w:t>
        </w:r>
        <w:r>
          <w:rPr>
            <w:rStyle w:val="PageNumber"/>
          </w:rPr>
          <w:fldChar w:fldCharType="end"/>
        </w:r>
      </w:p>
    </w:sdtContent>
  </w:sdt>
  <w:p w14:paraId="6BDA04B8" w14:textId="77777777" w:rsidR="00FE15C7" w:rsidRDefault="00FE15C7" w:rsidP="00FE15C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6F3BC" w14:textId="77777777" w:rsidR="001737DD" w:rsidRDefault="001737DD" w:rsidP="00FE15C7">
      <w:pPr>
        <w:spacing w:after="0" w:line="240" w:lineRule="auto"/>
      </w:pPr>
      <w:r>
        <w:separator/>
      </w:r>
    </w:p>
  </w:footnote>
  <w:footnote w:type="continuationSeparator" w:id="0">
    <w:p w14:paraId="11F6D168" w14:textId="77777777" w:rsidR="001737DD" w:rsidRDefault="001737DD" w:rsidP="00FE15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A1625"/>
    <w:multiLevelType w:val="multilevel"/>
    <w:tmpl w:val="9CDAF4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04368F6"/>
    <w:multiLevelType w:val="multilevel"/>
    <w:tmpl w:val="052CA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4D6939"/>
    <w:multiLevelType w:val="multilevel"/>
    <w:tmpl w:val="F1724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866129"/>
    <w:multiLevelType w:val="multilevel"/>
    <w:tmpl w:val="7F8A5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8C466E"/>
    <w:multiLevelType w:val="multilevel"/>
    <w:tmpl w:val="36BE7C4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7C27ED2"/>
    <w:multiLevelType w:val="multilevel"/>
    <w:tmpl w:val="436023D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D35146F"/>
    <w:multiLevelType w:val="multilevel"/>
    <w:tmpl w:val="2A36D0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E366BF9"/>
    <w:multiLevelType w:val="multilevel"/>
    <w:tmpl w:val="16CE4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9B6F07"/>
    <w:multiLevelType w:val="multilevel"/>
    <w:tmpl w:val="5E4607E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4E559B0"/>
    <w:multiLevelType w:val="multilevel"/>
    <w:tmpl w:val="EA30BC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796152F"/>
    <w:multiLevelType w:val="multilevel"/>
    <w:tmpl w:val="B88AF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313396"/>
    <w:multiLevelType w:val="multilevel"/>
    <w:tmpl w:val="7B04DE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F6069B6"/>
    <w:multiLevelType w:val="multilevel"/>
    <w:tmpl w:val="8556B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704159"/>
    <w:multiLevelType w:val="multilevel"/>
    <w:tmpl w:val="44306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B644A65"/>
    <w:multiLevelType w:val="multilevel"/>
    <w:tmpl w:val="B0F07D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3B44375"/>
    <w:multiLevelType w:val="multilevel"/>
    <w:tmpl w:val="5DE6D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F536F3F"/>
    <w:multiLevelType w:val="multilevel"/>
    <w:tmpl w:val="321811C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09793877">
    <w:abstractNumId w:val="9"/>
  </w:num>
  <w:num w:numId="2" w16cid:durableId="1612085323">
    <w:abstractNumId w:val="14"/>
  </w:num>
  <w:num w:numId="3" w16cid:durableId="871191101">
    <w:abstractNumId w:val="2"/>
  </w:num>
  <w:num w:numId="4" w16cid:durableId="1040938557">
    <w:abstractNumId w:val="10"/>
  </w:num>
  <w:num w:numId="5" w16cid:durableId="1814524125">
    <w:abstractNumId w:val="13"/>
  </w:num>
  <w:num w:numId="6" w16cid:durableId="1959068520">
    <w:abstractNumId w:val="0"/>
  </w:num>
  <w:num w:numId="7" w16cid:durableId="382601163">
    <w:abstractNumId w:val="15"/>
  </w:num>
  <w:num w:numId="8" w16cid:durableId="521826024">
    <w:abstractNumId w:val="3"/>
  </w:num>
  <w:num w:numId="9" w16cid:durableId="1047797256">
    <w:abstractNumId w:val="1"/>
  </w:num>
  <w:num w:numId="10" w16cid:durableId="1870217245">
    <w:abstractNumId w:val="7"/>
  </w:num>
  <w:num w:numId="11" w16cid:durableId="1255091274">
    <w:abstractNumId w:val="12"/>
  </w:num>
  <w:num w:numId="12" w16cid:durableId="310670024">
    <w:abstractNumId w:val="11"/>
  </w:num>
  <w:num w:numId="13" w16cid:durableId="1874921568">
    <w:abstractNumId w:val="6"/>
  </w:num>
  <w:num w:numId="14" w16cid:durableId="1506675597">
    <w:abstractNumId w:val="16"/>
  </w:num>
  <w:num w:numId="15" w16cid:durableId="1437096126">
    <w:abstractNumId w:val="8"/>
  </w:num>
  <w:num w:numId="16" w16cid:durableId="955017437">
    <w:abstractNumId w:val="5"/>
  </w:num>
  <w:num w:numId="17" w16cid:durableId="5807958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5C7"/>
    <w:rsid w:val="001737DD"/>
    <w:rsid w:val="002C4B73"/>
    <w:rsid w:val="003F70DD"/>
    <w:rsid w:val="008F6EA0"/>
    <w:rsid w:val="00AC0C13"/>
    <w:rsid w:val="00B41904"/>
    <w:rsid w:val="00C621C3"/>
    <w:rsid w:val="00EF7A3A"/>
    <w:rsid w:val="00FE15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89065"/>
  <w15:chartTrackingRefBased/>
  <w15:docId w15:val="{6006CF43-A8E7-B74D-8F4A-33CF3B365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15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E15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E15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FE15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15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15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15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15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15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15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E15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E15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FE15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15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15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15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15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15C7"/>
    <w:rPr>
      <w:rFonts w:eastAsiaTheme="majorEastAsia" w:cstheme="majorBidi"/>
      <w:color w:val="272727" w:themeColor="text1" w:themeTint="D8"/>
    </w:rPr>
  </w:style>
  <w:style w:type="paragraph" w:styleId="Title">
    <w:name w:val="Title"/>
    <w:basedOn w:val="Normal"/>
    <w:next w:val="Normal"/>
    <w:link w:val="TitleChar"/>
    <w:uiPriority w:val="10"/>
    <w:qFormat/>
    <w:rsid w:val="00FE15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15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15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15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15C7"/>
    <w:pPr>
      <w:spacing w:before="160"/>
      <w:jc w:val="center"/>
    </w:pPr>
    <w:rPr>
      <w:i/>
      <w:iCs/>
      <w:color w:val="404040" w:themeColor="text1" w:themeTint="BF"/>
    </w:rPr>
  </w:style>
  <w:style w:type="character" w:customStyle="1" w:styleId="QuoteChar">
    <w:name w:val="Quote Char"/>
    <w:basedOn w:val="DefaultParagraphFont"/>
    <w:link w:val="Quote"/>
    <w:uiPriority w:val="29"/>
    <w:rsid w:val="00FE15C7"/>
    <w:rPr>
      <w:i/>
      <w:iCs/>
      <w:color w:val="404040" w:themeColor="text1" w:themeTint="BF"/>
    </w:rPr>
  </w:style>
  <w:style w:type="paragraph" w:styleId="ListParagraph">
    <w:name w:val="List Paragraph"/>
    <w:basedOn w:val="Normal"/>
    <w:uiPriority w:val="34"/>
    <w:qFormat/>
    <w:rsid w:val="00FE15C7"/>
    <w:pPr>
      <w:ind w:left="720"/>
      <w:contextualSpacing/>
    </w:pPr>
  </w:style>
  <w:style w:type="character" w:styleId="IntenseEmphasis">
    <w:name w:val="Intense Emphasis"/>
    <w:basedOn w:val="DefaultParagraphFont"/>
    <w:uiPriority w:val="21"/>
    <w:qFormat/>
    <w:rsid w:val="00FE15C7"/>
    <w:rPr>
      <w:i/>
      <w:iCs/>
      <w:color w:val="0F4761" w:themeColor="accent1" w:themeShade="BF"/>
    </w:rPr>
  </w:style>
  <w:style w:type="paragraph" w:styleId="IntenseQuote">
    <w:name w:val="Intense Quote"/>
    <w:basedOn w:val="Normal"/>
    <w:next w:val="Normal"/>
    <w:link w:val="IntenseQuoteChar"/>
    <w:uiPriority w:val="30"/>
    <w:qFormat/>
    <w:rsid w:val="00FE15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15C7"/>
    <w:rPr>
      <w:i/>
      <w:iCs/>
      <w:color w:val="0F4761" w:themeColor="accent1" w:themeShade="BF"/>
    </w:rPr>
  </w:style>
  <w:style w:type="character" w:styleId="IntenseReference">
    <w:name w:val="Intense Reference"/>
    <w:basedOn w:val="DefaultParagraphFont"/>
    <w:uiPriority w:val="32"/>
    <w:qFormat/>
    <w:rsid w:val="00FE15C7"/>
    <w:rPr>
      <w:b/>
      <w:bCs/>
      <w:smallCaps/>
      <w:color w:val="0F4761" w:themeColor="accent1" w:themeShade="BF"/>
      <w:spacing w:val="5"/>
    </w:rPr>
  </w:style>
  <w:style w:type="paragraph" w:customStyle="1" w:styleId="ds-markdown-paragraph">
    <w:name w:val="ds-markdown-paragraph"/>
    <w:basedOn w:val="Normal"/>
    <w:rsid w:val="00FE15C7"/>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FE15C7"/>
    <w:rPr>
      <w:b/>
      <w:bCs/>
    </w:rPr>
  </w:style>
  <w:style w:type="character" w:styleId="Emphasis">
    <w:name w:val="Emphasis"/>
    <w:basedOn w:val="DefaultParagraphFont"/>
    <w:uiPriority w:val="20"/>
    <w:qFormat/>
    <w:rsid w:val="00FE15C7"/>
    <w:rPr>
      <w:i/>
      <w:iCs/>
    </w:rPr>
  </w:style>
  <w:style w:type="character" w:styleId="Hyperlink">
    <w:name w:val="Hyperlink"/>
    <w:basedOn w:val="DefaultParagraphFont"/>
    <w:uiPriority w:val="99"/>
    <w:semiHidden/>
    <w:unhideWhenUsed/>
    <w:rsid w:val="00FE15C7"/>
    <w:rPr>
      <w:color w:val="0000FF"/>
      <w:u w:val="single"/>
    </w:rPr>
  </w:style>
  <w:style w:type="paragraph" w:styleId="Footer">
    <w:name w:val="footer"/>
    <w:basedOn w:val="Normal"/>
    <w:link w:val="FooterChar"/>
    <w:uiPriority w:val="99"/>
    <w:unhideWhenUsed/>
    <w:rsid w:val="00FE15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15C7"/>
  </w:style>
  <w:style w:type="character" w:styleId="PageNumber">
    <w:name w:val="page number"/>
    <w:basedOn w:val="DefaultParagraphFont"/>
    <w:uiPriority w:val="99"/>
    <w:semiHidden/>
    <w:unhideWhenUsed/>
    <w:rsid w:val="00FE15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86/s12906-021-03373-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doi.org/10.1007/s10900-023-01306-5" TargetMode="External"/><Relationship Id="rId4" Type="http://schemas.openxmlformats.org/officeDocument/2006/relationships/settings" Target="settings.xml"/><Relationship Id="rId9" Type="http://schemas.openxmlformats.org/officeDocument/2006/relationships/hyperlink" Target="https://oro.open.ac.uk/8235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6437A6-C6B4-8A4E-A288-9600A331BD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25</Pages>
  <Words>4846</Words>
  <Characters>27628</Characters>
  <Application>Microsoft Office Word</Application>
  <DocSecurity>0</DocSecurity>
  <Lines>230</Lines>
  <Paragraphs>64</Paragraphs>
  <ScaleCrop>false</ScaleCrop>
  <Company/>
  <LinksUpToDate>false</LinksUpToDate>
  <CharactersWithSpaces>32410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Ebengho Bokelo</dc:creator>
  <cp:keywords/>
  <dc:description/>
  <cp:lastModifiedBy>Max Ebengho Bokelo</cp:lastModifiedBy>
  <cp:revision>2</cp:revision>
  <dcterms:created xsi:type="dcterms:W3CDTF">2026-05-18T10:45:00Z</dcterms:created>
  <dcterms:modified xsi:type="dcterms:W3CDTF">2026-05-18T10:56:00Z</dcterms:modified>
</cp:coreProperties>
</file>