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3A559" w14:textId="77777777" w:rsidR="007E0E28" w:rsidRPr="00D26260" w:rsidRDefault="007E0E28" w:rsidP="007E0E28">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D26260">
        <w:rPr>
          <w:rFonts w:ascii="Times New Roman" w:eastAsia="Times New Roman" w:hAnsi="Times New Roman" w:cs="Times New Roman"/>
          <w:b/>
          <w:bCs/>
          <w:color w:val="0F1115"/>
          <w:kern w:val="36"/>
          <w:sz w:val="36"/>
          <w:szCs w:val="36"/>
          <w14:ligatures w14:val="none"/>
        </w:rPr>
        <w:t xml:space="preserve">Evaluation of Antenatal Care Norms Among Pregnant Women Attending </w:t>
      </w:r>
      <w:proofErr w:type="spellStart"/>
      <w:r w:rsidRPr="00D26260">
        <w:rPr>
          <w:rFonts w:ascii="Times New Roman" w:eastAsia="Times New Roman" w:hAnsi="Times New Roman" w:cs="Times New Roman"/>
          <w:b/>
          <w:bCs/>
          <w:color w:val="0F1115"/>
          <w:kern w:val="36"/>
          <w:sz w:val="36"/>
          <w:szCs w:val="36"/>
          <w14:ligatures w14:val="none"/>
        </w:rPr>
        <w:t>Wangata</w:t>
      </w:r>
      <w:proofErr w:type="spellEnd"/>
      <w:r w:rsidRPr="00D26260">
        <w:rPr>
          <w:rFonts w:ascii="Times New Roman" w:eastAsia="Times New Roman" w:hAnsi="Times New Roman" w:cs="Times New Roman"/>
          <w:b/>
          <w:bCs/>
          <w:color w:val="0F1115"/>
          <w:kern w:val="36"/>
          <w:sz w:val="36"/>
          <w:szCs w:val="36"/>
          <w14:ligatures w14:val="none"/>
        </w:rPr>
        <w:t xml:space="preserve"> General Referral Hospital, </w:t>
      </w:r>
      <w:proofErr w:type="spellStart"/>
      <w:r w:rsidRPr="00D26260">
        <w:rPr>
          <w:rFonts w:ascii="Times New Roman" w:eastAsia="Times New Roman" w:hAnsi="Times New Roman" w:cs="Times New Roman"/>
          <w:b/>
          <w:bCs/>
          <w:color w:val="0F1115"/>
          <w:kern w:val="36"/>
          <w:sz w:val="36"/>
          <w:szCs w:val="36"/>
          <w14:ligatures w14:val="none"/>
        </w:rPr>
        <w:t>Mbandaka</w:t>
      </w:r>
      <w:proofErr w:type="spellEnd"/>
      <w:r w:rsidRPr="00D26260">
        <w:rPr>
          <w:rFonts w:ascii="Times New Roman" w:eastAsia="Times New Roman" w:hAnsi="Times New Roman" w:cs="Times New Roman"/>
          <w:b/>
          <w:bCs/>
          <w:color w:val="0F1115"/>
          <w:kern w:val="36"/>
          <w:sz w:val="36"/>
          <w:szCs w:val="36"/>
          <w14:ligatures w14:val="none"/>
        </w:rPr>
        <w:t xml:space="preserve">, Democratic Republic of </w:t>
      </w:r>
      <w:proofErr w:type="gramStart"/>
      <w:r w:rsidRPr="00D26260">
        <w:rPr>
          <w:rFonts w:ascii="Times New Roman" w:eastAsia="Times New Roman" w:hAnsi="Times New Roman" w:cs="Times New Roman"/>
          <w:b/>
          <w:bCs/>
          <w:color w:val="0F1115"/>
          <w:kern w:val="36"/>
          <w:sz w:val="36"/>
          <w:szCs w:val="36"/>
          <w14:ligatures w14:val="none"/>
        </w:rPr>
        <w:t>the Congo</w:t>
      </w:r>
      <w:proofErr w:type="gramEnd"/>
      <w:r w:rsidRPr="00D26260">
        <w:rPr>
          <w:rFonts w:ascii="Times New Roman" w:eastAsia="Times New Roman" w:hAnsi="Times New Roman" w:cs="Times New Roman"/>
          <w:b/>
          <w:bCs/>
          <w:color w:val="0F1115"/>
          <w:kern w:val="36"/>
          <w:sz w:val="36"/>
          <w:szCs w:val="36"/>
          <w14:ligatures w14:val="none"/>
        </w:rPr>
        <w:t>: A Cross-Sectional Audit Study</w:t>
      </w:r>
    </w:p>
    <w:p w14:paraId="4F2B2883"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Author:</w:t>
      </w:r>
      <w:r w:rsidRPr="00D26260">
        <w:rPr>
          <w:rFonts w:ascii="Times New Roman" w:eastAsia="Times New Roman" w:hAnsi="Times New Roman" w:cs="Times New Roman"/>
          <w:color w:val="0F1115"/>
          <w:kern w:val="0"/>
          <w14:ligatures w14:val="none"/>
        </w:rPr>
        <w:t> </w:t>
      </w:r>
      <w:proofErr w:type="spellStart"/>
      <w:r w:rsidRPr="00D26260">
        <w:rPr>
          <w:rFonts w:ascii="Times New Roman" w:eastAsia="Times New Roman" w:hAnsi="Times New Roman" w:cs="Times New Roman"/>
          <w:color w:val="0F1115"/>
          <w:kern w:val="0"/>
          <w14:ligatures w14:val="none"/>
        </w:rPr>
        <w:t>Ndongbo</w:t>
      </w:r>
      <w:proofErr w:type="spellEnd"/>
      <w:r w:rsidRPr="00D26260">
        <w:rPr>
          <w:rFonts w:ascii="Times New Roman" w:eastAsia="Times New Roman" w:hAnsi="Times New Roman" w:cs="Times New Roman"/>
          <w:color w:val="0F1115"/>
          <w:kern w:val="0"/>
          <w14:ligatures w14:val="none"/>
        </w:rPr>
        <w:t xml:space="preserve"> Lokongo Serge</w:t>
      </w:r>
      <w:r w:rsidRPr="00D26260">
        <w:rPr>
          <w:rFonts w:ascii="Times New Roman" w:eastAsia="Times New Roman" w:hAnsi="Times New Roman" w:cs="Times New Roman"/>
          <w:color w:val="0F1115"/>
          <w:kern w:val="0"/>
          <w14:ligatures w14:val="none"/>
        </w:rPr>
        <w:br/>
      </w:r>
      <w:r w:rsidRPr="00D26260">
        <w:rPr>
          <w:rFonts w:ascii="Times New Roman" w:eastAsia="Times New Roman" w:hAnsi="Times New Roman" w:cs="Times New Roman"/>
          <w:b/>
          <w:bCs/>
          <w:color w:val="0F1115"/>
          <w:kern w:val="0"/>
          <w14:ligatures w14:val="none"/>
        </w:rPr>
        <w:t>Affiliation:</w:t>
      </w:r>
      <w:r w:rsidRPr="00D26260">
        <w:rPr>
          <w:rFonts w:ascii="Times New Roman" w:eastAsia="Times New Roman" w:hAnsi="Times New Roman" w:cs="Times New Roman"/>
          <w:color w:val="0F1115"/>
          <w:kern w:val="0"/>
          <w14:ligatures w14:val="none"/>
        </w:rPr>
        <w:t> </w:t>
      </w:r>
      <w:proofErr w:type="spellStart"/>
      <w:r w:rsidRPr="00D26260">
        <w:rPr>
          <w:rFonts w:ascii="Times New Roman" w:eastAsia="Times New Roman" w:hAnsi="Times New Roman" w:cs="Times New Roman"/>
          <w:color w:val="0F1115"/>
          <w:kern w:val="0"/>
          <w14:ligatures w14:val="none"/>
        </w:rPr>
        <w:t>Institut</w:t>
      </w:r>
      <w:proofErr w:type="spellEnd"/>
      <w:r w:rsidRPr="00D26260">
        <w:rPr>
          <w:rFonts w:ascii="Times New Roman" w:eastAsia="Times New Roman" w:hAnsi="Times New Roman" w:cs="Times New Roman"/>
          <w:color w:val="0F1115"/>
          <w:kern w:val="0"/>
          <w14:ligatures w14:val="none"/>
        </w:rPr>
        <w:t xml:space="preserve"> Supérieur des Techniques </w:t>
      </w:r>
      <w:proofErr w:type="spellStart"/>
      <w:r w:rsidRPr="00D26260">
        <w:rPr>
          <w:rFonts w:ascii="Times New Roman" w:eastAsia="Times New Roman" w:hAnsi="Times New Roman" w:cs="Times New Roman"/>
          <w:color w:val="0F1115"/>
          <w:kern w:val="0"/>
          <w14:ligatures w14:val="none"/>
        </w:rPr>
        <w:t>Médicales</w:t>
      </w:r>
      <w:proofErr w:type="spellEnd"/>
      <w:r w:rsidRPr="00D26260">
        <w:rPr>
          <w:rFonts w:ascii="Times New Roman" w:eastAsia="Times New Roman" w:hAnsi="Times New Roman" w:cs="Times New Roman"/>
          <w:color w:val="0F1115"/>
          <w:kern w:val="0"/>
          <w14:ligatures w14:val="none"/>
        </w:rPr>
        <w:t xml:space="preserve"> (ISTM), </w:t>
      </w:r>
      <w:proofErr w:type="spellStart"/>
      <w:r w:rsidRPr="00D26260">
        <w:rPr>
          <w:rFonts w:ascii="Times New Roman" w:eastAsia="Times New Roman" w:hAnsi="Times New Roman" w:cs="Times New Roman"/>
          <w:color w:val="0F1115"/>
          <w:kern w:val="0"/>
          <w14:ligatures w14:val="none"/>
        </w:rPr>
        <w:t>Mbandaka</w:t>
      </w:r>
      <w:proofErr w:type="spellEnd"/>
      <w:r w:rsidRPr="00D26260">
        <w:rPr>
          <w:rFonts w:ascii="Times New Roman" w:eastAsia="Times New Roman" w:hAnsi="Times New Roman" w:cs="Times New Roman"/>
          <w:color w:val="0F1115"/>
          <w:kern w:val="0"/>
          <w14:ligatures w14:val="none"/>
        </w:rPr>
        <w:t>, Democratic Republic of the Congo</w:t>
      </w:r>
      <w:r w:rsidRPr="00D26260">
        <w:rPr>
          <w:rFonts w:ascii="Times New Roman" w:eastAsia="Times New Roman" w:hAnsi="Times New Roman" w:cs="Times New Roman"/>
          <w:color w:val="0F1115"/>
          <w:kern w:val="0"/>
          <w14:ligatures w14:val="none"/>
        </w:rPr>
        <w:br/>
      </w:r>
      <w:r w:rsidRPr="00D26260">
        <w:rPr>
          <w:rFonts w:ascii="Times New Roman" w:eastAsia="Times New Roman" w:hAnsi="Times New Roman" w:cs="Times New Roman"/>
          <w:b/>
          <w:bCs/>
          <w:color w:val="0F1115"/>
          <w:kern w:val="0"/>
          <w14:ligatures w14:val="none"/>
        </w:rPr>
        <w:t>Course:</w:t>
      </w:r>
      <w:r w:rsidRPr="00D26260">
        <w:rPr>
          <w:rFonts w:ascii="Times New Roman" w:eastAsia="Times New Roman" w:hAnsi="Times New Roman" w:cs="Times New Roman"/>
          <w:color w:val="0F1115"/>
          <w:kern w:val="0"/>
          <w14:ligatures w14:val="none"/>
        </w:rPr>
        <w:t> </w:t>
      </w:r>
      <w:proofErr w:type="gramStart"/>
      <w:r w:rsidRPr="00D26260">
        <w:rPr>
          <w:rFonts w:ascii="Times New Roman" w:eastAsia="Times New Roman" w:hAnsi="Times New Roman" w:cs="Times New Roman"/>
          <w:color w:val="0F1115"/>
          <w:kern w:val="0"/>
          <w14:ligatures w14:val="none"/>
        </w:rPr>
        <w:t>Master in Health Policies</w:t>
      </w:r>
      <w:proofErr w:type="gramEnd"/>
      <w:r w:rsidRPr="00D26260">
        <w:rPr>
          <w:rFonts w:ascii="Times New Roman" w:eastAsia="Times New Roman" w:hAnsi="Times New Roman" w:cs="Times New Roman"/>
          <w:color w:val="0F1115"/>
          <w:kern w:val="0"/>
          <w14:ligatures w14:val="none"/>
        </w:rPr>
        <w:t>, Project and Health Systems Management (MPGS)</w:t>
      </w:r>
      <w:r w:rsidRPr="00D26260">
        <w:rPr>
          <w:rFonts w:ascii="Times New Roman" w:eastAsia="Times New Roman" w:hAnsi="Times New Roman" w:cs="Times New Roman"/>
          <w:color w:val="0F1115"/>
          <w:kern w:val="0"/>
          <w14:ligatures w14:val="none"/>
        </w:rPr>
        <w:br/>
      </w:r>
      <w:r w:rsidRPr="00D26260">
        <w:rPr>
          <w:rFonts w:ascii="Times New Roman" w:eastAsia="Times New Roman" w:hAnsi="Times New Roman" w:cs="Times New Roman"/>
          <w:b/>
          <w:bCs/>
          <w:color w:val="0F1115"/>
          <w:kern w:val="0"/>
          <w14:ligatures w14:val="none"/>
        </w:rPr>
        <w:t>Director:</w:t>
      </w:r>
      <w:r w:rsidRPr="00D26260">
        <w:rPr>
          <w:rFonts w:ascii="Times New Roman" w:eastAsia="Times New Roman" w:hAnsi="Times New Roman" w:cs="Times New Roman"/>
          <w:color w:val="0F1115"/>
          <w:kern w:val="0"/>
          <w14:ligatures w14:val="none"/>
        </w:rPr>
        <w:t xml:space="preserve"> Professor Thom's Konga </w:t>
      </w:r>
      <w:proofErr w:type="spellStart"/>
      <w:r w:rsidRPr="00D26260">
        <w:rPr>
          <w:rFonts w:ascii="Times New Roman" w:eastAsia="Times New Roman" w:hAnsi="Times New Roman" w:cs="Times New Roman"/>
          <w:color w:val="0F1115"/>
          <w:kern w:val="0"/>
          <w14:ligatures w14:val="none"/>
        </w:rPr>
        <w:t>Bakandjo</w:t>
      </w:r>
      <w:proofErr w:type="spellEnd"/>
    </w:p>
    <w:p w14:paraId="28F79DB5" w14:textId="77777777" w:rsidR="007E0E28" w:rsidRPr="00D26260" w:rsidRDefault="007E0E28" w:rsidP="007E0E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26260">
        <w:rPr>
          <w:rFonts w:ascii="Times New Roman" w:eastAsia="Times New Roman" w:hAnsi="Times New Roman" w:cs="Times New Roman"/>
          <w:b/>
          <w:bCs/>
          <w:color w:val="0F1115"/>
          <w:kern w:val="0"/>
          <w:sz w:val="33"/>
          <w:szCs w:val="33"/>
          <w14:ligatures w14:val="none"/>
        </w:rPr>
        <w:t>Abstract</w:t>
      </w:r>
    </w:p>
    <w:p w14:paraId="3E69F555"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Introduction:</w:t>
      </w:r>
      <w:r w:rsidRPr="00D26260">
        <w:rPr>
          <w:rFonts w:ascii="Times New Roman" w:eastAsia="Times New Roman" w:hAnsi="Times New Roman" w:cs="Times New Roman"/>
          <w:color w:val="0F1115"/>
          <w:kern w:val="0"/>
          <w14:ligatures w14:val="none"/>
        </w:rPr>
        <w:t xml:space="preserve"> Antenatal care (ANC) is a cornerstone of maternal health, yet its quality remains suboptimal in many low-resource settings. This study evaluated compliance with national ANC norms and assessed the knowledge, attitudes, and practices (KAP) of pregnant women attending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General Referral Hospital (HGR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w:t>
      </w:r>
      <w:proofErr w:type="spellStart"/>
      <w:r w:rsidRPr="00D26260">
        <w:rPr>
          <w:rFonts w:ascii="Times New Roman" w:eastAsia="Times New Roman" w:hAnsi="Times New Roman" w:cs="Times New Roman"/>
          <w:color w:val="0F1115"/>
          <w:kern w:val="0"/>
          <w14:ligatures w14:val="none"/>
        </w:rPr>
        <w:t>Mbandaka</w:t>
      </w:r>
      <w:proofErr w:type="spellEnd"/>
      <w:r w:rsidRPr="00D26260">
        <w:rPr>
          <w:rFonts w:ascii="Times New Roman" w:eastAsia="Times New Roman" w:hAnsi="Times New Roman" w:cs="Times New Roman"/>
          <w:color w:val="0F1115"/>
          <w:kern w:val="0"/>
          <w14:ligatures w14:val="none"/>
        </w:rPr>
        <w:t xml:space="preserve">, Democratic Republic of </w:t>
      </w:r>
      <w:proofErr w:type="gramStart"/>
      <w:r w:rsidRPr="00D26260">
        <w:rPr>
          <w:rFonts w:ascii="Times New Roman" w:eastAsia="Times New Roman" w:hAnsi="Times New Roman" w:cs="Times New Roman"/>
          <w:color w:val="0F1115"/>
          <w:kern w:val="0"/>
          <w14:ligatures w14:val="none"/>
        </w:rPr>
        <w:t>the Congo</w:t>
      </w:r>
      <w:proofErr w:type="gramEnd"/>
      <w:r w:rsidRPr="00D26260">
        <w:rPr>
          <w:rFonts w:ascii="Times New Roman" w:eastAsia="Times New Roman" w:hAnsi="Times New Roman" w:cs="Times New Roman"/>
          <w:color w:val="0F1115"/>
          <w:kern w:val="0"/>
          <w14:ligatures w14:val="none"/>
        </w:rPr>
        <w:t>.</w:t>
      </w:r>
    </w:p>
    <w:p w14:paraId="01F589C9"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Methods:</w:t>
      </w:r>
      <w:r w:rsidRPr="00D26260">
        <w:rPr>
          <w:rFonts w:ascii="Times New Roman" w:eastAsia="Times New Roman" w:hAnsi="Times New Roman" w:cs="Times New Roman"/>
          <w:color w:val="0F1115"/>
          <w:kern w:val="0"/>
          <w14:ligatures w14:val="none"/>
        </w:rPr>
        <w:t> A cross-sectional descriptive study was conducted from January to April 2025, combining a clinical audit of ANC service delivery and a KAP survey of 116 pregnant women selected through random sampling. Data were collected using structured questionnaires, medical record reviews, and direct observation of resources. Compliance was measured against the national reproductive health standards (PNSR). Statistical analysis was performed using EPI Info 3.5.4.</w:t>
      </w:r>
    </w:p>
    <w:p w14:paraId="43B39792"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Results:</w:t>
      </w:r>
      <w:r w:rsidRPr="00D26260">
        <w:rPr>
          <w:rFonts w:ascii="Times New Roman" w:eastAsia="Times New Roman" w:hAnsi="Times New Roman" w:cs="Times New Roman"/>
          <w:color w:val="0F1115"/>
          <w:kern w:val="0"/>
          <w14:ligatures w14:val="none"/>
        </w:rPr>
        <w:t xml:space="preserve"> Significant gaps were identified. Only 24% of women adhered to the recommended four-visit schedule, and 56.9% of pregnancies were undesired. Regarding interventions: 100% received nutritional education; 96% were tested for HIV; 48% received intermittent preventive treatment for malaria (IPTp); 37% received insecticide-treated nets (ITNs); 53% received tetanus </w:t>
      </w:r>
      <w:r w:rsidRPr="00D26260">
        <w:rPr>
          <w:rFonts w:ascii="Times New Roman" w:eastAsia="Times New Roman" w:hAnsi="Times New Roman" w:cs="Times New Roman"/>
          <w:color w:val="0F1115"/>
          <w:kern w:val="0"/>
          <w14:ligatures w14:val="none"/>
        </w:rPr>
        <w:lastRenderedPageBreak/>
        <w:t>toxoid; 96% received iron-folate; 62% received mebendazole; and 0% were screened for syphilis due to stockouts. Resource availability was suboptimal: only 22% of required test kits, 64% of equipment, and 50% of supervision tools were available. Among women, 34.5% did not know the recommended number of ANC visits, and 72.8% believed pregnancy should be concealed in the first trimester due to fear of evil spirits (91.8%). Nevertheless, 84.5% reported learning new information during ANC.</w:t>
      </w:r>
    </w:p>
    <w:p w14:paraId="5BCA94AE"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Conclusion:</w:t>
      </w:r>
      <w:r w:rsidRPr="00D26260">
        <w:rPr>
          <w:rFonts w:ascii="Times New Roman" w:eastAsia="Times New Roman" w:hAnsi="Times New Roman" w:cs="Times New Roman"/>
          <w:color w:val="0F1115"/>
          <w:kern w:val="0"/>
          <w14:ligatures w14:val="none"/>
        </w:rPr>
        <w:t xml:space="preserve"> Adherence to ANC norms at HGR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is substantially deficient, particularly regarding timing, malaria prevention, syphilis screening, and vaccination. Resource shortages and cultural beliefs (concealment of early pregnancy) constitute major barriers. Strengthening supply chains, continuous staff training, and community sensitization on early ANC are urgently needed.</w:t>
      </w:r>
    </w:p>
    <w:p w14:paraId="05B6C37C"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Keywords:</w:t>
      </w:r>
      <w:r w:rsidRPr="00D26260">
        <w:rPr>
          <w:rFonts w:ascii="Times New Roman" w:eastAsia="Times New Roman" w:hAnsi="Times New Roman" w:cs="Times New Roman"/>
          <w:color w:val="0F1115"/>
          <w:kern w:val="0"/>
          <w14:ligatures w14:val="none"/>
        </w:rPr>
        <w:t xml:space="preserve"> Antenatal care, norms, maternal health, quality of care, </w:t>
      </w:r>
      <w:proofErr w:type="spellStart"/>
      <w:r w:rsidRPr="00D26260">
        <w:rPr>
          <w:rFonts w:ascii="Times New Roman" w:eastAsia="Times New Roman" w:hAnsi="Times New Roman" w:cs="Times New Roman"/>
          <w:color w:val="0F1115"/>
          <w:kern w:val="0"/>
          <w14:ligatures w14:val="none"/>
        </w:rPr>
        <w:t>Mbandaka</w:t>
      </w:r>
      <w:proofErr w:type="spellEnd"/>
      <w:r w:rsidRPr="00D26260">
        <w:rPr>
          <w:rFonts w:ascii="Times New Roman" w:eastAsia="Times New Roman" w:hAnsi="Times New Roman" w:cs="Times New Roman"/>
          <w:color w:val="0F1115"/>
          <w:kern w:val="0"/>
          <w14:ligatures w14:val="none"/>
        </w:rPr>
        <w:t>, Democratic Republic of the Congo</w:t>
      </w:r>
    </w:p>
    <w:p w14:paraId="0458EA30" w14:textId="77777777" w:rsidR="007E0E28" w:rsidRPr="00D26260" w:rsidRDefault="007E0E28" w:rsidP="007E0E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26260">
        <w:rPr>
          <w:rFonts w:ascii="Times New Roman" w:eastAsia="Times New Roman" w:hAnsi="Times New Roman" w:cs="Times New Roman"/>
          <w:b/>
          <w:bCs/>
          <w:color w:val="0F1115"/>
          <w:kern w:val="0"/>
          <w:sz w:val="33"/>
          <w:szCs w:val="33"/>
          <w14:ligatures w14:val="none"/>
        </w:rPr>
        <w:t>1. Introduction</w:t>
      </w:r>
    </w:p>
    <w:p w14:paraId="621CEABC"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Maternal mortality remains a devastating public health crisis in sub-Saharan Africa. In 2023, approximately 260,000 women died globally from pregnancy-related complications, with sub-Saharan Africa accounting for 66% of these deaths (WHO, 2023). The Democratic Republic of the Congo (DRC) has a maternal mortality ratio of 547 per 100,000 live births, far above the Sustainable Development Goal (SDG) target of 70 by 2030 (Ministère du Plan, 2019).</w:t>
      </w:r>
    </w:p>
    <w:p w14:paraId="0A660A16"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Antenatal care (ANC) is a core strategy for reducing maternal mortality. The World Health Organization recommends a minimum of four focused ANC visits, including early initiation in the first trimester, to provide essential interventions: tetanus vaccination, intermittent preventive treatment for malaria (IPTp), insecticide-treated nets (ITNs), iron-folate supplementation, deworming, HIV and syphilis screening, and health education (WHO, 2018; PNSR, 2015). In the DRC, the National Reproductive Health Program (PNSR) has established national norms for ANC. However, implementation gaps are widespread.</w:t>
      </w:r>
    </w:p>
    <w:p w14:paraId="079DB507"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26260">
        <w:rPr>
          <w:rFonts w:ascii="Times New Roman" w:eastAsia="Times New Roman" w:hAnsi="Times New Roman" w:cs="Times New Roman"/>
          <w:color w:val="0F1115"/>
          <w:kern w:val="0"/>
          <w14:ligatures w14:val="none"/>
        </w:rPr>
        <w:lastRenderedPageBreak/>
        <w:t>Wangata</w:t>
      </w:r>
      <w:proofErr w:type="spellEnd"/>
      <w:r w:rsidRPr="00D26260">
        <w:rPr>
          <w:rFonts w:ascii="Times New Roman" w:eastAsia="Times New Roman" w:hAnsi="Times New Roman" w:cs="Times New Roman"/>
          <w:color w:val="0F1115"/>
          <w:kern w:val="0"/>
          <w14:ligatures w14:val="none"/>
        </w:rPr>
        <w:t xml:space="preserve"> General Referral Hospital (HGR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located in </w:t>
      </w:r>
      <w:proofErr w:type="spellStart"/>
      <w:r w:rsidRPr="00D26260">
        <w:rPr>
          <w:rFonts w:ascii="Times New Roman" w:eastAsia="Times New Roman" w:hAnsi="Times New Roman" w:cs="Times New Roman"/>
          <w:color w:val="0F1115"/>
          <w:kern w:val="0"/>
          <w14:ligatures w14:val="none"/>
        </w:rPr>
        <w:t>Mbandaka</w:t>
      </w:r>
      <w:proofErr w:type="spellEnd"/>
      <w:r w:rsidRPr="00D26260">
        <w:rPr>
          <w:rFonts w:ascii="Times New Roman" w:eastAsia="Times New Roman" w:hAnsi="Times New Roman" w:cs="Times New Roman"/>
          <w:color w:val="0F1115"/>
          <w:kern w:val="0"/>
          <w14:ligatures w14:val="none"/>
        </w:rPr>
        <w:t>, Équateur Province, serves as a reference facility for a population of approximately 94,500. Preliminary observations suggested inconsistent ANC quality, yet no formal evaluation had been conducted. This study therefore aimed to: (1) evaluate compliance with national ANC norms regarding periodicity, interventions, and resources; and (2) assess the knowledge, attitudes, and practices (KAP) of pregnant women regarding ANC.</w:t>
      </w:r>
    </w:p>
    <w:p w14:paraId="6F1FE18E" w14:textId="77777777" w:rsidR="007E0E28" w:rsidRPr="00D26260" w:rsidRDefault="007E0E28" w:rsidP="007E0E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26260">
        <w:rPr>
          <w:rFonts w:ascii="Times New Roman" w:eastAsia="Times New Roman" w:hAnsi="Times New Roman" w:cs="Times New Roman"/>
          <w:b/>
          <w:bCs/>
          <w:color w:val="0F1115"/>
          <w:kern w:val="0"/>
          <w:sz w:val="33"/>
          <w:szCs w:val="33"/>
          <w14:ligatures w14:val="none"/>
        </w:rPr>
        <w:t>2. Methods</w:t>
      </w:r>
    </w:p>
    <w:p w14:paraId="351CE7DE"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2.1. Study Design and Setting</w:t>
      </w:r>
    </w:p>
    <w:p w14:paraId="30F7FD0D"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A </w:t>
      </w:r>
      <w:r w:rsidRPr="00D26260">
        <w:rPr>
          <w:rFonts w:ascii="Times New Roman" w:eastAsia="Times New Roman" w:hAnsi="Times New Roman" w:cs="Times New Roman"/>
          <w:b/>
          <w:bCs/>
          <w:color w:val="0F1115"/>
          <w:kern w:val="0"/>
          <w14:ligatures w14:val="none"/>
        </w:rPr>
        <w:t>cross-sectional descriptive study</w:t>
      </w:r>
      <w:r w:rsidRPr="00D26260">
        <w:rPr>
          <w:rFonts w:ascii="Times New Roman" w:eastAsia="Times New Roman" w:hAnsi="Times New Roman" w:cs="Times New Roman"/>
          <w:color w:val="0F1115"/>
          <w:kern w:val="0"/>
          <w14:ligatures w14:val="none"/>
        </w:rPr>
        <w:t> was conducted from </w:t>
      </w:r>
      <w:r w:rsidRPr="00D26260">
        <w:rPr>
          <w:rFonts w:ascii="Times New Roman" w:eastAsia="Times New Roman" w:hAnsi="Times New Roman" w:cs="Times New Roman"/>
          <w:b/>
          <w:bCs/>
          <w:color w:val="0F1115"/>
          <w:kern w:val="0"/>
          <w14:ligatures w14:val="none"/>
        </w:rPr>
        <w:t>January 10 to April 9, 2025</w:t>
      </w:r>
      <w:r w:rsidRPr="00D26260">
        <w:rPr>
          <w:rFonts w:ascii="Times New Roman" w:eastAsia="Times New Roman" w:hAnsi="Times New Roman" w:cs="Times New Roman"/>
          <w:color w:val="0F1115"/>
          <w:kern w:val="0"/>
          <w14:ligatures w14:val="none"/>
        </w:rPr>
        <w:t> (data collection: February 10 to March 9, 2025) at </w:t>
      </w:r>
      <w:r w:rsidRPr="00D26260">
        <w:rPr>
          <w:rFonts w:ascii="Times New Roman" w:eastAsia="Times New Roman" w:hAnsi="Times New Roman" w:cs="Times New Roman"/>
          <w:b/>
          <w:bCs/>
          <w:color w:val="0F1115"/>
          <w:kern w:val="0"/>
          <w14:ligatures w14:val="none"/>
        </w:rPr>
        <w:t xml:space="preserve">HGR </w:t>
      </w:r>
      <w:proofErr w:type="spellStart"/>
      <w:r w:rsidRPr="00D26260">
        <w:rPr>
          <w:rFonts w:ascii="Times New Roman" w:eastAsia="Times New Roman" w:hAnsi="Times New Roman" w:cs="Times New Roman"/>
          <w:b/>
          <w:bCs/>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w:t>
      </w:r>
      <w:proofErr w:type="spellStart"/>
      <w:r w:rsidRPr="00D26260">
        <w:rPr>
          <w:rFonts w:ascii="Times New Roman" w:eastAsia="Times New Roman" w:hAnsi="Times New Roman" w:cs="Times New Roman"/>
          <w:color w:val="0F1115"/>
          <w:kern w:val="0"/>
          <w14:ligatures w14:val="none"/>
        </w:rPr>
        <w:t>Mbandaka</w:t>
      </w:r>
      <w:proofErr w:type="spellEnd"/>
      <w:r w:rsidRPr="00D26260">
        <w:rPr>
          <w:rFonts w:ascii="Times New Roman" w:eastAsia="Times New Roman" w:hAnsi="Times New Roman" w:cs="Times New Roman"/>
          <w:color w:val="0F1115"/>
          <w:kern w:val="0"/>
          <w14:ligatures w14:val="none"/>
        </w:rPr>
        <w:t xml:space="preserve">, DRC. The hospital has a bed capacity of 179 beds and serves as the referral hospital for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Health Zone.</w:t>
      </w:r>
    </w:p>
    <w:p w14:paraId="34B3A78D"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2.2. Study Population and Sampling</w:t>
      </w:r>
    </w:p>
    <w:p w14:paraId="6B2F9F2A"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The target population comprised pregnant women attending ANC at HGR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during the study period. Using </w:t>
      </w:r>
      <w:r w:rsidRPr="00D26260">
        <w:rPr>
          <w:rFonts w:ascii="Times New Roman" w:eastAsia="Times New Roman" w:hAnsi="Times New Roman" w:cs="Times New Roman"/>
          <w:b/>
          <w:bCs/>
          <w:color w:val="0F1115"/>
          <w:kern w:val="0"/>
          <w14:ligatures w14:val="none"/>
        </w:rPr>
        <w:t>Yamane's formula (1967)</w:t>
      </w:r>
      <w:r w:rsidRPr="00D26260">
        <w:rPr>
          <w:rFonts w:ascii="Times New Roman" w:eastAsia="Times New Roman" w:hAnsi="Times New Roman" w:cs="Times New Roman"/>
          <w:color w:val="0F1115"/>
          <w:kern w:val="0"/>
          <w14:ligatures w14:val="none"/>
        </w:rPr>
        <w:t> with a 5% margin of error and a population of 3,780 expected ANC attendees (4% of the zone's population of 94,500), the minimum sample size was calculated as </w:t>
      </w:r>
      <w:r w:rsidRPr="00D26260">
        <w:rPr>
          <w:rFonts w:ascii="Times New Roman" w:eastAsia="Times New Roman" w:hAnsi="Times New Roman" w:cs="Times New Roman"/>
          <w:b/>
          <w:bCs/>
          <w:color w:val="0F1115"/>
          <w:kern w:val="0"/>
          <w14:ligatures w14:val="none"/>
        </w:rPr>
        <w:t>116 women</w:t>
      </w:r>
      <w:r w:rsidRPr="00D26260">
        <w:rPr>
          <w:rFonts w:ascii="Times New Roman" w:eastAsia="Times New Roman" w:hAnsi="Times New Roman" w:cs="Times New Roman"/>
          <w:color w:val="0F1115"/>
          <w:kern w:val="0"/>
          <w14:ligatures w14:val="none"/>
        </w:rPr>
        <w:t>. Simple random sampling was used to select participants.</w:t>
      </w:r>
    </w:p>
    <w:p w14:paraId="1CFA1163"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Inclusion criteria:</w:t>
      </w:r>
      <w:r w:rsidRPr="00D26260">
        <w:rPr>
          <w:rFonts w:ascii="Times New Roman" w:eastAsia="Times New Roman" w:hAnsi="Times New Roman" w:cs="Times New Roman"/>
          <w:color w:val="0F1115"/>
          <w:kern w:val="0"/>
          <w14:ligatures w14:val="none"/>
        </w:rPr>
        <w:t xml:space="preserve"> Pregnant women attending ANC at HGR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who provided informed consent.</w:t>
      </w:r>
    </w:p>
    <w:p w14:paraId="4079B17F"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Exclusion criteria:</w:t>
      </w:r>
      <w:r w:rsidRPr="00D26260">
        <w:rPr>
          <w:rFonts w:ascii="Times New Roman" w:eastAsia="Times New Roman" w:hAnsi="Times New Roman" w:cs="Times New Roman"/>
          <w:color w:val="0F1115"/>
          <w:kern w:val="0"/>
          <w14:ligatures w14:val="none"/>
        </w:rPr>
        <w:t> Refusal to participate.</w:t>
      </w:r>
    </w:p>
    <w:p w14:paraId="179B2743"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2.3. Data Collection</w:t>
      </w:r>
    </w:p>
    <w:p w14:paraId="363DEBD0"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Two complementary approaches were used:</w:t>
      </w:r>
    </w:p>
    <w:p w14:paraId="008C666E" w14:textId="77777777" w:rsidR="007E0E28" w:rsidRPr="00D26260" w:rsidRDefault="007E0E28" w:rsidP="007E0E2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lastRenderedPageBreak/>
        <w:t>Clinical audit:</w:t>
      </w:r>
      <w:r w:rsidRPr="00D26260">
        <w:rPr>
          <w:rFonts w:ascii="Times New Roman" w:eastAsia="Times New Roman" w:hAnsi="Times New Roman" w:cs="Times New Roman"/>
          <w:color w:val="0F1115"/>
          <w:kern w:val="0"/>
          <w14:ligatures w14:val="none"/>
        </w:rPr>
        <w:t> A structured questionnaire based on PNSR norms (2015) assessed compliance across three domains: periodicity of visits, essential interventions, and resources (human, infrastructure, equipment, medications, test kits, consumables, reporting tools). Medical records of the 116 women were reviewed immediately after their ANC visit.</w:t>
      </w:r>
    </w:p>
    <w:p w14:paraId="2542319A" w14:textId="77777777" w:rsidR="007E0E28" w:rsidRPr="00D26260" w:rsidRDefault="007E0E28" w:rsidP="007E0E2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Knowledge, Attitudes, and Practices (KAP) survey:</w:t>
      </w:r>
      <w:r w:rsidRPr="00D26260">
        <w:rPr>
          <w:rFonts w:ascii="Times New Roman" w:eastAsia="Times New Roman" w:hAnsi="Times New Roman" w:cs="Times New Roman"/>
          <w:color w:val="0F1115"/>
          <w:kern w:val="0"/>
          <w14:ligatures w14:val="none"/>
        </w:rPr>
        <w:t> A separate structured questionnaire was administered to the same 116 women to assess sociodemographic characteristics, obstetric history, knowledge of ANC timing and frequency, perceptions of pregnancy concealment, decision-making dynamics, traditional practices, and satisfaction.</w:t>
      </w:r>
    </w:p>
    <w:p w14:paraId="777597CA"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All instruments were pretested prior to use.</w:t>
      </w:r>
    </w:p>
    <w:p w14:paraId="754D2A96"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2.4. Variables</w:t>
      </w:r>
    </w:p>
    <w:p w14:paraId="2C67AADD"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Dependent variables:</w:t>
      </w:r>
      <w:r w:rsidRPr="00D26260">
        <w:rPr>
          <w:rFonts w:ascii="Times New Roman" w:eastAsia="Times New Roman" w:hAnsi="Times New Roman" w:cs="Times New Roman"/>
          <w:color w:val="0F1115"/>
          <w:kern w:val="0"/>
          <w14:ligatures w14:val="none"/>
        </w:rPr>
        <w:t> Compliance with ANC norms (periodicity, interventions, resources); KAP scores.</w:t>
      </w:r>
    </w:p>
    <w:p w14:paraId="2012A931"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Independent variables:</w:t>
      </w:r>
      <w:r w:rsidRPr="00D26260">
        <w:rPr>
          <w:rFonts w:ascii="Times New Roman" w:eastAsia="Times New Roman" w:hAnsi="Times New Roman" w:cs="Times New Roman"/>
          <w:color w:val="0F1115"/>
          <w:kern w:val="0"/>
          <w14:ligatures w14:val="none"/>
        </w:rPr>
        <w:t> Age, education, occupation, religion, parity, gestational age at first ANC visit, decision-maker for ANC attendance.</w:t>
      </w:r>
    </w:p>
    <w:p w14:paraId="06F18C87"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2.5. Data Analysis</w:t>
      </w:r>
    </w:p>
    <w:p w14:paraId="7BA8D4B5"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Data were entered and analyzed using </w:t>
      </w:r>
      <w:r w:rsidRPr="00D26260">
        <w:rPr>
          <w:rFonts w:ascii="Times New Roman" w:eastAsia="Times New Roman" w:hAnsi="Times New Roman" w:cs="Times New Roman"/>
          <w:b/>
          <w:bCs/>
          <w:color w:val="0F1115"/>
          <w:kern w:val="0"/>
          <w14:ligatures w14:val="none"/>
        </w:rPr>
        <w:t>EPI Info version 3.5.4</w:t>
      </w:r>
      <w:r w:rsidRPr="00D26260">
        <w:rPr>
          <w:rFonts w:ascii="Times New Roman" w:eastAsia="Times New Roman" w:hAnsi="Times New Roman" w:cs="Times New Roman"/>
          <w:color w:val="0F1115"/>
          <w:kern w:val="0"/>
          <w14:ligatures w14:val="none"/>
        </w:rPr>
        <w:t>. Descriptive statistics (frequencies, percentages) were calculated. Observed practices were compared against the PNSR standards. No inferential statistical tests were applied; the study was descriptive.</w:t>
      </w:r>
    </w:p>
    <w:p w14:paraId="16F51067"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2.6. Ethical Considerations</w:t>
      </w:r>
    </w:p>
    <w:p w14:paraId="5283016E"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The study received institutional authorization from the HGR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administration and the ISTM </w:t>
      </w:r>
      <w:proofErr w:type="spellStart"/>
      <w:r w:rsidRPr="00D26260">
        <w:rPr>
          <w:rFonts w:ascii="Times New Roman" w:eastAsia="Times New Roman" w:hAnsi="Times New Roman" w:cs="Times New Roman"/>
          <w:color w:val="0F1115"/>
          <w:kern w:val="0"/>
          <w14:ligatures w14:val="none"/>
        </w:rPr>
        <w:t>Mbandaka</w:t>
      </w:r>
      <w:proofErr w:type="spellEnd"/>
      <w:r w:rsidRPr="00D26260">
        <w:rPr>
          <w:rFonts w:ascii="Times New Roman" w:eastAsia="Times New Roman" w:hAnsi="Times New Roman" w:cs="Times New Roman"/>
          <w:color w:val="0F1115"/>
          <w:kern w:val="0"/>
          <w14:ligatures w14:val="none"/>
        </w:rPr>
        <w:t xml:space="preserve"> ethics committee. Written informed consent was obtained from all participants. Confidentiality was strictly maintained; personal identifiers were removed.</w:t>
      </w:r>
    </w:p>
    <w:p w14:paraId="0F2F9277" w14:textId="77777777" w:rsidR="007E0E28" w:rsidRPr="00D26260" w:rsidRDefault="007E0E28" w:rsidP="007E0E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26260">
        <w:rPr>
          <w:rFonts w:ascii="Times New Roman" w:eastAsia="Times New Roman" w:hAnsi="Times New Roman" w:cs="Times New Roman"/>
          <w:b/>
          <w:bCs/>
          <w:color w:val="0F1115"/>
          <w:kern w:val="0"/>
          <w:sz w:val="33"/>
          <w:szCs w:val="33"/>
          <w14:ligatures w14:val="none"/>
        </w:rPr>
        <w:lastRenderedPageBreak/>
        <w:t>3. Results</w:t>
      </w:r>
    </w:p>
    <w:p w14:paraId="2F12A969"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3.1. Compliance with ANC Norms: Periodicity and Interventions</w:t>
      </w:r>
    </w:p>
    <w:p w14:paraId="79F9F43D"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Table 1</w:t>
      </w:r>
      <w:r w:rsidRPr="00D26260">
        <w:rPr>
          <w:rFonts w:ascii="Times New Roman" w:eastAsia="Times New Roman" w:hAnsi="Times New Roman" w:cs="Times New Roman"/>
          <w:color w:val="0F1115"/>
          <w:kern w:val="0"/>
          <w14:ligatures w14:val="none"/>
        </w:rPr>
        <w:t> presents compliance with ANC periodicity and key interventions.</w:t>
      </w:r>
    </w:p>
    <w:p w14:paraId="051BB2DD"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Table 1</w:t>
      </w:r>
      <w:r w:rsidRPr="00D26260">
        <w:rPr>
          <w:rFonts w:ascii="Times New Roman" w:eastAsia="Times New Roman" w:hAnsi="Times New Roman" w:cs="Times New Roman"/>
          <w:color w:val="0F1115"/>
          <w:kern w:val="0"/>
          <w14:ligatures w14:val="none"/>
        </w:rPr>
        <w:br/>
        <w:t>*Compliance with ANC Norms for Periodicity and Interventions (N=116)*</w:t>
      </w:r>
    </w:p>
    <w:tbl>
      <w:tblPr>
        <w:tblW w:w="1128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531"/>
        <w:gridCol w:w="2171"/>
        <w:gridCol w:w="3578"/>
      </w:tblGrid>
      <w:tr w:rsidR="007E0E28" w:rsidRPr="00D26260" w14:paraId="7D6EDAB8" w14:textId="77777777" w:rsidTr="00D2626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2A96E94"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Criterion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903D047"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Standard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259E338"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Observed compliance (%)</w:t>
            </w:r>
          </w:p>
        </w:tc>
      </w:tr>
      <w:tr w:rsidR="007E0E28" w:rsidRPr="00D26260" w14:paraId="1F0808D4" w14:textId="77777777" w:rsidTr="00D26260">
        <w:tc>
          <w:tcPr>
            <w:tcW w:w="0" w:type="auto"/>
            <w:tcBorders>
              <w:top w:val="single" w:sz="4" w:space="0" w:color="auto"/>
            </w:tcBorders>
            <w:tcMar>
              <w:top w:w="150" w:type="dxa"/>
              <w:left w:w="0" w:type="dxa"/>
              <w:bottom w:w="150" w:type="dxa"/>
              <w:right w:w="240" w:type="dxa"/>
            </w:tcMar>
            <w:vAlign w:val="center"/>
            <w:hideMark/>
          </w:tcPr>
          <w:p w14:paraId="20C9BCF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Four ANC visits including two in third trimester</w:t>
            </w:r>
          </w:p>
        </w:tc>
        <w:tc>
          <w:tcPr>
            <w:tcW w:w="0" w:type="auto"/>
            <w:tcBorders>
              <w:top w:val="single" w:sz="4" w:space="0" w:color="auto"/>
            </w:tcBorders>
            <w:tcMar>
              <w:top w:w="150" w:type="dxa"/>
              <w:left w:w="240" w:type="dxa"/>
              <w:bottom w:w="150" w:type="dxa"/>
              <w:right w:w="240" w:type="dxa"/>
            </w:tcMar>
            <w:vAlign w:val="center"/>
            <w:hideMark/>
          </w:tcPr>
          <w:p w14:paraId="7662BD1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Borders>
              <w:top w:val="single" w:sz="4" w:space="0" w:color="auto"/>
            </w:tcBorders>
            <w:tcMar>
              <w:top w:w="150" w:type="dxa"/>
              <w:left w:w="240" w:type="dxa"/>
              <w:bottom w:w="150" w:type="dxa"/>
              <w:right w:w="0" w:type="dxa"/>
            </w:tcMar>
            <w:vAlign w:val="center"/>
            <w:hideMark/>
          </w:tcPr>
          <w:p w14:paraId="44FC52FA"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24</w:t>
            </w:r>
          </w:p>
        </w:tc>
      </w:tr>
      <w:tr w:rsidR="007E0E28" w:rsidRPr="00D26260" w14:paraId="10C3D7DA" w14:textId="77777777" w:rsidTr="00D26260">
        <w:tc>
          <w:tcPr>
            <w:tcW w:w="0" w:type="auto"/>
            <w:tcMar>
              <w:top w:w="150" w:type="dxa"/>
              <w:left w:w="0" w:type="dxa"/>
              <w:bottom w:w="150" w:type="dxa"/>
              <w:right w:w="240" w:type="dxa"/>
            </w:tcMar>
            <w:vAlign w:val="center"/>
            <w:hideMark/>
          </w:tcPr>
          <w:p w14:paraId="124775D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Nutritional and health education</w:t>
            </w:r>
          </w:p>
        </w:tc>
        <w:tc>
          <w:tcPr>
            <w:tcW w:w="0" w:type="auto"/>
            <w:tcMar>
              <w:top w:w="150" w:type="dxa"/>
              <w:left w:w="240" w:type="dxa"/>
              <w:bottom w:w="150" w:type="dxa"/>
              <w:right w:w="240" w:type="dxa"/>
            </w:tcMar>
            <w:vAlign w:val="center"/>
            <w:hideMark/>
          </w:tcPr>
          <w:p w14:paraId="5A80CE9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1A8238A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r>
      <w:tr w:rsidR="007E0E28" w:rsidRPr="00D26260" w14:paraId="5E057CD3" w14:textId="77777777" w:rsidTr="00D26260">
        <w:tc>
          <w:tcPr>
            <w:tcW w:w="0" w:type="auto"/>
            <w:tcMar>
              <w:top w:w="150" w:type="dxa"/>
              <w:left w:w="0" w:type="dxa"/>
              <w:bottom w:w="150" w:type="dxa"/>
              <w:right w:w="240" w:type="dxa"/>
            </w:tcMar>
            <w:vAlign w:val="center"/>
            <w:hideMark/>
          </w:tcPr>
          <w:p w14:paraId="443C8BB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HIV testing and counseling</w:t>
            </w:r>
          </w:p>
        </w:tc>
        <w:tc>
          <w:tcPr>
            <w:tcW w:w="0" w:type="auto"/>
            <w:tcMar>
              <w:top w:w="150" w:type="dxa"/>
              <w:left w:w="240" w:type="dxa"/>
              <w:bottom w:w="150" w:type="dxa"/>
              <w:right w:w="240" w:type="dxa"/>
            </w:tcMar>
            <w:vAlign w:val="center"/>
            <w:hideMark/>
          </w:tcPr>
          <w:p w14:paraId="61C94DF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02C1C093"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96</w:t>
            </w:r>
          </w:p>
        </w:tc>
      </w:tr>
      <w:tr w:rsidR="007E0E28" w:rsidRPr="00D26260" w14:paraId="66A5037D" w14:textId="77777777" w:rsidTr="00D26260">
        <w:tc>
          <w:tcPr>
            <w:tcW w:w="0" w:type="auto"/>
            <w:tcMar>
              <w:top w:w="150" w:type="dxa"/>
              <w:left w:w="0" w:type="dxa"/>
              <w:bottom w:w="150" w:type="dxa"/>
              <w:right w:w="240" w:type="dxa"/>
            </w:tcMar>
            <w:vAlign w:val="center"/>
            <w:hideMark/>
          </w:tcPr>
          <w:p w14:paraId="1392980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Tetanus toxoid vaccination</w:t>
            </w:r>
          </w:p>
        </w:tc>
        <w:tc>
          <w:tcPr>
            <w:tcW w:w="0" w:type="auto"/>
            <w:tcMar>
              <w:top w:w="150" w:type="dxa"/>
              <w:left w:w="240" w:type="dxa"/>
              <w:bottom w:w="150" w:type="dxa"/>
              <w:right w:w="240" w:type="dxa"/>
            </w:tcMar>
            <w:vAlign w:val="center"/>
            <w:hideMark/>
          </w:tcPr>
          <w:p w14:paraId="79DFFCB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20EE079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53</w:t>
            </w:r>
          </w:p>
        </w:tc>
      </w:tr>
      <w:tr w:rsidR="007E0E28" w:rsidRPr="00D26260" w14:paraId="40568176" w14:textId="77777777" w:rsidTr="00D26260">
        <w:tc>
          <w:tcPr>
            <w:tcW w:w="0" w:type="auto"/>
            <w:tcMar>
              <w:top w:w="150" w:type="dxa"/>
              <w:left w:w="0" w:type="dxa"/>
              <w:bottom w:w="150" w:type="dxa"/>
              <w:right w:w="240" w:type="dxa"/>
            </w:tcMar>
            <w:vAlign w:val="center"/>
            <w:hideMark/>
          </w:tcPr>
          <w:p w14:paraId="6383CCF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IPTp (</w:t>
            </w:r>
            <w:proofErr w:type="spellStart"/>
            <w:r w:rsidRPr="00D26260">
              <w:rPr>
                <w:rFonts w:ascii="Times New Roman" w:eastAsia="Times New Roman" w:hAnsi="Times New Roman" w:cs="Times New Roman"/>
                <w:kern w:val="0"/>
                <w:sz w:val="23"/>
                <w:szCs w:val="23"/>
                <w14:ligatures w14:val="none"/>
              </w:rPr>
              <w:t>sulfadoxine</w:t>
            </w:r>
            <w:proofErr w:type="spellEnd"/>
            <w:r w:rsidRPr="00D26260">
              <w:rPr>
                <w:rFonts w:ascii="Times New Roman" w:eastAsia="Times New Roman" w:hAnsi="Times New Roman" w:cs="Times New Roman"/>
                <w:kern w:val="0"/>
                <w:sz w:val="23"/>
                <w:szCs w:val="23"/>
                <w14:ligatures w14:val="none"/>
              </w:rPr>
              <w:t>-pyrimethamine)</w:t>
            </w:r>
          </w:p>
        </w:tc>
        <w:tc>
          <w:tcPr>
            <w:tcW w:w="0" w:type="auto"/>
            <w:tcMar>
              <w:top w:w="150" w:type="dxa"/>
              <w:left w:w="240" w:type="dxa"/>
              <w:bottom w:w="150" w:type="dxa"/>
              <w:right w:w="240" w:type="dxa"/>
            </w:tcMar>
            <w:vAlign w:val="center"/>
            <w:hideMark/>
          </w:tcPr>
          <w:p w14:paraId="525C0C6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3054CD5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48</w:t>
            </w:r>
          </w:p>
        </w:tc>
      </w:tr>
      <w:tr w:rsidR="007E0E28" w:rsidRPr="00D26260" w14:paraId="27A73E0E" w14:textId="77777777" w:rsidTr="00D26260">
        <w:tc>
          <w:tcPr>
            <w:tcW w:w="0" w:type="auto"/>
            <w:tcMar>
              <w:top w:w="150" w:type="dxa"/>
              <w:left w:w="0" w:type="dxa"/>
              <w:bottom w:w="150" w:type="dxa"/>
              <w:right w:w="240" w:type="dxa"/>
            </w:tcMar>
            <w:vAlign w:val="center"/>
            <w:hideMark/>
          </w:tcPr>
          <w:p w14:paraId="51B15333"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ITN distribution</w:t>
            </w:r>
          </w:p>
        </w:tc>
        <w:tc>
          <w:tcPr>
            <w:tcW w:w="0" w:type="auto"/>
            <w:tcMar>
              <w:top w:w="150" w:type="dxa"/>
              <w:left w:w="240" w:type="dxa"/>
              <w:bottom w:w="150" w:type="dxa"/>
              <w:right w:w="240" w:type="dxa"/>
            </w:tcMar>
            <w:vAlign w:val="center"/>
            <w:hideMark/>
          </w:tcPr>
          <w:p w14:paraId="1AD1A25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774EDDF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37</w:t>
            </w:r>
          </w:p>
        </w:tc>
      </w:tr>
      <w:tr w:rsidR="007E0E28" w:rsidRPr="00D26260" w14:paraId="3A8CD874" w14:textId="77777777" w:rsidTr="00D26260">
        <w:tc>
          <w:tcPr>
            <w:tcW w:w="0" w:type="auto"/>
            <w:tcMar>
              <w:top w:w="150" w:type="dxa"/>
              <w:left w:w="0" w:type="dxa"/>
              <w:bottom w:w="150" w:type="dxa"/>
              <w:right w:w="240" w:type="dxa"/>
            </w:tcMar>
            <w:vAlign w:val="center"/>
            <w:hideMark/>
          </w:tcPr>
          <w:p w14:paraId="56045E6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Iron-folate supplementation</w:t>
            </w:r>
          </w:p>
        </w:tc>
        <w:tc>
          <w:tcPr>
            <w:tcW w:w="0" w:type="auto"/>
            <w:tcMar>
              <w:top w:w="150" w:type="dxa"/>
              <w:left w:w="240" w:type="dxa"/>
              <w:bottom w:w="150" w:type="dxa"/>
              <w:right w:w="240" w:type="dxa"/>
            </w:tcMar>
            <w:vAlign w:val="center"/>
            <w:hideMark/>
          </w:tcPr>
          <w:p w14:paraId="00A65B8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09130AAA"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96</w:t>
            </w:r>
          </w:p>
        </w:tc>
      </w:tr>
      <w:tr w:rsidR="007E0E28" w:rsidRPr="00D26260" w14:paraId="5AD76923" w14:textId="77777777" w:rsidTr="00D26260">
        <w:tc>
          <w:tcPr>
            <w:tcW w:w="0" w:type="auto"/>
            <w:tcMar>
              <w:top w:w="150" w:type="dxa"/>
              <w:left w:w="0" w:type="dxa"/>
              <w:bottom w:w="150" w:type="dxa"/>
              <w:right w:w="240" w:type="dxa"/>
            </w:tcMar>
            <w:vAlign w:val="center"/>
            <w:hideMark/>
          </w:tcPr>
          <w:p w14:paraId="48589E1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Mebendazole (deworming)</w:t>
            </w:r>
          </w:p>
        </w:tc>
        <w:tc>
          <w:tcPr>
            <w:tcW w:w="0" w:type="auto"/>
            <w:tcMar>
              <w:top w:w="150" w:type="dxa"/>
              <w:left w:w="240" w:type="dxa"/>
              <w:bottom w:w="150" w:type="dxa"/>
              <w:right w:w="240" w:type="dxa"/>
            </w:tcMar>
            <w:vAlign w:val="center"/>
            <w:hideMark/>
          </w:tcPr>
          <w:p w14:paraId="0AB4ABB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502C9ED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62</w:t>
            </w:r>
          </w:p>
        </w:tc>
      </w:tr>
      <w:tr w:rsidR="007E0E28" w:rsidRPr="00D26260" w14:paraId="1362B211" w14:textId="77777777" w:rsidTr="00D26260">
        <w:tc>
          <w:tcPr>
            <w:tcW w:w="0" w:type="auto"/>
            <w:tcMar>
              <w:top w:w="150" w:type="dxa"/>
              <w:left w:w="0" w:type="dxa"/>
              <w:bottom w:w="150" w:type="dxa"/>
              <w:right w:w="240" w:type="dxa"/>
            </w:tcMar>
            <w:vAlign w:val="center"/>
            <w:hideMark/>
          </w:tcPr>
          <w:p w14:paraId="14E9504A"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Syphilis screening</w:t>
            </w:r>
          </w:p>
        </w:tc>
        <w:tc>
          <w:tcPr>
            <w:tcW w:w="0" w:type="auto"/>
            <w:tcMar>
              <w:top w:w="150" w:type="dxa"/>
              <w:left w:w="240" w:type="dxa"/>
              <w:bottom w:w="150" w:type="dxa"/>
              <w:right w:w="240" w:type="dxa"/>
            </w:tcMar>
            <w:vAlign w:val="center"/>
            <w:hideMark/>
          </w:tcPr>
          <w:p w14:paraId="55B9E1E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571D200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0</w:t>
            </w:r>
          </w:p>
        </w:tc>
      </w:tr>
      <w:tr w:rsidR="007E0E28" w:rsidRPr="00D26260" w14:paraId="5D5FEAD4" w14:textId="77777777" w:rsidTr="00D26260">
        <w:tc>
          <w:tcPr>
            <w:tcW w:w="0" w:type="auto"/>
            <w:tcMar>
              <w:top w:w="150" w:type="dxa"/>
              <w:left w:w="0" w:type="dxa"/>
              <w:bottom w:w="150" w:type="dxa"/>
              <w:right w:w="240" w:type="dxa"/>
            </w:tcMar>
            <w:vAlign w:val="center"/>
            <w:hideMark/>
          </w:tcPr>
          <w:p w14:paraId="4C5603E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Diagnosis/treatment of STIs</w:t>
            </w:r>
          </w:p>
        </w:tc>
        <w:tc>
          <w:tcPr>
            <w:tcW w:w="0" w:type="auto"/>
            <w:tcMar>
              <w:top w:w="150" w:type="dxa"/>
              <w:left w:w="240" w:type="dxa"/>
              <w:bottom w:w="150" w:type="dxa"/>
              <w:right w:w="240" w:type="dxa"/>
            </w:tcMar>
            <w:vAlign w:val="center"/>
            <w:hideMark/>
          </w:tcPr>
          <w:p w14:paraId="1ADF901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0DA711B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r>
      <w:tr w:rsidR="007E0E28" w:rsidRPr="00D26260" w14:paraId="52054C31" w14:textId="77777777" w:rsidTr="00D26260">
        <w:tc>
          <w:tcPr>
            <w:tcW w:w="0" w:type="auto"/>
            <w:tcMar>
              <w:top w:w="150" w:type="dxa"/>
              <w:left w:w="0" w:type="dxa"/>
              <w:bottom w:w="150" w:type="dxa"/>
              <w:right w:w="240" w:type="dxa"/>
            </w:tcMar>
            <w:vAlign w:val="center"/>
            <w:hideMark/>
          </w:tcPr>
          <w:p w14:paraId="43C0B43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Detection of danger signs</w:t>
            </w:r>
          </w:p>
        </w:tc>
        <w:tc>
          <w:tcPr>
            <w:tcW w:w="0" w:type="auto"/>
            <w:tcMar>
              <w:top w:w="150" w:type="dxa"/>
              <w:left w:w="240" w:type="dxa"/>
              <w:bottom w:w="150" w:type="dxa"/>
              <w:right w:w="240" w:type="dxa"/>
            </w:tcMar>
            <w:vAlign w:val="center"/>
            <w:hideMark/>
          </w:tcPr>
          <w:p w14:paraId="52CD61D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2C303F9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r>
      <w:tr w:rsidR="007E0E28" w:rsidRPr="00D26260" w14:paraId="00AD3A9C" w14:textId="77777777" w:rsidTr="00D26260">
        <w:tc>
          <w:tcPr>
            <w:tcW w:w="0" w:type="auto"/>
            <w:tcMar>
              <w:top w:w="150" w:type="dxa"/>
              <w:left w:w="0" w:type="dxa"/>
              <w:bottom w:w="150" w:type="dxa"/>
              <w:right w:w="240" w:type="dxa"/>
            </w:tcMar>
            <w:vAlign w:val="center"/>
            <w:hideMark/>
          </w:tcPr>
          <w:p w14:paraId="3048CBB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Referral of complicated cases</w:t>
            </w:r>
          </w:p>
        </w:tc>
        <w:tc>
          <w:tcPr>
            <w:tcW w:w="0" w:type="auto"/>
            <w:tcMar>
              <w:top w:w="150" w:type="dxa"/>
              <w:left w:w="240" w:type="dxa"/>
              <w:bottom w:w="150" w:type="dxa"/>
              <w:right w:w="240" w:type="dxa"/>
            </w:tcMar>
            <w:vAlign w:val="center"/>
            <w:hideMark/>
          </w:tcPr>
          <w:p w14:paraId="73BB219C"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0" w:type="auto"/>
            <w:tcMar>
              <w:top w:w="150" w:type="dxa"/>
              <w:left w:w="240" w:type="dxa"/>
              <w:bottom w:w="150" w:type="dxa"/>
              <w:right w:w="0" w:type="dxa"/>
            </w:tcMar>
            <w:vAlign w:val="center"/>
            <w:hideMark/>
          </w:tcPr>
          <w:p w14:paraId="6D05557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r>
    </w:tbl>
    <w:p w14:paraId="10AE2DF2"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Key findings:</w:t>
      </w:r>
      <w:r w:rsidRPr="00D26260">
        <w:rPr>
          <w:rFonts w:ascii="Times New Roman" w:eastAsia="Times New Roman" w:hAnsi="Times New Roman" w:cs="Times New Roman"/>
          <w:color w:val="0F1115"/>
          <w:kern w:val="0"/>
          <w14:ligatures w14:val="none"/>
        </w:rPr>
        <w:t> Only 24% of women completed four ANC visits. No woman (0%) was screened for syphilis due to stockouts of RPR tests. Coverage of IPTp (48%) and ITNs (37%) was notably low. Tetanus toxoid coverage was 53%.</w:t>
      </w:r>
    </w:p>
    <w:p w14:paraId="05254408"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lastRenderedPageBreak/>
        <w:t>3.2. Compliance with ANC Norms: Resources</w:t>
      </w:r>
    </w:p>
    <w:p w14:paraId="01AF9ED8"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Table 2</w:t>
      </w:r>
      <w:r w:rsidRPr="00D26260">
        <w:rPr>
          <w:rFonts w:ascii="Times New Roman" w:eastAsia="Times New Roman" w:hAnsi="Times New Roman" w:cs="Times New Roman"/>
          <w:color w:val="0F1115"/>
          <w:kern w:val="0"/>
          <w14:ligatures w14:val="none"/>
        </w:rPr>
        <w:t> shows the availability of resources required for quality ANC.</w:t>
      </w:r>
    </w:p>
    <w:p w14:paraId="496D7B94"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Table 2</w:t>
      </w:r>
      <w:r w:rsidRPr="00D26260">
        <w:rPr>
          <w:rFonts w:ascii="Times New Roman" w:eastAsia="Times New Roman" w:hAnsi="Times New Roman" w:cs="Times New Roman"/>
          <w:color w:val="0F1115"/>
          <w:kern w:val="0"/>
          <w14:ligatures w14:val="none"/>
        </w:rPr>
        <w:br/>
        <w:t>*Availability of Resources for ANC (N=116)*</w:t>
      </w:r>
    </w:p>
    <w:tbl>
      <w:tblPr>
        <w:tblW w:w="695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064"/>
        <w:gridCol w:w="1365"/>
        <w:gridCol w:w="2521"/>
      </w:tblGrid>
      <w:tr w:rsidR="007E0E28" w:rsidRPr="00D26260" w14:paraId="0DFC2E28" w14:textId="77777777" w:rsidTr="00D26260">
        <w:trPr>
          <w:tblHeader/>
        </w:trPr>
        <w:tc>
          <w:tcPr>
            <w:tcW w:w="3064" w:type="dxa"/>
            <w:tcBorders>
              <w:top w:val="single" w:sz="4" w:space="0" w:color="auto"/>
              <w:bottom w:val="single" w:sz="4" w:space="0" w:color="auto"/>
            </w:tcBorders>
            <w:tcMar>
              <w:top w:w="150" w:type="dxa"/>
              <w:left w:w="0" w:type="dxa"/>
              <w:bottom w:w="150" w:type="dxa"/>
              <w:right w:w="240" w:type="dxa"/>
            </w:tcMar>
            <w:vAlign w:val="center"/>
            <w:hideMark/>
          </w:tcPr>
          <w:p w14:paraId="082ABA5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Resource category</w:t>
            </w:r>
          </w:p>
        </w:tc>
        <w:tc>
          <w:tcPr>
            <w:tcW w:w="1365" w:type="dxa"/>
            <w:tcBorders>
              <w:top w:val="single" w:sz="4" w:space="0" w:color="auto"/>
              <w:bottom w:val="single" w:sz="4" w:space="0" w:color="auto"/>
            </w:tcBorders>
            <w:tcMar>
              <w:top w:w="150" w:type="dxa"/>
              <w:left w:w="240" w:type="dxa"/>
              <w:bottom w:w="150" w:type="dxa"/>
              <w:right w:w="240" w:type="dxa"/>
            </w:tcMar>
            <w:vAlign w:val="center"/>
            <w:hideMark/>
          </w:tcPr>
          <w:p w14:paraId="6A3A8A8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Standard (%)</w:t>
            </w:r>
          </w:p>
        </w:tc>
        <w:tc>
          <w:tcPr>
            <w:tcW w:w="2521" w:type="dxa"/>
            <w:tcBorders>
              <w:top w:val="single" w:sz="4" w:space="0" w:color="auto"/>
              <w:bottom w:val="single" w:sz="4" w:space="0" w:color="auto"/>
            </w:tcBorders>
            <w:tcMar>
              <w:top w:w="150" w:type="dxa"/>
              <w:left w:w="240" w:type="dxa"/>
              <w:bottom w:w="150" w:type="dxa"/>
              <w:right w:w="240" w:type="dxa"/>
            </w:tcMar>
            <w:vAlign w:val="center"/>
            <w:hideMark/>
          </w:tcPr>
          <w:p w14:paraId="62E1DD8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Observed availability (%)</w:t>
            </w:r>
          </w:p>
        </w:tc>
      </w:tr>
      <w:tr w:rsidR="007E0E28" w:rsidRPr="00D26260" w14:paraId="742AFC27" w14:textId="77777777" w:rsidTr="00D26260">
        <w:tc>
          <w:tcPr>
            <w:tcW w:w="3064" w:type="dxa"/>
            <w:tcBorders>
              <w:top w:val="single" w:sz="4" w:space="0" w:color="auto"/>
            </w:tcBorders>
            <w:tcMar>
              <w:top w:w="150" w:type="dxa"/>
              <w:left w:w="0" w:type="dxa"/>
              <w:bottom w:w="150" w:type="dxa"/>
              <w:right w:w="240" w:type="dxa"/>
            </w:tcMar>
            <w:vAlign w:val="center"/>
            <w:hideMark/>
          </w:tcPr>
          <w:p w14:paraId="1E836B2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Human resources (trained staff)</w:t>
            </w:r>
          </w:p>
        </w:tc>
        <w:tc>
          <w:tcPr>
            <w:tcW w:w="1365" w:type="dxa"/>
            <w:tcBorders>
              <w:top w:val="single" w:sz="4" w:space="0" w:color="auto"/>
            </w:tcBorders>
            <w:tcMar>
              <w:top w:w="150" w:type="dxa"/>
              <w:left w:w="240" w:type="dxa"/>
              <w:bottom w:w="150" w:type="dxa"/>
              <w:right w:w="240" w:type="dxa"/>
            </w:tcMar>
            <w:vAlign w:val="center"/>
            <w:hideMark/>
          </w:tcPr>
          <w:p w14:paraId="32B2A0F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Borders>
              <w:top w:val="single" w:sz="4" w:space="0" w:color="auto"/>
            </w:tcBorders>
            <w:tcMar>
              <w:top w:w="150" w:type="dxa"/>
              <w:left w:w="240" w:type="dxa"/>
              <w:bottom w:w="150" w:type="dxa"/>
              <w:right w:w="0" w:type="dxa"/>
            </w:tcMar>
            <w:vAlign w:val="center"/>
            <w:hideMark/>
          </w:tcPr>
          <w:p w14:paraId="09D60FD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85</w:t>
            </w:r>
          </w:p>
        </w:tc>
      </w:tr>
      <w:tr w:rsidR="007E0E28" w:rsidRPr="00D26260" w14:paraId="79A91C3A" w14:textId="77777777" w:rsidTr="00D26260">
        <w:tc>
          <w:tcPr>
            <w:tcW w:w="3064" w:type="dxa"/>
            <w:tcMar>
              <w:top w:w="150" w:type="dxa"/>
              <w:left w:w="0" w:type="dxa"/>
              <w:bottom w:w="150" w:type="dxa"/>
              <w:right w:w="240" w:type="dxa"/>
            </w:tcMar>
            <w:vAlign w:val="center"/>
            <w:hideMark/>
          </w:tcPr>
          <w:p w14:paraId="30185BD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Infrastructure</w:t>
            </w:r>
          </w:p>
        </w:tc>
        <w:tc>
          <w:tcPr>
            <w:tcW w:w="1365" w:type="dxa"/>
            <w:tcMar>
              <w:top w:w="150" w:type="dxa"/>
              <w:left w:w="240" w:type="dxa"/>
              <w:bottom w:w="150" w:type="dxa"/>
              <w:right w:w="240" w:type="dxa"/>
            </w:tcMar>
            <w:vAlign w:val="center"/>
            <w:hideMark/>
          </w:tcPr>
          <w:p w14:paraId="3187B10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Mar>
              <w:top w:w="150" w:type="dxa"/>
              <w:left w:w="240" w:type="dxa"/>
              <w:bottom w:w="150" w:type="dxa"/>
              <w:right w:w="0" w:type="dxa"/>
            </w:tcMar>
            <w:vAlign w:val="center"/>
            <w:hideMark/>
          </w:tcPr>
          <w:p w14:paraId="3D9E36C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72</w:t>
            </w:r>
          </w:p>
        </w:tc>
      </w:tr>
      <w:tr w:rsidR="007E0E28" w:rsidRPr="00D26260" w14:paraId="4783791F" w14:textId="77777777" w:rsidTr="00D26260">
        <w:tc>
          <w:tcPr>
            <w:tcW w:w="3064" w:type="dxa"/>
            <w:tcMar>
              <w:top w:w="150" w:type="dxa"/>
              <w:left w:w="0" w:type="dxa"/>
              <w:bottom w:w="150" w:type="dxa"/>
              <w:right w:w="240" w:type="dxa"/>
            </w:tcMar>
            <w:vAlign w:val="center"/>
            <w:hideMark/>
          </w:tcPr>
          <w:p w14:paraId="67ACE16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Equipment</w:t>
            </w:r>
          </w:p>
        </w:tc>
        <w:tc>
          <w:tcPr>
            <w:tcW w:w="1365" w:type="dxa"/>
            <w:tcMar>
              <w:top w:w="150" w:type="dxa"/>
              <w:left w:w="240" w:type="dxa"/>
              <w:bottom w:w="150" w:type="dxa"/>
              <w:right w:w="240" w:type="dxa"/>
            </w:tcMar>
            <w:vAlign w:val="center"/>
            <w:hideMark/>
          </w:tcPr>
          <w:p w14:paraId="6E4FB0FC"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Mar>
              <w:top w:w="150" w:type="dxa"/>
              <w:left w:w="240" w:type="dxa"/>
              <w:bottom w:w="150" w:type="dxa"/>
              <w:right w:w="0" w:type="dxa"/>
            </w:tcMar>
            <w:vAlign w:val="center"/>
            <w:hideMark/>
          </w:tcPr>
          <w:p w14:paraId="0245B6D3"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64</w:t>
            </w:r>
          </w:p>
        </w:tc>
      </w:tr>
      <w:tr w:rsidR="007E0E28" w:rsidRPr="00D26260" w14:paraId="6B36115A" w14:textId="77777777" w:rsidTr="00D26260">
        <w:tc>
          <w:tcPr>
            <w:tcW w:w="3064" w:type="dxa"/>
            <w:tcMar>
              <w:top w:w="150" w:type="dxa"/>
              <w:left w:w="0" w:type="dxa"/>
              <w:bottom w:w="150" w:type="dxa"/>
              <w:right w:w="240" w:type="dxa"/>
            </w:tcMar>
            <w:vAlign w:val="center"/>
            <w:hideMark/>
          </w:tcPr>
          <w:p w14:paraId="19CA642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Materials</w:t>
            </w:r>
          </w:p>
        </w:tc>
        <w:tc>
          <w:tcPr>
            <w:tcW w:w="1365" w:type="dxa"/>
            <w:tcMar>
              <w:top w:w="150" w:type="dxa"/>
              <w:left w:w="240" w:type="dxa"/>
              <w:bottom w:w="150" w:type="dxa"/>
              <w:right w:w="240" w:type="dxa"/>
            </w:tcMar>
            <w:vAlign w:val="center"/>
            <w:hideMark/>
          </w:tcPr>
          <w:p w14:paraId="0470ADAC"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Mar>
              <w:top w:w="150" w:type="dxa"/>
              <w:left w:w="240" w:type="dxa"/>
              <w:bottom w:w="150" w:type="dxa"/>
              <w:right w:w="0" w:type="dxa"/>
            </w:tcMar>
            <w:vAlign w:val="center"/>
            <w:hideMark/>
          </w:tcPr>
          <w:p w14:paraId="71C344D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92</w:t>
            </w:r>
          </w:p>
        </w:tc>
      </w:tr>
      <w:tr w:rsidR="007E0E28" w:rsidRPr="00D26260" w14:paraId="3C7DB23A" w14:textId="77777777" w:rsidTr="00D26260">
        <w:tc>
          <w:tcPr>
            <w:tcW w:w="3064" w:type="dxa"/>
            <w:tcMar>
              <w:top w:w="150" w:type="dxa"/>
              <w:left w:w="0" w:type="dxa"/>
              <w:bottom w:w="150" w:type="dxa"/>
              <w:right w:w="240" w:type="dxa"/>
            </w:tcMar>
            <w:vAlign w:val="center"/>
            <w:hideMark/>
          </w:tcPr>
          <w:p w14:paraId="14448A9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Medications</w:t>
            </w:r>
          </w:p>
        </w:tc>
        <w:tc>
          <w:tcPr>
            <w:tcW w:w="1365" w:type="dxa"/>
            <w:tcMar>
              <w:top w:w="150" w:type="dxa"/>
              <w:left w:w="240" w:type="dxa"/>
              <w:bottom w:w="150" w:type="dxa"/>
              <w:right w:w="240" w:type="dxa"/>
            </w:tcMar>
            <w:vAlign w:val="center"/>
            <w:hideMark/>
          </w:tcPr>
          <w:p w14:paraId="2485245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Mar>
              <w:top w:w="150" w:type="dxa"/>
              <w:left w:w="240" w:type="dxa"/>
              <w:bottom w:w="150" w:type="dxa"/>
              <w:right w:w="0" w:type="dxa"/>
            </w:tcMar>
            <w:vAlign w:val="center"/>
            <w:hideMark/>
          </w:tcPr>
          <w:p w14:paraId="22D0BA0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87</w:t>
            </w:r>
          </w:p>
        </w:tc>
      </w:tr>
      <w:tr w:rsidR="007E0E28" w:rsidRPr="00D26260" w14:paraId="687C7D91" w14:textId="77777777" w:rsidTr="00D26260">
        <w:tc>
          <w:tcPr>
            <w:tcW w:w="3064" w:type="dxa"/>
            <w:tcMar>
              <w:top w:w="150" w:type="dxa"/>
              <w:left w:w="0" w:type="dxa"/>
              <w:bottom w:w="150" w:type="dxa"/>
              <w:right w:w="240" w:type="dxa"/>
            </w:tcMar>
            <w:vAlign w:val="center"/>
            <w:hideMark/>
          </w:tcPr>
          <w:p w14:paraId="3D2B356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Test kits</w:t>
            </w:r>
          </w:p>
        </w:tc>
        <w:tc>
          <w:tcPr>
            <w:tcW w:w="1365" w:type="dxa"/>
            <w:tcMar>
              <w:top w:w="150" w:type="dxa"/>
              <w:left w:w="240" w:type="dxa"/>
              <w:bottom w:w="150" w:type="dxa"/>
              <w:right w:w="240" w:type="dxa"/>
            </w:tcMar>
            <w:vAlign w:val="center"/>
            <w:hideMark/>
          </w:tcPr>
          <w:p w14:paraId="3DADBF6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Mar>
              <w:top w:w="150" w:type="dxa"/>
              <w:left w:w="240" w:type="dxa"/>
              <w:bottom w:w="150" w:type="dxa"/>
              <w:right w:w="0" w:type="dxa"/>
            </w:tcMar>
            <w:vAlign w:val="center"/>
            <w:hideMark/>
          </w:tcPr>
          <w:p w14:paraId="4D95020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22</w:t>
            </w:r>
          </w:p>
        </w:tc>
      </w:tr>
      <w:tr w:rsidR="007E0E28" w:rsidRPr="00D26260" w14:paraId="06BD25FC" w14:textId="77777777" w:rsidTr="00D26260">
        <w:tc>
          <w:tcPr>
            <w:tcW w:w="3064" w:type="dxa"/>
            <w:tcMar>
              <w:top w:w="150" w:type="dxa"/>
              <w:left w:w="0" w:type="dxa"/>
              <w:bottom w:w="150" w:type="dxa"/>
              <w:right w:w="240" w:type="dxa"/>
            </w:tcMar>
            <w:vAlign w:val="center"/>
            <w:hideMark/>
          </w:tcPr>
          <w:p w14:paraId="0AEA238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Intrants/consumables</w:t>
            </w:r>
          </w:p>
        </w:tc>
        <w:tc>
          <w:tcPr>
            <w:tcW w:w="1365" w:type="dxa"/>
            <w:tcMar>
              <w:top w:w="150" w:type="dxa"/>
              <w:left w:w="240" w:type="dxa"/>
              <w:bottom w:w="150" w:type="dxa"/>
              <w:right w:w="240" w:type="dxa"/>
            </w:tcMar>
            <w:vAlign w:val="center"/>
            <w:hideMark/>
          </w:tcPr>
          <w:p w14:paraId="5360E10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Mar>
              <w:top w:w="150" w:type="dxa"/>
              <w:left w:w="240" w:type="dxa"/>
              <w:bottom w:w="150" w:type="dxa"/>
              <w:right w:w="0" w:type="dxa"/>
            </w:tcMar>
            <w:vAlign w:val="center"/>
            <w:hideMark/>
          </w:tcPr>
          <w:p w14:paraId="46A6C41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r>
      <w:tr w:rsidR="007E0E28" w:rsidRPr="00D26260" w14:paraId="02692D40" w14:textId="77777777" w:rsidTr="00D26260">
        <w:tc>
          <w:tcPr>
            <w:tcW w:w="3064" w:type="dxa"/>
            <w:tcMar>
              <w:top w:w="150" w:type="dxa"/>
              <w:left w:w="0" w:type="dxa"/>
              <w:bottom w:w="150" w:type="dxa"/>
              <w:right w:w="240" w:type="dxa"/>
            </w:tcMar>
            <w:vAlign w:val="center"/>
            <w:hideMark/>
          </w:tcPr>
          <w:p w14:paraId="2166EB8C"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Service delivery tools</w:t>
            </w:r>
          </w:p>
        </w:tc>
        <w:tc>
          <w:tcPr>
            <w:tcW w:w="1365" w:type="dxa"/>
            <w:tcMar>
              <w:top w:w="150" w:type="dxa"/>
              <w:left w:w="240" w:type="dxa"/>
              <w:bottom w:w="150" w:type="dxa"/>
              <w:right w:w="240" w:type="dxa"/>
            </w:tcMar>
            <w:vAlign w:val="center"/>
            <w:hideMark/>
          </w:tcPr>
          <w:p w14:paraId="046719C7"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Mar>
              <w:top w:w="150" w:type="dxa"/>
              <w:left w:w="240" w:type="dxa"/>
              <w:bottom w:w="150" w:type="dxa"/>
              <w:right w:w="0" w:type="dxa"/>
            </w:tcMar>
            <w:vAlign w:val="center"/>
            <w:hideMark/>
          </w:tcPr>
          <w:p w14:paraId="02549873"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65</w:t>
            </w:r>
          </w:p>
        </w:tc>
      </w:tr>
      <w:tr w:rsidR="007E0E28" w:rsidRPr="00D26260" w14:paraId="51689312" w14:textId="77777777" w:rsidTr="00D26260">
        <w:tc>
          <w:tcPr>
            <w:tcW w:w="3064" w:type="dxa"/>
            <w:tcMar>
              <w:top w:w="150" w:type="dxa"/>
              <w:left w:w="0" w:type="dxa"/>
              <w:bottom w:w="150" w:type="dxa"/>
              <w:right w:w="240" w:type="dxa"/>
            </w:tcMar>
            <w:vAlign w:val="center"/>
            <w:hideMark/>
          </w:tcPr>
          <w:p w14:paraId="17F9AFF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Reporting tools</w:t>
            </w:r>
          </w:p>
        </w:tc>
        <w:tc>
          <w:tcPr>
            <w:tcW w:w="1365" w:type="dxa"/>
            <w:tcMar>
              <w:top w:w="150" w:type="dxa"/>
              <w:left w:w="240" w:type="dxa"/>
              <w:bottom w:w="150" w:type="dxa"/>
              <w:right w:w="240" w:type="dxa"/>
            </w:tcMar>
            <w:vAlign w:val="center"/>
            <w:hideMark/>
          </w:tcPr>
          <w:p w14:paraId="60DF8A2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Mar>
              <w:top w:w="150" w:type="dxa"/>
              <w:left w:w="240" w:type="dxa"/>
              <w:bottom w:w="150" w:type="dxa"/>
              <w:right w:w="0" w:type="dxa"/>
            </w:tcMar>
            <w:vAlign w:val="center"/>
            <w:hideMark/>
          </w:tcPr>
          <w:p w14:paraId="7AC4226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r>
      <w:tr w:rsidR="007E0E28" w:rsidRPr="00D26260" w14:paraId="5547BE14" w14:textId="77777777" w:rsidTr="00D26260">
        <w:tc>
          <w:tcPr>
            <w:tcW w:w="3064" w:type="dxa"/>
            <w:tcMar>
              <w:top w:w="150" w:type="dxa"/>
              <w:left w:w="0" w:type="dxa"/>
              <w:bottom w:w="150" w:type="dxa"/>
              <w:right w:w="240" w:type="dxa"/>
            </w:tcMar>
            <w:vAlign w:val="center"/>
            <w:hideMark/>
          </w:tcPr>
          <w:p w14:paraId="33DF08A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Supervision tools</w:t>
            </w:r>
          </w:p>
        </w:tc>
        <w:tc>
          <w:tcPr>
            <w:tcW w:w="1365" w:type="dxa"/>
            <w:tcMar>
              <w:top w:w="150" w:type="dxa"/>
              <w:left w:w="240" w:type="dxa"/>
              <w:bottom w:w="150" w:type="dxa"/>
              <w:right w:w="240" w:type="dxa"/>
            </w:tcMar>
            <w:vAlign w:val="center"/>
            <w:hideMark/>
          </w:tcPr>
          <w:p w14:paraId="0E5BFD2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Mar>
              <w:top w:w="150" w:type="dxa"/>
              <w:left w:w="240" w:type="dxa"/>
              <w:bottom w:w="150" w:type="dxa"/>
              <w:right w:w="0" w:type="dxa"/>
            </w:tcMar>
            <w:vAlign w:val="center"/>
            <w:hideMark/>
          </w:tcPr>
          <w:p w14:paraId="7A0CB9F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50</w:t>
            </w:r>
          </w:p>
        </w:tc>
      </w:tr>
      <w:tr w:rsidR="007E0E28" w:rsidRPr="00D26260" w14:paraId="6738E999" w14:textId="77777777" w:rsidTr="00D26260">
        <w:tc>
          <w:tcPr>
            <w:tcW w:w="3064" w:type="dxa"/>
            <w:tcMar>
              <w:top w:w="150" w:type="dxa"/>
              <w:left w:w="0" w:type="dxa"/>
              <w:bottom w:w="150" w:type="dxa"/>
              <w:right w:w="240" w:type="dxa"/>
            </w:tcMar>
            <w:vAlign w:val="center"/>
            <w:hideMark/>
          </w:tcPr>
          <w:p w14:paraId="3C53F4A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Data collection tools</w:t>
            </w:r>
          </w:p>
        </w:tc>
        <w:tc>
          <w:tcPr>
            <w:tcW w:w="1365" w:type="dxa"/>
            <w:tcMar>
              <w:top w:w="150" w:type="dxa"/>
              <w:left w:w="240" w:type="dxa"/>
              <w:bottom w:w="150" w:type="dxa"/>
              <w:right w:w="240" w:type="dxa"/>
            </w:tcMar>
            <w:vAlign w:val="center"/>
            <w:hideMark/>
          </w:tcPr>
          <w:p w14:paraId="7BDEBB3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100</w:t>
            </w:r>
          </w:p>
        </w:tc>
        <w:tc>
          <w:tcPr>
            <w:tcW w:w="2521" w:type="dxa"/>
            <w:tcMar>
              <w:top w:w="150" w:type="dxa"/>
              <w:left w:w="240" w:type="dxa"/>
              <w:bottom w:w="150" w:type="dxa"/>
              <w:right w:w="0" w:type="dxa"/>
            </w:tcMar>
            <w:vAlign w:val="center"/>
            <w:hideMark/>
          </w:tcPr>
          <w:p w14:paraId="2AC1C89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75</w:t>
            </w:r>
          </w:p>
        </w:tc>
      </w:tr>
    </w:tbl>
    <w:p w14:paraId="0D667AE3"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Key findings:</w:t>
      </w:r>
      <w:r w:rsidRPr="00D26260">
        <w:rPr>
          <w:rFonts w:ascii="Times New Roman" w:eastAsia="Times New Roman" w:hAnsi="Times New Roman" w:cs="Times New Roman"/>
          <w:color w:val="0F1115"/>
          <w:kern w:val="0"/>
          <w14:ligatures w14:val="none"/>
        </w:rPr>
        <w:t> Test kits were critically deficient (22% availability), as were supervision tools (50%) and equipment (64%). Infrastructure was adequate in 72% of cases.</w:t>
      </w:r>
    </w:p>
    <w:p w14:paraId="2F8503F3"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3.3. Sociodemographic Characteristics of Participants</w:t>
      </w:r>
    </w:p>
    <w:p w14:paraId="686B8310" w14:textId="77777777" w:rsidR="00D26260" w:rsidRDefault="00D26260" w:rsidP="007E0E28">
      <w:pPr>
        <w:shd w:val="clear" w:color="auto" w:fill="FFFFFF"/>
        <w:spacing w:before="240" w:after="240" w:line="420" w:lineRule="atLeast"/>
        <w:rPr>
          <w:rFonts w:ascii="Times New Roman" w:eastAsia="Times New Roman" w:hAnsi="Times New Roman" w:cs="Times New Roman"/>
          <w:b/>
          <w:bCs/>
          <w:color w:val="0F1115"/>
          <w:kern w:val="0"/>
          <w14:ligatures w14:val="none"/>
        </w:rPr>
      </w:pPr>
    </w:p>
    <w:p w14:paraId="1CF53E92" w14:textId="4C7CBD00"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lastRenderedPageBreak/>
        <w:t>Table 3</w:t>
      </w:r>
      <w:r w:rsidRPr="00D26260">
        <w:rPr>
          <w:rFonts w:ascii="Times New Roman" w:eastAsia="Times New Roman" w:hAnsi="Times New Roman" w:cs="Times New Roman"/>
          <w:color w:val="0F1115"/>
          <w:kern w:val="0"/>
          <w14:ligatures w14:val="none"/>
        </w:rPr>
        <w:t> summarizes the characteristics of the 116 pregnant women.</w:t>
      </w:r>
    </w:p>
    <w:p w14:paraId="076E30D9" w14:textId="16F04595"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*Sociodemographic Characteristics of Participants (N=116)*</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45"/>
        <w:gridCol w:w="3623"/>
        <w:gridCol w:w="825"/>
        <w:gridCol w:w="710"/>
      </w:tblGrid>
      <w:tr w:rsidR="007E0E28" w:rsidRPr="00D26260" w14:paraId="6A855353" w14:textId="77777777" w:rsidTr="00D2626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954A516"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F4E15EF"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1AC3C9A"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79DC46D"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w:t>
            </w:r>
          </w:p>
        </w:tc>
      </w:tr>
      <w:tr w:rsidR="007E0E28" w:rsidRPr="00D26260" w14:paraId="281D12CF" w14:textId="77777777" w:rsidTr="00D26260">
        <w:tc>
          <w:tcPr>
            <w:tcW w:w="0" w:type="auto"/>
            <w:tcBorders>
              <w:top w:val="single" w:sz="4" w:space="0" w:color="auto"/>
            </w:tcBorders>
            <w:tcMar>
              <w:top w:w="150" w:type="dxa"/>
              <w:left w:w="0" w:type="dxa"/>
              <w:bottom w:w="150" w:type="dxa"/>
              <w:right w:w="240" w:type="dxa"/>
            </w:tcMar>
            <w:vAlign w:val="center"/>
            <w:hideMark/>
          </w:tcPr>
          <w:p w14:paraId="17DA8D2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Age (years)</w:t>
            </w:r>
          </w:p>
        </w:tc>
        <w:tc>
          <w:tcPr>
            <w:tcW w:w="0" w:type="auto"/>
            <w:tcBorders>
              <w:top w:val="single" w:sz="4" w:space="0" w:color="auto"/>
            </w:tcBorders>
            <w:tcMar>
              <w:top w:w="150" w:type="dxa"/>
              <w:left w:w="240" w:type="dxa"/>
              <w:bottom w:w="150" w:type="dxa"/>
              <w:right w:w="240" w:type="dxa"/>
            </w:tcMar>
            <w:vAlign w:val="center"/>
            <w:hideMark/>
          </w:tcPr>
          <w:p w14:paraId="3666615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&lt;20</w:t>
            </w:r>
          </w:p>
        </w:tc>
        <w:tc>
          <w:tcPr>
            <w:tcW w:w="0" w:type="auto"/>
            <w:tcBorders>
              <w:top w:val="single" w:sz="4" w:space="0" w:color="auto"/>
            </w:tcBorders>
            <w:tcMar>
              <w:top w:w="150" w:type="dxa"/>
              <w:left w:w="240" w:type="dxa"/>
              <w:bottom w:w="150" w:type="dxa"/>
              <w:right w:w="240" w:type="dxa"/>
            </w:tcMar>
            <w:vAlign w:val="center"/>
            <w:hideMark/>
          </w:tcPr>
          <w:p w14:paraId="10B0513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22</w:t>
            </w:r>
          </w:p>
        </w:tc>
        <w:tc>
          <w:tcPr>
            <w:tcW w:w="0" w:type="auto"/>
            <w:tcBorders>
              <w:top w:val="single" w:sz="4" w:space="0" w:color="auto"/>
            </w:tcBorders>
            <w:tcMar>
              <w:top w:w="150" w:type="dxa"/>
              <w:left w:w="240" w:type="dxa"/>
              <w:bottom w:w="150" w:type="dxa"/>
              <w:right w:w="0" w:type="dxa"/>
            </w:tcMar>
            <w:vAlign w:val="center"/>
            <w:hideMark/>
          </w:tcPr>
          <w:p w14:paraId="5727ACC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19.1</w:t>
            </w:r>
          </w:p>
        </w:tc>
      </w:tr>
      <w:tr w:rsidR="007E0E28" w:rsidRPr="00D26260" w14:paraId="47630D58" w14:textId="77777777" w:rsidTr="00D26260">
        <w:tc>
          <w:tcPr>
            <w:tcW w:w="0" w:type="auto"/>
            <w:tcMar>
              <w:top w:w="150" w:type="dxa"/>
              <w:left w:w="0" w:type="dxa"/>
              <w:bottom w:w="150" w:type="dxa"/>
              <w:right w:w="240" w:type="dxa"/>
            </w:tcMar>
            <w:vAlign w:val="center"/>
            <w:hideMark/>
          </w:tcPr>
          <w:p w14:paraId="7E675CF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E66AB2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20–29</w:t>
            </w:r>
          </w:p>
        </w:tc>
        <w:tc>
          <w:tcPr>
            <w:tcW w:w="0" w:type="auto"/>
            <w:tcMar>
              <w:top w:w="150" w:type="dxa"/>
              <w:left w:w="240" w:type="dxa"/>
              <w:bottom w:w="150" w:type="dxa"/>
              <w:right w:w="240" w:type="dxa"/>
            </w:tcMar>
            <w:vAlign w:val="center"/>
            <w:hideMark/>
          </w:tcPr>
          <w:p w14:paraId="23BFCF6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0" w:type="dxa"/>
            </w:tcMar>
            <w:vAlign w:val="center"/>
            <w:hideMark/>
          </w:tcPr>
          <w:p w14:paraId="1084880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34.4</w:t>
            </w:r>
          </w:p>
        </w:tc>
      </w:tr>
      <w:tr w:rsidR="007E0E28" w:rsidRPr="00D26260" w14:paraId="0FBCA2F2" w14:textId="77777777" w:rsidTr="00D26260">
        <w:tc>
          <w:tcPr>
            <w:tcW w:w="0" w:type="auto"/>
            <w:tcMar>
              <w:top w:w="150" w:type="dxa"/>
              <w:left w:w="0" w:type="dxa"/>
              <w:bottom w:w="150" w:type="dxa"/>
              <w:right w:w="240" w:type="dxa"/>
            </w:tcMar>
            <w:vAlign w:val="center"/>
            <w:hideMark/>
          </w:tcPr>
          <w:p w14:paraId="3E03C787"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20A68BA"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30–39</w:t>
            </w:r>
          </w:p>
        </w:tc>
        <w:tc>
          <w:tcPr>
            <w:tcW w:w="0" w:type="auto"/>
            <w:tcMar>
              <w:top w:w="150" w:type="dxa"/>
              <w:left w:w="240" w:type="dxa"/>
              <w:bottom w:w="150" w:type="dxa"/>
              <w:right w:w="240" w:type="dxa"/>
            </w:tcMar>
            <w:vAlign w:val="center"/>
            <w:hideMark/>
          </w:tcPr>
          <w:p w14:paraId="54606383"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52</w:t>
            </w:r>
          </w:p>
        </w:tc>
        <w:tc>
          <w:tcPr>
            <w:tcW w:w="0" w:type="auto"/>
            <w:tcMar>
              <w:top w:w="150" w:type="dxa"/>
              <w:left w:w="240" w:type="dxa"/>
              <w:bottom w:w="150" w:type="dxa"/>
              <w:right w:w="0" w:type="dxa"/>
            </w:tcMar>
            <w:vAlign w:val="center"/>
            <w:hideMark/>
          </w:tcPr>
          <w:p w14:paraId="10D67E6C"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44.8</w:t>
            </w:r>
          </w:p>
        </w:tc>
      </w:tr>
      <w:tr w:rsidR="007E0E28" w:rsidRPr="00D26260" w14:paraId="15DBADB4" w14:textId="77777777" w:rsidTr="00D26260">
        <w:tc>
          <w:tcPr>
            <w:tcW w:w="0" w:type="auto"/>
            <w:tcMar>
              <w:top w:w="150" w:type="dxa"/>
              <w:left w:w="0" w:type="dxa"/>
              <w:bottom w:w="150" w:type="dxa"/>
              <w:right w:w="240" w:type="dxa"/>
            </w:tcMar>
            <w:vAlign w:val="center"/>
            <w:hideMark/>
          </w:tcPr>
          <w:p w14:paraId="52C3C9B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C1F883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240" w:type="dxa"/>
            </w:tcMar>
            <w:vAlign w:val="center"/>
            <w:hideMark/>
          </w:tcPr>
          <w:p w14:paraId="20B8978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0" w:type="dxa"/>
            </w:tcMar>
            <w:vAlign w:val="center"/>
            <w:hideMark/>
          </w:tcPr>
          <w:p w14:paraId="649A7DD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1.7</w:t>
            </w:r>
          </w:p>
        </w:tc>
      </w:tr>
      <w:tr w:rsidR="007E0E28" w:rsidRPr="00D26260" w14:paraId="60C77A03" w14:textId="77777777" w:rsidTr="00D26260">
        <w:tc>
          <w:tcPr>
            <w:tcW w:w="0" w:type="auto"/>
            <w:tcMar>
              <w:top w:w="150" w:type="dxa"/>
              <w:left w:w="0" w:type="dxa"/>
              <w:bottom w:w="150" w:type="dxa"/>
              <w:right w:w="240" w:type="dxa"/>
            </w:tcMar>
            <w:vAlign w:val="center"/>
            <w:hideMark/>
          </w:tcPr>
          <w:p w14:paraId="27A3962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Occupation</w:t>
            </w:r>
          </w:p>
        </w:tc>
        <w:tc>
          <w:tcPr>
            <w:tcW w:w="0" w:type="auto"/>
            <w:tcMar>
              <w:top w:w="150" w:type="dxa"/>
              <w:left w:w="240" w:type="dxa"/>
              <w:bottom w:w="150" w:type="dxa"/>
              <w:right w:w="240" w:type="dxa"/>
            </w:tcMar>
            <w:vAlign w:val="center"/>
            <w:hideMark/>
          </w:tcPr>
          <w:p w14:paraId="49C32B4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Housewife</w:t>
            </w:r>
          </w:p>
        </w:tc>
        <w:tc>
          <w:tcPr>
            <w:tcW w:w="0" w:type="auto"/>
            <w:tcMar>
              <w:top w:w="150" w:type="dxa"/>
              <w:left w:w="240" w:type="dxa"/>
              <w:bottom w:w="150" w:type="dxa"/>
              <w:right w:w="240" w:type="dxa"/>
            </w:tcMar>
            <w:vAlign w:val="center"/>
            <w:hideMark/>
          </w:tcPr>
          <w:p w14:paraId="5F5F5073"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57</w:t>
            </w:r>
          </w:p>
        </w:tc>
        <w:tc>
          <w:tcPr>
            <w:tcW w:w="0" w:type="auto"/>
            <w:tcMar>
              <w:top w:w="150" w:type="dxa"/>
              <w:left w:w="240" w:type="dxa"/>
              <w:bottom w:w="150" w:type="dxa"/>
              <w:right w:w="0" w:type="dxa"/>
            </w:tcMar>
            <w:vAlign w:val="center"/>
            <w:hideMark/>
          </w:tcPr>
          <w:p w14:paraId="669E44E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49.1</w:t>
            </w:r>
          </w:p>
        </w:tc>
      </w:tr>
      <w:tr w:rsidR="007E0E28" w:rsidRPr="00D26260" w14:paraId="1ACCD53E" w14:textId="77777777" w:rsidTr="00D26260">
        <w:tc>
          <w:tcPr>
            <w:tcW w:w="0" w:type="auto"/>
            <w:tcMar>
              <w:top w:w="150" w:type="dxa"/>
              <w:left w:w="0" w:type="dxa"/>
              <w:bottom w:w="150" w:type="dxa"/>
              <w:right w:w="240" w:type="dxa"/>
            </w:tcMar>
            <w:vAlign w:val="center"/>
            <w:hideMark/>
          </w:tcPr>
          <w:p w14:paraId="5FA0A23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07C5C7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Trader</w:t>
            </w:r>
          </w:p>
        </w:tc>
        <w:tc>
          <w:tcPr>
            <w:tcW w:w="0" w:type="auto"/>
            <w:tcMar>
              <w:top w:w="150" w:type="dxa"/>
              <w:left w:w="240" w:type="dxa"/>
              <w:bottom w:w="150" w:type="dxa"/>
              <w:right w:w="240" w:type="dxa"/>
            </w:tcMar>
            <w:vAlign w:val="center"/>
            <w:hideMark/>
          </w:tcPr>
          <w:p w14:paraId="2DF33EE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67C20F2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17.2</w:t>
            </w:r>
          </w:p>
        </w:tc>
      </w:tr>
      <w:tr w:rsidR="007E0E28" w:rsidRPr="00D26260" w14:paraId="6C6A63CD" w14:textId="77777777" w:rsidTr="00D26260">
        <w:tc>
          <w:tcPr>
            <w:tcW w:w="0" w:type="auto"/>
            <w:tcMar>
              <w:top w:w="150" w:type="dxa"/>
              <w:left w:w="0" w:type="dxa"/>
              <w:bottom w:w="150" w:type="dxa"/>
              <w:right w:w="240" w:type="dxa"/>
            </w:tcMar>
            <w:vAlign w:val="center"/>
            <w:hideMark/>
          </w:tcPr>
          <w:p w14:paraId="3F1D5F3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4DAF44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Seamstress</w:t>
            </w:r>
          </w:p>
        </w:tc>
        <w:tc>
          <w:tcPr>
            <w:tcW w:w="0" w:type="auto"/>
            <w:tcMar>
              <w:top w:w="150" w:type="dxa"/>
              <w:left w:w="240" w:type="dxa"/>
              <w:bottom w:w="150" w:type="dxa"/>
              <w:right w:w="240" w:type="dxa"/>
            </w:tcMar>
            <w:vAlign w:val="center"/>
            <w:hideMark/>
          </w:tcPr>
          <w:p w14:paraId="3EDA618C"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16</w:t>
            </w:r>
          </w:p>
        </w:tc>
        <w:tc>
          <w:tcPr>
            <w:tcW w:w="0" w:type="auto"/>
            <w:tcMar>
              <w:top w:w="150" w:type="dxa"/>
              <w:left w:w="240" w:type="dxa"/>
              <w:bottom w:w="150" w:type="dxa"/>
              <w:right w:w="0" w:type="dxa"/>
            </w:tcMar>
            <w:vAlign w:val="center"/>
            <w:hideMark/>
          </w:tcPr>
          <w:p w14:paraId="5ADD073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13.7</w:t>
            </w:r>
          </w:p>
        </w:tc>
      </w:tr>
      <w:tr w:rsidR="007E0E28" w:rsidRPr="00D26260" w14:paraId="33BD6D61" w14:textId="77777777" w:rsidTr="00D26260">
        <w:tc>
          <w:tcPr>
            <w:tcW w:w="0" w:type="auto"/>
            <w:tcMar>
              <w:top w:w="150" w:type="dxa"/>
              <w:left w:w="0" w:type="dxa"/>
              <w:bottom w:w="150" w:type="dxa"/>
              <w:right w:w="240" w:type="dxa"/>
            </w:tcMar>
            <w:vAlign w:val="center"/>
            <w:hideMark/>
          </w:tcPr>
          <w:p w14:paraId="4883B0B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F1F8FC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Student/pupil</w:t>
            </w:r>
          </w:p>
        </w:tc>
        <w:tc>
          <w:tcPr>
            <w:tcW w:w="0" w:type="auto"/>
            <w:tcMar>
              <w:top w:w="150" w:type="dxa"/>
              <w:left w:w="240" w:type="dxa"/>
              <w:bottom w:w="150" w:type="dxa"/>
              <w:right w:w="240" w:type="dxa"/>
            </w:tcMar>
            <w:vAlign w:val="center"/>
            <w:hideMark/>
          </w:tcPr>
          <w:p w14:paraId="78DBDF0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26089EB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8.6</w:t>
            </w:r>
          </w:p>
        </w:tc>
      </w:tr>
      <w:tr w:rsidR="007E0E28" w:rsidRPr="00D26260" w14:paraId="70B12B81" w14:textId="77777777" w:rsidTr="00D26260">
        <w:tc>
          <w:tcPr>
            <w:tcW w:w="0" w:type="auto"/>
            <w:tcMar>
              <w:top w:w="150" w:type="dxa"/>
              <w:left w:w="0" w:type="dxa"/>
              <w:bottom w:w="150" w:type="dxa"/>
              <w:right w:w="240" w:type="dxa"/>
            </w:tcMar>
            <w:vAlign w:val="center"/>
            <w:hideMark/>
          </w:tcPr>
          <w:p w14:paraId="051A041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21BEF1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Civil servant</w:t>
            </w:r>
          </w:p>
        </w:tc>
        <w:tc>
          <w:tcPr>
            <w:tcW w:w="0" w:type="auto"/>
            <w:tcMar>
              <w:top w:w="150" w:type="dxa"/>
              <w:left w:w="240" w:type="dxa"/>
              <w:bottom w:w="150" w:type="dxa"/>
              <w:right w:w="240" w:type="dxa"/>
            </w:tcMar>
            <w:vAlign w:val="center"/>
            <w:hideMark/>
          </w:tcPr>
          <w:p w14:paraId="14B07EE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0" w:type="dxa"/>
            </w:tcMar>
            <w:vAlign w:val="center"/>
            <w:hideMark/>
          </w:tcPr>
          <w:p w14:paraId="52004DB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7.8</w:t>
            </w:r>
          </w:p>
        </w:tc>
      </w:tr>
      <w:tr w:rsidR="007E0E28" w:rsidRPr="00D26260" w14:paraId="71811183" w14:textId="77777777" w:rsidTr="00D26260">
        <w:tc>
          <w:tcPr>
            <w:tcW w:w="0" w:type="auto"/>
            <w:tcMar>
              <w:top w:w="150" w:type="dxa"/>
              <w:left w:w="0" w:type="dxa"/>
              <w:bottom w:w="150" w:type="dxa"/>
              <w:right w:w="240" w:type="dxa"/>
            </w:tcMar>
            <w:vAlign w:val="center"/>
            <w:hideMark/>
          </w:tcPr>
          <w:p w14:paraId="57DEFA8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03D36C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676C2DB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0" w:type="dxa"/>
            </w:tcMar>
            <w:vAlign w:val="center"/>
            <w:hideMark/>
          </w:tcPr>
          <w:p w14:paraId="3C21A343"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3.4</w:t>
            </w:r>
          </w:p>
        </w:tc>
      </w:tr>
      <w:tr w:rsidR="007E0E28" w:rsidRPr="00D26260" w14:paraId="5F26E9C0" w14:textId="77777777" w:rsidTr="00D26260">
        <w:tc>
          <w:tcPr>
            <w:tcW w:w="0" w:type="auto"/>
            <w:tcMar>
              <w:top w:w="150" w:type="dxa"/>
              <w:left w:w="0" w:type="dxa"/>
              <w:bottom w:w="150" w:type="dxa"/>
              <w:right w:w="240" w:type="dxa"/>
            </w:tcMar>
            <w:vAlign w:val="center"/>
            <w:hideMark/>
          </w:tcPr>
          <w:p w14:paraId="7F89B61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Education</w:t>
            </w:r>
          </w:p>
        </w:tc>
        <w:tc>
          <w:tcPr>
            <w:tcW w:w="0" w:type="auto"/>
            <w:tcMar>
              <w:top w:w="150" w:type="dxa"/>
              <w:left w:w="240" w:type="dxa"/>
              <w:bottom w:w="150" w:type="dxa"/>
              <w:right w:w="240" w:type="dxa"/>
            </w:tcMar>
            <w:vAlign w:val="center"/>
            <w:hideMark/>
          </w:tcPr>
          <w:p w14:paraId="611A7E2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None</w:t>
            </w:r>
          </w:p>
        </w:tc>
        <w:tc>
          <w:tcPr>
            <w:tcW w:w="0" w:type="auto"/>
            <w:tcMar>
              <w:top w:w="150" w:type="dxa"/>
              <w:left w:w="240" w:type="dxa"/>
              <w:bottom w:w="150" w:type="dxa"/>
              <w:right w:w="240" w:type="dxa"/>
            </w:tcMar>
            <w:vAlign w:val="center"/>
            <w:hideMark/>
          </w:tcPr>
          <w:p w14:paraId="5067294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20A7C46A"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6.9</w:t>
            </w:r>
          </w:p>
        </w:tc>
      </w:tr>
      <w:tr w:rsidR="007E0E28" w:rsidRPr="00D26260" w14:paraId="0D8A1D66" w14:textId="77777777" w:rsidTr="00D26260">
        <w:tc>
          <w:tcPr>
            <w:tcW w:w="0" w:type="auto"/>
            <w:tcMar>
              <w:top w:w="150" w:type="dxa"/>
              <w:left w:w="0" w:type="dxa"/>
              <w:bottom w:w="150" w:type="dxa"/>
              <w:right w:w="240" w:type="dxa"/>
            </w:tcMar>
            <w:vAlign w:val="center"/>
            <w:hideMark/>
          </w:tcPr>
          <w:p w14:paraId="72E2636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20B915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Primary</w:t>
            </w:r>
          </w:p>
        </w:tc>
        <w:tc>
          <w:tcPr>
            <w:tcW w:w="0" w:type="auto"/>
            <w:tcMar>
              <w:top w:w="150" w:type="dxa"/>
              <w:left w:w="240" w:type="dxa"/>
              <w:bottom w:w="150" w:type="dxa"/>
              <w:right w:w="240" w:type="dxa"/>
            </w:tcMar>
            <w:vAlign w:val="center"/>
            <w:hideMark/>
          </w:tcPr>
          <w:p w14:paraId="40D4E39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56</w:t>
            </w:r>
          </w:p>
        </w:tc>
        <w:tc>
          <w:tcPr>
            <w:tcW w:w="0" w:type="auto"/>
            <w:tcMar>
              <w:top w:w="150" w:type="dxa"/>
              <w:left w:w="240" w:type="dxa"/>
              <w:bottom w:w="150" w:type="dxa"/>
              <w:right w:w="0" w:type="dxa"/>
            </w:tcMar>
            <w:vAlign w:val="center"/>
            <w:hideMark/>
          </w:tcPr>
          <w:p w14:paraId="422B2DD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48.3</w:t>
            </w:r>
          </w:p>
        </w:tc>
      </w:tr>
      <w:tr w:rsidR="007E0E28" w:rsidRPr="00D26260" w14:paraId="7A162EE0" w14:textId="77777777" w:rsidTr="00D26260">
        <w:tc>
          <w:tcPr>
            <w:tcW w:w="0" w:type="auto"/>
            <w:tcMar>
              <w:top w:w="150" w:type="dxa"/>
              <w:left w:w="0" w:type="dxa"/>
              <w:bottom w:w="150" w:type="dxa"/>
              <w:right w:w="240" w:type="dxa"/>
            </w:tcMar>
            <w:vAlign w:val="center"/>
            <w:hideMark/>
          </w:tcPr>
          <w:p w14:paraId="06967D7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657120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Secondary</w:t>
            </w:r>
          </w:p>
        </w:tc>
        <w:tc>
          <w:tcPr>
            <w:tcW w:w="0" w:type="auto"/>
            <w:tcMar>
              <w:top w:w="150" w:type="dxa"/>
              <w:left w:w="240" w:type="dxa"/>
              <w:bottom w:w="150" w:type="dxa"/>
              <w:right w:w="240" w:type="dxa"/>
            </w:tcMar>
            <w:vAlign w:val="center"/>
            <w:hideMark/>
          </w:tcPr>
          <w:p w14:paraId="655C207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22</w:t>
            </w:r>
          </w:p>
        </w:tc>
        <w:tc>
          <w:tcPr>
            <w:tcW w:w="0" w:type="auto"/>
            <w:tcMar>
              <w:top w:w="150" w:type="dxa"/>
              <w:left w:w="240" w:type="dxa"/>
              <w:bottom w:w="150" w:type="dxa"/>
              <w:right w:w="0" w:type="dxa"/>
            </w:tcMar>
            <w:vAlign w:val="center"/>
            <w:hideMark/>
          </w:tcPr>
          <w:p w14:paraId="1A56415C"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19.0</w:t>
            </w:r>
          </w:p>
        </w:tc>
      </w:tr>
      <w:tr w:rsidR="007E0E28" w:rsidRPr="00D26260" w14:paraId="4F0404BD" w14:textId="77777777" w:rsidTr="00D26260">
        <w:tc>
          <w:tcPr>
            <w:tcW w:w="0" w:type="auto"/>
            <w:tcMar>
              <w:top w:w="150" w:type="dxa"/>
              <w:left w:w="0" w:type="dxa"/>
              <w:bottom w:w="150" w:type="dxa"/>
              <w:right w:w="240" w:type="dxa"/>
            </w:tcMar>
            <w:vAlign w:val="center"/>
            <w:hideMark/>
          </w:tcPr>
          <w:p w14:paraId="40113A0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FEB81D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Higher</w:t>
            </w:r>
          </w:p>
        </w:tc>
        <w:tc>
          <w:tcPr>
            <w:tcW w:w="0" w:type="auto"/>
            <w:tcMar>
              <w:top w:w="150" w:type="dxa"/>
              <w:left w:w="240" w:type="dxa"/>
              <w:bottom w:w="150" w:type="dxa"/>
              <w:right w:w="240" w:type="dxa"/>
            </w:tcMar>
            <w:vAlign w:val="center"/>
            <w:hideMark/>
          </w:tcPr>
          <w:p w14:paraId="38E125D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30768CC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10.3</w:t>
            </w:r>
          </w:p>
        </w:tc>
      </w:tr>
      <w:tr w:rsidR="007E0E28" w:rsidRPr="00D26260" w14:paraId="150295E5" w14:textId="77777777" w:rsidTr="00D26260">
        <w:tc>
          <w:tcPr>
            <w:tcW w:w="0" w:type="auto"/>
            <w:tcMar>
              <w:top w:w="150" w:type="dxa"/>
              <w:left w:w="0" w:type="dxa"/>
              <w:bottom w:w="150" w:type="dxa"/>
              <w:right w:w="240" w:type="dxa"/>
            </w:tcMar>
            <w:vAlign w:val="center"/>
            <w:hideMark/>
          </w:tcPr>
          <w:p w14:paraId="68369AF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1E369B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Not specified</w:t>
            </w:r>
          </w:p>
        </w:tc>
        <w:tc>
          <w:tcPr>
            <w:tcW w:w="0" w:type="auto"/>
            <w:tcMar>
              <w:top w:w="150" w:type="dxa"/>
              <w:left w:w="240" w:type="dxa"/>
              <w:bottom w:w="150" w:type="dxa"/>
              <w:right w:w="240" w:type="dxa"/>
            </w:tcMar>
            <w:vAlign w:val="center"/>
            <w:hideMark/>
          </w:tcPr>
          <w:p w14:paraId="5C5C7577"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62132F1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15.5</w:t>
            </w:r>
          </w:p>
        </w:tc>
      </w:tr>
      <w:tr w:rsidR="007E0E28" w:rsidRPr="00D26260" w14:paraId="680D97FE" w14:textId="77777777" w:rsidTr="00D26260">
        <w:tc>
          <w:tcPr>
            <w:tcW w:w="0" w:type="auto"/>
            <w:tcMar>
              <w:top w:w="150" w:type="dxa"/>
              <w:left w:w="0" w:type="dxa"/>
              <w:bottom w:w="150" w:type="dxa"/>
              <w:right w:w="240" w:type="dxa"/>
            </w:tcMar>
            <w:vAlign w:val="center"/>
            <w:hideMark/>
          </w:tcPr>
          <w:p w14:paraId="1F3D346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Religion</w:t>
            </w:r>
          </w:p>
        </w:tc>
        <w:tc>
          <w:tcPr>
            <w:tcW w:w="0" w:type="auto"/>
            <w:tcMar>
              <w:top w:w="150" w:type="dxa"/>
              <w:left w:w="240" w:type="dxa"/>
              <w:bottom w:w="150" w:type="dxa"/>
              <w:right w:w="240" w:type="dxa"/>
            </w:tcMar>
            <w:vAlign w:val="center"/>
            <w:hideMark/>
          </w:tcPr>
          <w:p w14:paraId="0A11295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Christian (various denominations)</w:t>
            </w:r>
          </w:p>
        </w:tc>
        <w:tc>
          <w:tcPr>
            <w:tcW w:w="0" w:type="auto"/>
            <w:tcMar>
              <w:top w:w="150" w:type="dxa"/>
              <w:left w:w="240" w:type="dxa"/>
              <w:bottom w:w="150" w:type="dxa"/>
              <w:right w:w="240" w:type="dxa"/>
            </w:tcMar>
            <w:vAlign w:val="center"/>
            <w:hideMark/>
          </w:tcPr>
          <w:p w14:paraId="4F6ADB9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104</w:t>
            </w:r>
          </w:p>
        </w:tc>
        <w:tc>
          <w:tcPr>
            <w:tcW w:w="0" w:type="auto"/>
            <w:tcMar>
              <w:top w:w="150" w:type="dxa"/>
              <w:left w:w="240" w:type="dxa"/>
              <w:bottom w:w="150" w:type="dxa"/>
              <w:right w:w="0" w:type="dxa"/>
            </w:tcMar>
            <w:vAlign w:val="center"/>
            <w:hideMark/>
          </w:tcPr>
          <w:p w14:paraId="517747E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89.7</w:t>
            </w:r>
          </w:p>
        </w:tc>
      </w:tr>
      <w:tr w:rsidR="007E0E28" w:rsidRPr="00D26260" w14:paraId="47177AB3" w14:textId="77777777" w:rsidTr="00D26260">
        <w:tc>
          <w:tcPr>
            <w:tcW w:w="0" w:type="auto"/>
            <w:tcMar>
              <w:top w:w="150" w:type="dxa"/>
              <w:left w:w="0" w:type="dxa"/>
              <w:bottom w:w="150" w:type="dxa"/>
              <w:right w:w="240" w:type="dxa"/>
            </w:tcMar>
            <w:vAlign w:val="center"/>
            <w:hideMark/>
          </w:tcPr>
          <w:p w14:paraId="6C8CE4E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435845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44241B4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38379337"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10.3</w:t>
            </w:r>
          </w:p>
        </w:tc>
      </w:tr>
    </w:tbl>
    <w:p w14:paraId="6ACAF712"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3.4. Knowledge, Attitudes, and Practices Regarding ANC</w:t>
      </w:r>
    </w:p>
    <w:p w14:paraId="077569C6"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lastRenderedPageBreak/>
        <w:t>Timing and frequency knowledge:</w:t>
      </w:r>
      <w:r w:rsidRPr="00D26260">
        <w:rPr>
          <w:rFonts w:ascii="Times New Roman" w:eastAsia="Times New Roman" w:hAnsi="Times New Roman" w:cs="Times New Roman"/>
          <w:color w:val="0F1115"/>
          <w:kern w:val="0"/>
          <w14:ligatures w14:val="none"/>
        </w:rPr>
        <w:t> Only 15.5% of women correctly identified that ANC should begin in the first trimester (&lt;12 weeks). While 44.8% believed ANC should start at 4–5 months, and 34.5% did not know the recommended number of visits (Table 4).</w:t>
      </w:r>
    </w:p>
    <w:p w14:paraId="3E678A8D"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Table 4</w:t>
      </w:r>
      <w:r w:rsidRPr="00D26260">
        <w:rPr>
          <w:rFonts w:ascii="Times New Roman" w:eastAsia="Times New Roman" w:hAnsi="Times New Roman" w:cs="Times New Roman"/>
          <w:color w:val="0F1115"/>
          <w:kern w:val="0"/>
          <w14:ligatures w14:val="none"/>
        </w:rPr>
        <w:br/>
        <w:t>*Knowledge of ANC Timing and Frequency (N=116)*</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645"/>
        <w:gridCol w:w="2309"/>
        <w:gridCol w:w="710"/>
        <w:gridCol w:w="672"/>
      </w:tblGrid>
      <w:tr w:rsidR="007E0E28" w:rsidRPr="00D26260" w14:paraId="3FDF57B0" w14:textId="77777777" w:rsidTr="00D2626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53B10DA"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602359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DCDC24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9A23BDC"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w:t>
            </w:r>
          </w:p>
        </w:tc>
      </w:tr>
      <w:tr w:rsidR="007E0E28" w:rsidRPr="00D26260" w14:paraId="72A680CA" w14:textId="77777777" w:rsidTr="00D26260">
        <w:tc>
          <w:tcPr>
            <w:tcW w:w="0" w:type="auto"/>
            <w:tcBorders>
              <w:top w:val="single" w:sz="4" w:space="0" w:color="auto"/>
            </w:tcBorders>
            <w:tcMar>
              <w:top w:w="150" w:type="dxa"/>
              <w:left w:w="0" w:type="dxa"/>
              <w:bottom w:w="150" w:type="dxa"/>
              <w:right w:w="240" w:type="dxa"/>
            </w:tcMar>
            <w:vAlign w:val="center"/>
            <w:hideMark/>
          </w:tcPr>
          <w:p w14:paraId="7633E2E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Knowledge of when to start ANC</w:t>
            </w:r>
          </w:p>
        </w:tc>
        <w:tc>
          <w:tcPr>
            <w:tcW w:w="0" w:type="auto"/>
            <w:tcBorders>
              <w:top w:val="single" w:sz="4" w:space="0" w:color="auto"/>
            </w:tcBorders>
            <w:tcMar>
              <w:top w:w="150" w:type="dxa"/>
              <w:left w:w="240" w:type="dxa"/>
              <w:bottom w:w="150" w:type="dxa"/>
              <w:right w:w="240" w:type="dxa"/>
            </w:tcMar>
            <w:vAlign w:val="center"/>
            <w:hideMark/>
          </w:tcPr>
          <w:p w14:paraId="3F95EF8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&lt;3 months (correct)</w:t>
            </w:r>
          </w:p>
        </w:tc>
        <w:tc>
          <w:tcPr>
            <w:tcW w:w="0" w:type="auto"/>
            <w:tcBorders>
              <w:top w:val="single" w:sz="4" w:space="0" w:color="auto"/>
            </w:tcBorders>
            <w:tcMar>
              <w:top w:w="150" w:type="dxa"/>
              <w:left w:w="240" w:type="dxa"/>
              <w:bottom w:w="150" w:type="dxa"/>
              <w:right w:w="240" w:type="dxa"/>
            </w:tcMar>
            <w:vAlign w:val="center"/>
            <w:hideMark/>
          </w:tcPr>
          <w:p w14:paraId="7612B587"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18</w:t>
            </w:r>
          </w:p>
        </w:tc>
        <w:tc>
          <w:tcPr>
            <w:tcW w:w="0" w:type="auto"/>
            <w:tcBorders>
              <w:top w:val="single" w:sz="4" w:space="0" w:color="auto"/>
            </w:tcBorders>
            <w:tcMar>
              <w:top w:w="150" w:type="dxa"/>
              <w:left w:w="240" w:type="dxa"/>
              <w:bottom w:w="150" w:type="dxa"/>
              <w:right w:w="0" w:type="dxa"/>
            </w:tcMar>
            <w:vAlign w:val="center"/>
            <w:hideMark/>
          </w:tcPr>
          <w:p w14:paraId="46CAF1A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15.5</w:t>
            </w:r>
          </w:p>
        </w:tc>
      </w:tr>
      <w:tr w:rsidR="007E0E28" w:rsidRPr="00D26260" w14:paraId="672C6E82" w14:textId="77777777" w:rsidTr="00D26260">
        <w:tc>
          <w:tcPr>
            <w:tcW w:w="0" w:type="auto"/>
            <w:tcMar>
              <w:top w:w="150" w:type="dxa"/>
              <w:left w:w="0" w:type="dxa"/>
              <w:bottom w:w="150" w:type="dxa"/>
              <w:right w:w="240" w:type="dxa"/>
            </w:tcMar>
            <w:vAlign w:val="center"/>
            <w:hideMark/>
          </w:tcPr>
          <w:p w14:paraId="78A7CAC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81A343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4–5 months</w:t>
            </w:r>
          </w:p>
        </w:tc>
        <w:tc>
          <w:tcPr>
            <w:tcW w:w="0" w:type="auto"/>
            <w:tcMar>
              <w:top w:w="150" w:type="dxa"/>
              <w:left w:w="240" w:type="dxa"/>
              <w:bottom w:w="150" w:type="dxa"/>
              <w:right w:w="240" w:type="dxa"/>
            </w:tcMar>
            <w:vAlign w:val="center"/>
            <w:hideMark/>
          </w:tcPr>
          <w:p w14:paraId="0052F82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52</w:t>
            </w:r>
          </w:p>
        </w:tc>
        <w:tc>
          <w:tcPr>
            <w:tcW w:w="0" w:type="auto"/>
            <w:tcMar>
              <w:top w:w="150" w:type="dxa"/>
              <w:left w:w="240" w:type="dxa"/>
              <w:bottom w:w="150" w:type="dxa"/>
              <w:right w:w="0" w:type="dxa"/>
            </w:tcMar>
            <w:vAlign w:val="center"/>
            <w:hideMark/>
          </w:tcPr>
          <w:p w14:paraId="0A07C56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44.8</w:t>
            </w:r>
          </w:p>
        </w:tc>
      </w:tr>
      <w:tr w:rsidR="007E0E28" w:rsidRPr="00D26260" w14:paraId="652B767E" w14:textId="77777777" w:rsidTr="00D26260">
        <w:tc>
          <w:tcPr>
            <w:tcW w:w="0" w:type="auto"/>
            <w:tcMar>
              <w:top w:w="150" w:type="dxa"/>
              <w:left w:w="0" w:type="dxa"/>
              <w:bottom w:w="150" w:type="dxa"/>
              <w:right w:w="240" w:type="dxa"/>
            </w:tcMar>
            <w:vAlign w:val="center"/>
            <w:hideMark/>
          </w:tcPr>
          <w:p w14:paraId="2E986FF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90D611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&gt;5 months</w:t>
            </w:r>
          </w:p>
        </w:tc>
        <w:tc>
          <w:tcPr>
            <w:tcW w:w="0" w:type="auto"/>
            <w:tcMar>
              <w:top w:w="150" w:type="dxa"/>
              <w:left w:w="240" w:type="dxa"/>
              <w:bottom w:w="150" w:type="dxa"/>
              <w:right w:w="240" w:type="dxa"/>
            </w:tcMar>
            <w:vAlign w:val="center"/>
            <w:hideMark/>
          </w:tcPr>
          <w:p w14:paraId="0152152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0" w:type="dxa"/>
            </w:tcMar>
            <w:vAlign w:val="center"/>
            <w:hideMark/>
          </w:tcPr>
          <w:p w14:paraId="45017D2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3.4</w:t>
            </w:r>
          </w:p>
        </w:tc>
      </w:tr>
      <w:tr w:rsidR="007E0E28" w:rsidRPr="00D26260" w14:paraId="51534227" w14:textId="77777777" w:rsidTr="00D26260">
        <w:tc>
          <w:tcPr>
            <w:tcW w:w="0" w:type="auto"/>
            <w:tcMar>
              <w:top w:w="150" w:type="dxa"/>
              <w:left w:w="0" w:type="dxa"/>
              <w:bottom w:w="150" w:type="dxa"/>
              <w:right w:w="240" w:type="dxa"/>
            </w:tcMar>
            <w:vAlign w:val="center"/>
            <w:hideMark/>
          </w:tcPr>
          <w:p w14:paraId="4F6DBAF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FAA142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Does not know</w:t>
            </w:r>
          </w:p>
        </w:tc>
        <w:tc>
          <w:tcPr>
            <w:tcW w:w="0" w:type="auto"/>
            <w:tcMar>
              <w:top w:w="150" w:type="dxa"/>
              <w:left w:w="240" w:type="dxa"/>
              <w:bottom w:w="150" w:type="dxa"/>
              <w:right w:w="240" w:type="dxa"/>
            </w:tcMar>
            <w:vAlign w:val="center"/>
            <w:hideMark/>
          </w:tcPr>
          <w:p w14:paraId="7AD4237C"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42</w:t>
            </w:r>
          </w:p>
        </w:tc>
        <w:tc>
          <w:tcPr>
            <w:tcW w:w="0" w:type="auto"/>
            <w:tcMar>
              <w:top w:w="150" w:type="dxa"/>
              <w:left w:w="240" w:type="dxa"/>
              <w:bottom w:w="150" w:type="dxa"/>
              <w:right w:w="0" w:type="dxa"/>
            </w:tcMar>
            <w:vAlign w:val="center"/>
            <w:hideMark/>
          </w:tcPr>
          <w:p w14:paraId="37624DE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36.2</w:t>
            </w:r>
          </w:p>
        </w:tc>
      </w:tr>
      <w:tr w:rsidR="007E0E28" w:rsidRPr="00D26260" w14:paraId="6F41B918" w14:textId="77777777" w:rsidTr="00D26260">
        <w:tc>
          <w:tcPr>
            <w:tcW w:w="0" w:type="auto"/>
            <w:tcMar>
              <w:top w:w="150" w:type="dxa"/>
              <w:left w:w="0" w:type="dxa"/>
              <w:bottom w:w="150" w:type="dxa"/>
              <w:right w:w="240" w:type="dxa"/>
            </w:tcMar>
            <w:vAlign w:val="center"/>
            <w:hideMark/>
          </w:tcPr>
          <w:p w14:paraId="021DA49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Knowledge of number of ANC visits</w:t>
            </w:r>
          </w:p>
        </w:tc>
        <w:tc>
          <w:tcPr>
            <w:tcW w:w="0" w:type="auto"/>
            <w:tcMar>
              <w:top w:w="150" w:type="dxa"/>
              <w:left w:w="240" w:type="dxa"/>
              <w:bottom w:w="150" w:type="dxa"/>
              <w:right w:w="240" w:type="dxa"/>
            </w:tcMar>
            <w:vAlign w:val="center"/>
            <w:hideMark/>
          </w:tcPr>
          <w:p w14:paraId="4640073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 visits</w:t>
            </w:r>
          </w:p>
        </w:tc>
        <w:tc>
          <w:tcPr>
            <w:tcW w:w="0" w:type="auto"/>
            <w:tcMar>
              <w:top w:w="150" w:type="dxa"/>
              <w:left w:w="240" w:type="dxa"/>
              <w:bottom w:w="150" w:type="dxa"/>
              <w:right w:w="240" w:type="dxa"/>
            </w:tcMar>
            <w:vAlign w:val="center"/>
            <w:hideMark/>
          </w:tcPr>
          <w:p w14:paraId="2161214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26463A9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10.3</w:t>
            </w:r>
          </w:p>
        </w:tc>
      </w:tr>
      <w:tr w:rsidR="007E0E28" w:rsidRPr="00D26260" w14:paraId="6834DE14" w14:textId="77777777" w:rsidTr="00D26260">
        <w:tc>
          <w:tcPr>
            <w:tcW w:w="0" w:type="auto"/>
            <w:tcMar>
              <w:top w:w="150" w:type="dxa"/>
              <w:left w:w="0" w:type="dxa"/>
              <w:bottom w:w="150" w:type="dxa"/>
              <w:right w:w="240" w:type="dxa"/>
            </w:tcMar>
            <w:vAlign w:val="center"/>
            <w:hideMark/>
          </w:tcPr>
          <w:p w14:paraId="4766C78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D02536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 visits (correct)</w:t>
            </w:r>
          </w:p>
        </w:tc>
        <w:tc>
          <w:tcPr>
            <w:tcW w:w="0" w:type="auto"/>
            <w:tcMar>
              <w:top w:w="150" w:type="dxa"/>
              <w:left w:w="240" w:type="dxa"/>
              <w:bottom w:w="150" w:type="dxa"/>
              <w:right w:w="240" w:type="dxa"/>
            </w:tcMar>
            <w:vAlign w:val="center"/>
            <w:hideMark/>
          </w:tcPr>
          <w:p w14:paraId="6D464E7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31</w:t>
            </w:r>
          </w:p>
        </w:tc>
        <w:tc>
          <w:tcPr>
            <w:tcW w:w="0" w:type="auto"/>
            <w:tcMar>
              <w:top w:w="150" w:type="dxa"/>
              <w:left w:w="240" w:type="dxa"/>
              <w:bottom w:w="150" w:type="dxa"/>
              <w:right w:w="0" w:type="dxa"/>
            </w:tcMar>
            <w:vAlign w:val="center"/>
            <w:hideMark/>
          </w:tcPr>
          <w:p w14:paraId="3D3CFFFA"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26.7</w:t>
            </w:r>
          </w:p>
        </w:tc>
      </w:tr>
      <w:tr w:rsidR="007E0E28" w:rsidRPr="00D26260" w14:paraId="4C245F68" w14:textId="77777777" w:rsidTr="00D26260">
        <w:tc>
          <w:tcPr>
            <w:tcW w:w="0" w:type="auto"/>
            <w:tcMar>
              <w:top w:w="150" w:type="dxa"/>
              <w:left w:w="0" w:type="dxa"/>
              <w:bottom w:w="150" w:type="dxa"/>
              <w:right w:w="240" w:type="dxa"/>
            </w:tcMar>
            <w:vAlign w:val="center"/>
            <w:hideMark/>
          </w:tcPr>
          <w:p w14:paraId="4F38915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82B810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5 visits</w:t>
            </w:r>
          </w:p>
        </w:tc>
        <w:tc>
          <w:tcPr>
            <w:tcW w:w="0" w:type="auto"/>
            <w:tcMar>
              <w:top w:w="150" w:type="dxa"/>
              <w:left w:w="240" w:type="dxa"/>
              <w:bottom w:w="150" w:type="dxa"/>
              <w:right w:w="240" w:type="dxa"/>
            </w:tcMar>
            <w:vAlign w:val="center"/>
            <w:hideMark/>
          </w:tcPr>
          <w:p w14:paraId="4802CB8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2E45F067"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15.5</w:t>
            </w:r>
          </w:p>
        </w:tc>
      </w:tr>
      <w:tr w:rsidR="007E0E28" w:rsidRPr="00D26260" w14:paraId="3F388462" w14:textId="77777777" w:rsidTr="00D26260">
        <w:tc>
          <w:tcPr>
            <w:tcW w:w="0" w:type="auto"/>
            <w:tcMar>
              <w:top w:w="150" w:type="dxa"/>
              <w:left w:w="0" w:type="dxa"/>
              <w:bottom w:w="150" w:type="dxa"/>
              <w:right w:w="240" w:type="dxa"/>
            </w:tcMar>
            <w:vAlign w:val="center"/>
            <w:hideMark/>
          </w:tcPr>
          <w:p w14:paraId="2A6CF74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156C76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6 visits</w:t>
            </w:r>
          </w:p>
        </w:tc>
        <w:tc>
          <w:tcPr>
            <w:tcW w:w="0" w:type="auto"/>
            <w:tcMar>
              <w:top w:w="150" w:type="dxa"/>
              <w:left w:w="240" w:type="dxa"/>
              <w:bottom w:w="150" w:type="dxa"/>
              <w:right w:w="240" w:type="dxa"/>
            </w:tcMar>
            <w:vAlign w:val="center"/>
            <w:hideMark/>
          </w:tcPr>
          <w:p w14:paraId="692D13E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0" w:type="dxa"/>
            </w:tcMar>
            <w:vAlign w:val="center"/>
            <w:hideMark/>
          </w:tcPr>
          <w:p w14:paraId="01629D4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12.1</w:t>
            </w:r>
          </w:p>
        </w:tc>
      </w:tr>
      <w:tr w:rsidR="007E0E28" w:rsidRPr="00D26260" w14:paraId="084BA8D1" w14:textId="77777777" w:rsidTr="00D26260">
        <w:tc>
          <w:tcPr>
            <w:tcW w:w="0" w:type="auto"/>
            <w:tcMar>
              <w:top w:w="150" w:type="dxa"/>
              <w:left w:w="0" w:type="dxa"/>
              <w:bottom w:w="150" w:type="dxa"/>
              <w:right w:w="240" w:type="dxa"/>
            </w:tcMar>
            <w:vAlign w:val="center"/>
            <w:hideMark/>
          </w:tcPr>
          <w:p w14:paraId="763B8A67"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5397ED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7 visits</w:t>
            </w:r>
          </w:p>
        </w:tc>
        <w:tc>
          <w:tcPr>
            <w:tcW w:w="0" w:type="auto"/>
            <w:tcMar>
              <w:top w:w="150" w:type="dxa"/>
              <w:left w:w="240" w:type="dxa"/>
              <w:bottom w:w="150" w:type="dxa"/>
              <w:right w:w="240" w:type="dxa"/>
            </w:tcMar>
            <w:vAlign w:val="center"/>
            <w:hideMark/>
          </w:tcPr>
          <w:p w14:paraId="69C2D2E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7221732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6.9</w:t>
            </w:r>
          </w:p>
        </w:tc>
      </w:tr>
      <w:tr w:rsidR="007E0E28" w:rsidRPr="00D26260" w14:paraId="2EF00989" w14:textId="77777777" w:rsidTr="00D26260">
        <w:tc>
          <w:tcPr>
            <w:tcW w:w="0" w:type="auto"/>
            <w:tcMar>
              <w:top w:w="150" w:type="dxa"/>
              <w:left w:w="0" w:type="dxa"/>
              <w:bottom w:w="150" w:type="dxa"/>
              <w:right w:w="240" w:type="dxa"/>
            </w:tcMar>
            <w:vAlign w:val="center"/>
            <w:hideMark/>
          </w:tcPr>
          <w:p w14:paraId="599800F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769CF8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Does not know</w:t>
            </w:r>
          </w:p>
        </w:tc>
        <w:tc>
          <w:tcPr>
            <w:tcW w:w="0" w:type="auto"/>
            <w:tcMar>
              <w:top w:w="150" w:type="dxa"/>
              <w:left w:w="240" w:type="dxa"/>
              <w:bottom w:w="150" w:type="dxa"/>
              <w:right w:w="240" w:type="dxa"/>
            </w:tcMar>
            <w:vAlign w:val="center"/>
            <w:hideMark/>
          </w:tcPr>
          <w:p w14:paraId="714C73E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0" w:type="dxa"/>
            </w:tcMar>
            <w:vAlign w:val="center"/>
            <w:hideMark/>
          </w:tcPr>
          <w:p w14:paraId="1D06F4F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34.5</w:t>
            </w:r>
          </w:p>
        </w:tc>
      </w:tr>
    </w:tbl>
    <w:p w14:paraId="49AA9EE4"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Complications knowledge:</w:t>
      </w:r>
      <w:r w:rsidRPr="00D26260">
        <w:rPr>
          <w:rFonts w:ascii="Times New Roman" w:eastAsia="Times New Roman" w:hAnsi="Times New Roman" w:cs="Times New Roman"/>
          <w:color w:val="0F1115"/>
          <w:kern w:val="0"/>
          <w14:ligatures w14:val="none"/>
        </w:rPr>
        <w:t xml:space="preserve"> 76.7% of women knew that complications </w:t>
      </w:r>
      <w:proofErr w:type="gramStart"/>
      <w:r w:rsidRPr="00D26260">
        <w:rPr>
          <w:rFonts w:ascii="Times New Roman" w:eastAsia="Times New Roman" w:hAnsi="Times New Roman" w:cs="Times New Roman"/>
          <w:color w:val="0F1115"/>
          <w:kern w:val="0"/>
          <w14:ligatures w14:val="none"/>
        </w:rPr>
        <w:t>can</w:t>
      </w:r>
      <w:proofErr w:type="gramEnd"/>
      <w:r w:rsidRPr="00D26260">
        <w:rPr>
          <w:rFonts w:ascii="Times New Roman" w:eastAsia="Times New Roman" w:hAnsi="Times New Roman" w:cs="Times New Roman"/>
          <w:color w:val="0F1115"/>
          <w:kern w:val="0"/>
          <w14:ligatures w14:val="none"/>
        </w:rPr>
        <w:t xml:space="preserve"> occur in the first trimester. The most cited complications were persistent fever (25.8%), abdominal pain (22.4%), and abortion (17.2%).</w:t>
      </w:r>
    </w:p>
    <w:p w14:paraId="319E6DAA"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Benefits of early ANC:</w:t>
      </w:r>
      <w:r w:rsidRPr="00D26260">
        <w:rPr>
          <w:rFonts w:ascii="Times New Roman" w:eastAsia="Times New Roman" w:hAnsi="Times New Roman" w:cs="Times New Roman"/>
          <w:color w:val="0F1115"/>
          <w:kern w:val="0"/>
          <w14:ligatures w14:val="none"/>
        </w:rPr>
        <w:t> 86.2% recognized benefits of early ANC, with 82.8% citing "good pregnancy follow-up."</w:t>
      </w:r>
    </w:p>
    <w:p w14:paraId="25E1EE9F"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Pregnancy concealment beliefs:</w:t>
      </w:r>
      <w:r w:rsidRPr="00D26260">
        <w:rPr>
          <w:rFonts w:ascii="Times New Roman" w:eastAsia="Times New Roman" w:hAnsi="Times New Roman" w:cs="Times New Roman"/>
          <w:color w:val="0F1115"/>
          <w:kern w:val="0"/>
          <w14:ligatures w14:val="none"/>
        </w:rPr>
        <w:t> </w:t>
      </w:r>
      <w:r w:rsidRPr="00D26260">
        <w:rPr>
          <w:rFonts w:ascii="Times New Roman" w:eastAsia="Times New Roman" w:hAnsi="Times New Roman" w:cs="Times New Roman"/>
          <w:b/>
          <w:bCs/>
          <w:color w:val="0F1115"/>
          <w:kern w:val="0"/>
          <w14:ligatures w14:val="none"/>
        </w:rPr>
        <w:t>72.8% of women believed pregnancy should be concealed in the first trimester.</w:t>
      </w:r>
      <w:r w:rsidRPr="00D26260">
        <w:rPr>
          <w:rFonts w:ascii="Times New Roman" w:eastAsia="Times New Roman" w:hAnsi="Times New Roman" w:cs="Times New Roman"/>
          <w:color w:val="0F1115"/>
          <w:kern w:val="0"/>
          <w14:ligatures w14:val="none"/>
        </w:rPr>
        <w:t> The predominant reason (91.8% of those concealing) was </w:t>
      </w:r>
      <w:r w:rsidRPr="00D26260">
        <w:rPr>
          <w:rFonts w:ascii="Times New Roman" w:eastAsia="Times New Roman" w:hAnsi="Times New Roman" w:cs="Times New Roman"/>
          <w:b/>
          <w:bCs/>
          <w:color w:val="0F1115"/>
          <w:kern w:val="0"/>
          <w14:ligatures w14:val="none"/>
        </w:rPr>
        <w:t>fear of evil spirits/sorcerers</w:t>
      </w:r>
      <w:r w:rsidRPr="00D26260">
        <w:rPr>
          <w:rFonts w:ascii="Times New Roman" w:eastAsia="Times New Roman" w:hAnsi="Times New Roman" w:cs="Times New Roman"/>
          <w:color w:val="0F1115"/>
          <w:kern w:val="0"/>
          <w14:ligatures w14:val="none"/>
        </w:rPr>
        <w:t> (Table 5).</w:t>
      </w:r>
    </w:p>
    <w:p w14:paraId="678C17C3"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lastRenderedPageBreak/>
        <w:t>Table 5</w:t>
      </w:r>
      <w:r w:rsidRPr="00D26260">
        <w:rPr>
          <w:rFonts w:ascii="Times New Roman" w:eastAsia="Times New Roman" w:hAnsi="Times New Roman" w:cs="Times New Roman"/>
          <w:color w:val="0F1115"/>
          <w:kern w:val="0"/>
          <w14:ligatures w14:val="none"/>
        </w:rPr>
        <w:br/>
        <w:t>*Attitudes Toward Pregnancy Concealment (N=116)*</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706"/>
        <w:gridCol w:w="2719"/>
        <w:gridCol w:w="710"/>
        <w:gridCol w:w="710"/>
      </w:tblGrid>
      <w:tr w:rsidR="007E0E28" w:rsidRPr="00D26260" w14:paraId="41CCB75C" w14:textId="77777777" w:rsidTr="00D26260">
        <w:trPr>
          <w:tblHeader/>
        </w:trPr>
        <w:tc>
          <w:tcPr>
            <w:tcW w:w="4706" w:type="dxa"/>
            <w:tcBorders>
              <w:top w:val="single" w:sz="4" w:space="0" w:color="auto"/>
              <w:bottom w:val="single" w:sz="4" w:space="0" w:color="auto"/>
            </w:tcBorders>
            <w:tcMar>
              <w:top w:w="150" w:type="dxa"/>
              <w:left w:w="0" w:type="dxa"/>
              <w:bottom w:w="150" w:type="dxa"/>
              <w:right w:w="240" w:type="dxa"/>
            </w:tcMar>
            <w:vAlign w:val="center"/>
            <w:hideMark/>
          </w:tcPr>
          <w:p w14:paraId="0478710E" w14:textId="77777777" w:rsidR="007E0E28" w:rsidRPr="00D26260" w:rsidRDefault="007E0E28" w:rsidP="00D26260">
            <w:pPr>
              <w:spacing w:after="0" w:line="375" w:lineRule="atLeast"/>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Variable</w:t>
            </w:r>
          </w:p>
        </w:tc>
        <w:tc>
          <w:tcPr>
            <w:tcW w:w="2719" w:type="dxa"/>
            <w:tcBorders>
              <w:top w:val="single" w:sz="4" w:space="0" w:color="auto"/>
              <w:bottom w:val="single" w:sz="4" w:space="0" w:color="auto"/>
            </w:tcBorders>
            <w:tcMar>
              <w:top w:w="150" w:type="dxa"/>
              <w:left w:w="240" w:type="dxa"/>
              <w:bottom w:w="150" w:type="dxa"/>
              <w:right w:w="240" w:type="dxa"/>
            </w:tcMar>
            <w:vAlign w:val="center"/>
            <w:hideMark/>
          </w:tcPr>
          <w:p w14:paraId="1B95D811" w14:textId="77777777" w:rsidR="007E0E28" w:rsidRPr="00D26260" w:rsidRDefault="007E0E28" w:rsidP="00D26260">
            <w:pPr>
              <w:spacing w:after="0" w:line="375" w:lineRule="atLeast"/>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Category</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5E8EBD92" w14:textId="77777777" w:rsidR="007E0E28" w:rsidRPr="00D26260" w:rsidRDefault="007E0E28" w:rsidP="00D26260">
            <w:pPr>
              <w:spacing w:after="0" w:line="375" w:lineRule="atLeast"/>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250B6920" w14:textId="77777777" w:rsidR="007E0E28" w:rsidRPr="00D26260" w:rsidRDefault="007E0E28" w:rsidP="00D26260">
            <w:pPr>
              <w:spacing w:after="0" w:line="375" w:lineRule="atLeast"/>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w:t>
            </w:r>
          </w:p>
        </w:tc>
      </w:tr>
      <w:tr w:rsidR="007E0E28" w:rsidRPr="00D26260" w14:paraId="62A82407" w14:textId="77777777" w:rsidTr="00D26260">
        <w:tc>
          <w:tcPr>
            <w:tcW w:w="4706" w:type="dxa"/>
            <w:tcBorders>
              <w:top w:val="single" w:sz="4" w:space="0" w:color="auto"/>
            </w:tcBorders>
            <w:tcMar>
              <w:top w:w="150" w:type="dxa"/>
              <w:left w:w="0" w:type="dxa"/>
              <w:bottom w:w="150" w:type="dxa"/>
              <w:right w:w="240" w:type="dxa"/>
            </w:tcMar>
            <w:vAlign w:val="center"/>
            <w:hideMark/>
          </w:tcPr>
          <w:p w14:paraId="65A309E1"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Should pregnancy be concealed in first trimester?</w:t>
            </w:r>
          </w:p>
        </w:tc>
        <w:tc>
          <w:tcPr>
            <w:tcW w:w="2719" w:type="dxa"/>
            <w:tcBorders>
              <w:top w:val="single" w:sz="4" w:space="0" w:color="auto"/>
            </w:tcBorders>
            <w:tcMar>
              <w:top w:w="150" w:type="dxa"/>
              <w:left w:w="240" w:type="dxa"/>
              <w:bottom w:w="150" w:type="dxa"/>
              <w:right w:w="240" w:type="dxa"/>
            </w:tcMar>
            <w:vAlign w:val="center"/>
            <w:hideMark/>
          </w:tcPr>
          <w:p w14:paraId="3ABEE530"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Yes</w:t>
            </w:r>
          </w:p>
        </w:tc>
        <w:tc>
          <w:tcPr>
            <w:tcW w:w="375" w:type="dxa"/>
            <w:tcBorders>
              <w:top w:val="single" w:sz="4" w:space="0" w:color="auto"/>
            </w:tcBorders>
            <w:tcMar>
              <w:top w:w="150" w:type="dxa"/>
              <w:left w:w="240" w:type="dxa"/>
              <w:bottom w:w="150" w:type="dxa"/>
              <w:right w:w="240" w:type="dxa"/>
            </w:tcMar>
            <w:vAlign w:val="center"/>
            <w:hideMark/>
          </w:tcPr>
          <w:p w14:paraId="486B4438"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84</w:t>
            </w:r>
          </w:p>
        </w:tc>
        <w:tc>
          <w:tcPr>
            <w:tcW w:w="548" w:type="dxa"/>
            <w:tcBorders>
              <w:top w:val="single" w:sz="4" w:space="0" w:color="auto"/>
            </w:tcBorders>
            <w:tcMar>
              <w:top w:w="150" w:type="dxa"/>
              <w:left w:w="240" w:type="dxa"/>
              <w:bottom w:w="150" w:type="dxa"/>
              <w:right w:w="0" w:type="dxa"/>
            </w:tcMar>
            <w:vAlign w:val="center"/>
            <w:hideMark/>
          </w:tcPr>
          <w:p w14:paraId="5624F3C1"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72.4</w:t>
            </w:r>
          </w:p>
        </w:tc>
      </w:tr>
      <w:tr w:rsidR="007E0E28" w:rsidRPr="00D26260" w14:paraId="7953A213" w14:textId="77777777" w:rsidTr="00D26260">
        <w:tc>
          <w:tcPr>
            <w:tcW w:w="4706" w:type="dxa"/>
            <w:tcMar>
              <w:top w:w="150" w:type="dxa"/>
              <w:left w:w="0" w:type="dxa"/>
              <w:bottom w:w="150" w:type="dxa"/>
              <w:right w:w="240" w:type="dxa"/>
            </w:tcMar>
            <w:vAlign w:val="center"/>
            <w:hideMark/>
          </w:tcPr>
          <w:p w14:paraId="677B167A"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p>
        </w:tc>
        <w:tc>
          <w:tcPr>
            <w:tcW w:w="2719" w:type="dxa"/>
            <w:tcMar>
              <w:top w:w="150" w:type="dxa"/>
              <w:left w:w="240" w:type="dxa"/>
              <w:bottom w:w="150" w:type="dxa"/>
              <w:right w:w="240" w:type="dxa"/>
            </w:tcMar>
            <w:vAlign w:val="center"/>
            <w:hideMark/>
          </w:tcPr>
          <w:p w14:paraId="781A42C6"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No</w:t>
            </w:r>
          </w:p>
        </w:tc>
        <w:tc>
          <w:tcPr>
            <w:tcW w:w="375" w:type="dxa"/>
            <w:tcMar>
              <w:top w:w="150" w:type="dxa"/>
              <w:left w:w="240" w:type="dxa"/>
              <w:bottom w:w="150" w:type="dxa"/>
              <w:right w:w="240" w:type="dxa"/>
            </w:tcMar>
            <w:vAlign w:val="center"/>
            <w:hideMark/>
          </w:tcPr>
          <w:p w14:paraId="22809AD2"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20</w:t>
            </w:r>
          </w:p>
        </w:tc>
        <w:tc>
          <w:tcPr>
            <w:tcW w:w="548" w:type="dxa"/>
            <w:tcMar>
              <w:top w:w="150" w:type="dxa"/>
              <w:left w:w="240" w:type="dxa"/>
              <w:bottom w:w="150" w:type="dxa"/>
              <w:right w:w="0" w:type="dxa"/>
            </w:tcMar>
            <w:vAlign w:val="center"/>
            <w:hideMark/>
          </w:tcPr>
          <w:p w14:paraId="3AC02B8D"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17.2</w:t>
            </w:r>
          </w:p>
        </w:tc>
      </w:tr>
      <w:tr w:rsidR="007E0E28" w:rsidRPr="00D26260" w14:paraId="21CF9D03" w14:textId="77777777" w:rsidTr="00D26260">
        <w:tc>
          <w:tcPr>
            <w:tcW w:w="4706" w:type="dxa"/>
            <w:tcMar>
              <w:top w:w="150" w:type="dxa"/>
              <w:left w:w="0" w:type="dxa"/>
              <w:bottom w:w="150" w:type="dxa"/>
              <w:right w:w="240" w:type="dxa"/>
            </w:tcMar>
            <w:vAlign w:val="center"/>
            <w:hideMark/>
          </w:tcPr>
          <w:p w14:paraId="187DBBA6"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p>
        </w:tc>
        <w:tc>
          <w:tcPr>
            <w:tcW w:w="2719" w:type="dxa"/>
            <w:tcMar>
              <w:top w:w="150" w:type="dxa"/>
              <w:left w:w="240" w:type="dxa"/>
              <w:bottom w:w="150" w:type="dxa"/>
              <w:right w:w="240" w:type="dxa"/>
            </w:tcMar>
            <w:vAlign w:val="center"/>
            <w:hideMark/>
          </w:tcPr>
          <w:p w14:paraId="2A9495D0"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Indifferent</w:t>
            </w:r>
          </w:p>
        </w:tc>
        <w:tc>
          <w:tcPr>
            <w:tcW w:w="375" w:type="dxa"/>
            <w:tcMar>
              <w:top w:w="150" w:type="dxa"/>
              <w:left w:w="240" w:type="dxa"/>
              <w:bottom w:w="150" w:type="dxa"/>
              <w:right w:w="240" w:type="dxa"/>
            </w:tcMar>
            <w:vAlign w:val="center"/>
            <w:hideMark/>
          </w:tcPr>
          <w:p w14:paraId="2144237B"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12</w:t>
            </w:r>
          </w:p>
        </w:tc>
        <w:tc>
          <w:tcPr>
            <w:tcW w:w="548" w:type="dxa"/>
            <w:tcMar>
              <w:top w:w="150" w:type="dxa"/>
              <w:left w:w="240" w:type="dxa"/>
              <w:bottom w:w="150" w:type="dxa"/>
              <w:right w:w="0" w:type="dxa"/>
            </w:tcMar>
            <w:vAlign w:val="center"/>
            <w:hideMark/>
          </w:tcPr>
          <w:p w14:paraId="4E11F422"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10.3</w:t>
            </w:r>
          </w:p>
        </w:tc>
      </w:tr>
      <w:tr w:rsidR="007E0E28" w:rsidRPr="00D26260" w14:paraId="5F7DC4DA" w14:textId="77777777" w:rsidTr="00D26260">
        <w:tc>
          <w:tcPr>
            <w:tcW w:w="4706" w:type="dxa"/>
            <w:tcMar>
              <w:top w:w="150" w:type="dxa"/>
              <w:left w:w="0" w:type="dxa"/>
              <w:bottom w:w="150" w:type="dxa"/>
              <w:right w:w="240" w:type="dxa"/>
            </w:tcMar>
            <w:vAlign w:val="center"/>
            <w:hideMark/>
          </w:tcPr>
          <w:p w14:paraId="34C73BB4"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Reason for concealment (n=84)</w:t>
            </w:r>
          </w:p>
        </w:tc>
        <w:tc>
          <w:tcPr>
            <w:tcW w:w="2719" w:type="dxa"/>
            <w:tcMar>
              <w:top w:w="150" w:type="dxa"/>
              <w:left w:w="240" w:type="dxa"/>
              <w:bottom w:w="150" w:type="dxa"/>
              <w:right w:w="240" w:type="dxa"/>
            </w:tcMar>
            <w:vAlign w:val="center"/>
            <w:hideMark/>
          </w:tcPr>
          <w:p w14:paraId="5A4A4A65"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Fear of evil spirits/sorcerers</w:t>
            </w:r>
          </w:p>
        </w:tc>
        <w:tc>
          <w:tcPr>
            <w:tcW w:w="375" w:type="dxa"/>
            <w:tcMar>
              <w:top w:w="150" w:type="dxa"/>
              <w:left w:w="240" w:type="dxa"/>
              <w:bottom w:w="150" w:type="dxa"/>
              <w:right w:w="240" w:type="dxa"/>
            </w:tcMar>
            <w:vAlign w:val="center"/>
            <w:hideMark/>
          </w:tcPr>
          <w:p w14:paraId="6F14F502"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77</w:t>
            </w:r>
          </w:p>
        </w:tc>
        <w:tc>
          <w:tcPr>
            <w:tcW w:w="548" w:type="dxa"/>
            <w:tcMar>
              <w:top w:w="150" w:type="dxa"/>
              <w:left w:w="240" w:type="dxa"/>
              <w:bottom w:w="150" w:type="dxa"/>
              <w:right w:w="0" w:type="dxa"/>
            </w:tcMar>
            <w:vAlign w:val="center"/>
            <w:hideMark/>
          </w:tcPr>
          <w:p w14:paraId="12083249"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91.7</w:t>
            </w:r>
          </w:p>
        </w:tc>
      </w:tr>
      <w:tr w:rsidR="007E0E28" w:rsidRPr="00D26260" w14:paraId="57F77562" w14:textId="77777777" w:rsidTr="00D26260">
        <w:tc>
          <w:tcPr>
            <w:tcW w:w="4706" w:type="dxa"/>
            <w:tcMar>
              <w:top w:w="150" w:type="dxa"/>
              <w:left w:w="0" w:type="dxa"/>
              <w:bottom w:w="150" w:type="dxa"/>
              <w:right w:w="240" w:type="dxa"/>
            </w:tcMar>
            <w:vAlign w:val="center"/>
            <w:hideMark/>
          </w:tcPr>
          <w:p w14:paraId="76F5D115"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p>
        </w:tc>
        <w:tc>
          <w:tcPr>
            <w:tcW w:w="2719" w:type="dxa"/>
            <w:tcMar>
              <w:top w:w="150" w:type="dxa"/>
              <w:left w:w="240" w:type="dxa"/>
              <w:bottom w:w="150" w:type="dxa"/>
              <w:right w:w="240" w:type="dxa"/>
            </w:tcMar>
            <w:vAlign w:val="center"/>
            <w:hideMark/>
          </w:tcPr>
          <w:p w14:paraId="4F63166D"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Avoid mockery</w:t>
            </w:r>
          </w:p>
        </w:tc>
        <w:tc>
          <w:tcPr>
            <w:tcW w:w="375" w:type="dxa"/>
            <w:tcMar>
              <w:top w:w="150" w:type="dxa"/>
              <w:left w:w="240" w:type="dxa"/>
              <w:bottom w:w="150" w:type="dxa"/>
              <w:right w:w="240" w:type="dxa"/>
            </w:tcMar>
            <w:vAlign w:val="center"/>
            <w:hideMark/>
          </w:tcPr>
          <w:p w14:paraId="276040EB"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w:t>
            </w:r>
          </w:p>
        </w:tc>
        <w:tc>
          <w:tcPr>
            <w:tcW w:w="548" w:type="dxa"/>
            <w:tcMar>
              <w:top w:w="150" w:type="dxa"/>
              <w:left w:w="240" w:type="dxa"/>
              <w:bottom w:w="150" w:type="dxa"/>
              <w:right w:w="0" w:type="dxa"/>
            </w:tcMar>
            <w:vAlign w:val="center"/>
            <w:hideMark/>
          </w:tcPr>
          <w:p w14:paraId="32A751BC"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4.8</w:t>
            </w:r>
          </w:p>
        </w:tc>
      </w:tr>
      <w:tr w:rsidR="007E0E28" w:rsidRPr="00D26260" w14:paraId="26C5179A" w14:textId="77777777" w:rsidTr="00D26260">
        <w:tc>
          <w:tcPr>
            <w:tcW w:w="4706" w:type="dxa"/>
            <w:tcMar>
              <w:top w:w="150" w:type="dxa"/>
              <w:left w:w="0" w:type="dxa"/>
              <w:bottom w:w="150" w:type="dxa"/>
              <w:right w:w="240" w:type="dxa"/>
            </w:tcMar>
            <w:vAlign w:val="center"/>
            <w:hideMark/>
          </w:tcPr>
          <w:p w14:paraId="4B5F1382"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p>
        </w:tc>
        <w:tc>
          <w:tcPr>
            <w:tcW w:w="2719" w:type="dxa"/>
            <w:tcMar>
              <w:top w:w="150" w:type="dxa"/>
              <w:left w:w="240" w:type="dxa"/>
              <w:bottom w:w="150" w:type="dxa"/>
              <w:right w:w="240" w:type="dxa"/>
            </w:tcMar>
            <w:vAlign w:val="center"/>
            <w:hideMark/>
          </w:tcPr>
          <w:p w14:paraId="197C3314"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Pregnancy is sacred</w:t>
            </w:r>
          </w:p>
        </w:tc>
        <w:tc>
          <w:tcPr>
            <w:tcW w:w="375" w:type="dxa"/>
            <w:tcMar>
              <w:top w:w="150" w:type="dxa"/>
              <w:left w:w="240" w:type="dxa"/>
              <w:bottom w:w="150" w:type="dxa"/>
              <w:right w:w="240" w:type="dxa"/>
            </w:tcMar>
            <w:vAlign w:val="center"/>
            <w:hideMark/>
          </w:tcPr>
          <w:p w14:paraId="4CC0395E"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w:t>
            </w:r>
          </w:p>
        </w:tc>
        <w:tc>
          <w:tcPr>
            <w:tcW w:w="548" w:type="dxa"/>
            <w:tcMar>
              <w:top w:w="150" w:type="dxa"/>
              <w:left w:w="240" w:type="dxa"/>
              <w:bottom w:w="150" w:type="dxa"/>
              <w:right w:w="0" w:type="dxa"/>
            </w:tcMar>
            <w:vAlign w:val="center"/>
            <w:hideMark/>
          </w:tcPr>
          <w:p w14:paraId="0565A059" w14:textId="77777777" w:rsidR="007E0E28" w:rsidRPr="00D26260" w:rsidRDefault="007E0E28" w:rsidP="007E0E28">
            <w:pPr>
              <w:spacing w:after="0" w:line="375" w:lineRule="atLeast"/>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3.6</w:t>
            </w:r>
          </w:p>
        </w:tc>
      </w:tr>
    </w:tbl>
    <w:p w14:paraId="72273B4B"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Decision-making for ANC attendance:</w:t>
      </w:r>
      <w:r w:rsidRPr="00D26260">
        <w:rPr>
          <w:rFonts w:ascii="Times New Roman" w:eastAsia="Times New Roman" w:hAnsi="Times New Roman" w:cs="Times New Roman"/>
          <w:color w:val="0F1115"/>
          <w:kern w:val="0"/>
          <w14:ligatures w14:val="none"/>
        </w:rPr>
        <w:t> In 58.8% of cases, the decision was made jointly by both partners. The woman alone decided in 17.2%, the husband alone in 17.2%, and the mother-in-law in 3.4%.</w:t>
      </w:r>
    </w:p>
    <w:p w14:paraId="661AAFF8"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Traditional practices:</w:t>
      </w:r>
      <w:r w:rsidRPr="00D26260">
        <w:rPr>
          <w:rFonts w:ascii="Times New Roman" w:eastAsia="Times New Roman" w:hAnsi="Times New Roman" w:cs="Times New Roman"/>
          <w:color w:val="0F1115"/>
          <w:kern w:val="0"/>
          <w14:ligatures w14:val="none"/>
        </w:rPr>
        <w:t> No woman (0%) reported using traditional practices before starting ANC—a positive finding.</w:t>
      </w:r>
    </w:p>
    <w:p w14:paraId="28DDA35F"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Evolution of practices across pregnancies:</w:t>
      </w:r>
      <w:r w:rsidRPr="00D26260">
        <w:rPr>
          <w:rFonts w:ascii="Times New Roman" w:eastAsia="Times New Roman" w:hAnsi="Times New Roman" w:cs="Times New Roman"/>
          <w:color w:val="0F1115"/>
          <w:kern w:val="0"/>
          <w14:ligatures w14:val="none"/>
        </w:rPr>
        <w:t> Among multiparous women, 51.6% reported improved ANC utilization over successive pregnancies, attributed to advice from relatives (60%) and information received during previous ANC visits (33.3%).</w:t>
      </w:r>
    </w:p>
    <w:p w14:paraId="59D14B07"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3.5. Satisfaction with ANC Services</w:t>
      </w:r>
    </w:p>
    <w:p w14:paraId="4D382B60"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Table 6</w:t>
      </w:r>
      <w:r w:rsidRPr="00D26260">
        <w:rPr>
          <w:rFonts w:ascii="Times New Roman" w:eastAsia="Times New Roman" w:hAnsi="Times New Roman" w:cs="Times New Roman"/>
          <w:color w:val="0F1115"/>
          <w:kern w:val="0"/>
          <w14:ligatures w14:val="none"/>
        </w:rPr>
        <w:t> presents satisfaction indicators.</w:t>
      </w:r>
    </w:p>
    <w:p w14:paraId="7EE4E7EC"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lastRenderedPageBreak/>
        <w:t>Table 6</w:t>
      </w:r>
      <w:r w:rsidRPr="00D26260">
        <w:rPr>
          <w:rFonts w:ascii="Times New Roman" w:eastAsia="Times New Roman" w:hAnsi="Times New Roman" w:cs="Times New Roman"/>
          <w:color w:val="0F1115"/>
          <w:kern w:val="0"/>
          <w14:ligatures w14:val="none"/>
        </w:rPr>
        <w:br/>
        <w:t>*Patient Satisfaction with ANC Services (N=116)*</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779"/>
        <w:gridCol w:w="1977"/>
        <w:gridCol w:w="710"/>
        <w:gridCol w:w="710"/>
      </w:tblGrid>
      <w:tr w:rsidR="007E0E28" w:rsidRPr="00D26260" w14:paraId="5260AB60" w14:textId="77777777" w:rsidTr="00D2626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EA25813"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51996D0"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1BB6F18"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EA1DB22" w14:textId="77777777" w:rsidR="007E0E28" w:rsidRPr="00D26260" w:rsidRDefault="007E0E28" w:rsidP="00D26260">
            <w:pPr>
              <w:spacing w:after="0" w:line="240" w:lineRule="auto"/>
              <w:jc w:val="center"/>
              <w:rPr>
                <w:rFonts w:ascii="Times New Roman" w:eastAsia="Times New Roman" w:hAnsi="Times New Roman" w:cs="Times New Roman"/>
                <w:b/>
                <w:bCs/>
                <w:kern w:val="0"/>
                <w:sz w:val="23"/>
                <w:szCs w:val="23"/>
                <w14:ligatures w14:val="none"/>
              </w:rPr>
            </w:pPr>
            <w:r w:rsidRPr="00D26260">
              <w:rPr>
                <w:rFonts w:ascii="Times New Roman" w:eastAsia="Times New Roman" w:hAnsi="Times New Roman" w:cs="Times New Roman"/>
                <w:b/>
                <w:bCs/>
                <w:kern w:val="0"/>
                <w:sz w:val="23"/>
                <w:szCs w:val="23"/>
                <w14:ligatures w14:val="none"/>
              </w:rPr>
              <w:t>%</w:t>
            </w:r>
          </w:p>
        </w:tc>
      </w:tr>
      <w:tr w:rsidR="007E0E28" w:rsidRPr="00D26260" w14:paraId="78C6AFB1" w14:textId="77777777" w:rsidTr="00D26260">
        <w:tc>
          <w:tcPr>
            <w:tcW w:w="0" w:type="auto"/>
            <w:tcBorders>
              <w:top w:val="single" w:sz="4" w:space="0" w:color="auto"/>
            </w:tcBorders>
            <w:tcMar>
              <w:top w:w="150" w:type="dxa"/>
              <w:left w:w="0" w:type="dxa"/>
              <w:bottom w:w="150" w:type="dxa"/>
              <w:right w:w="240" w:type="dxa"/>
            </w:tcMar>
            <w:vAlign w:val="center"/>
            <w:hideMark/>
          </w:tcPr>
          <w:p w14:paraId="619B5DA9"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Reception</w:t>
            </w:r>
          </w:p>
        </w:tc>
        <w:tc>
          <w:tcPr>
            <w:tcW w:w="0" w:type="auto"/>
            <w:tcBorders>
              <w:top w:val="single" w:sz="4" w:space="0" w:color="auto"/>
            </w:tcBorders>
            <w:tcMar>
              <w:top w:w="150" w:type="dxa"/>
              <w:left w:w="240" w:type="dxa"/>
              <w:bottom w:w="150" w:type="dxa"/>
              <w:right w:w="240" w:type="dxa"/>
            </w:tcMar>
            <w:vAlign w:val="center"/>
            <w:hideMark/>
          </w:tcPr>
          <w:p w14:paraId="206509C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Satisfied</w:t>
            </w:r>
          </w:p>
        </w:tc>
        <w:tc>
          <w:tcPr>
            <w:tcW w:w="0" w:type="auto"/>
            <w:tcBorders>
              <w:top w:val="single" w:sz="4" w:space="0" w:color="auto"/>
            </w:tcBorders>
            <w:tcMar>
              <w:top w:w="150" w:type="dxa"/>
              <w:left w:w="240" w:type="dxa"/>
              <w:bottom w:w="150" w:type="dxa"/>
              <w:right w:w="240" w:type="dxa"/>
            </w:tcMar>
            <w:vAlign w:val="center"/>
            <w:hideMark/>
          </w:tcPr>
          <w:p w14:paraId="5F356BB7"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64</w:t>
            </w:r>
          </w:p>
        </w:tc>
        <w:tc>
          <w:tcPr>
            <w:tcW w:w="0" w:type="auto"/>
            <w:tcBorders>
              <w:top w:val="single" w:sz="4" w:space="0" w:color="auto"/>
            </w:tcBorders>
            <w:tcMar>
              <w:top w:w="150" w:type="dxa"/>
              <w:left w:w="240" w:type="dxa"/>
              <w:bottom w:w="150" w:type="dxa"/>
              <w:right w:w="0" w:type="dxa"/>
            </w:tcMar>
            <w:vAlign w:val="center"/>
            <w:hideMark/>
          </w:tcPr>
          <w:p w14:paraId="1F722373"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55.2</w:t>
            </w:r>
          </w:p>
        </w:tc>
      </w:tr>
      <w:tr w:rsidR="007E0E28" w:rsidRPr="00D26260" w14:paraId="2124F349" w14:textId="77777777" w:rsidTr="00D26260">
        <w:tc>
          <w:tcPr>
            <w:tcW w:w="0" w:type="auto"/>
            <w:tcMar>
              <w:top w:w="150" w:type="dxa"/>
              <w:left w:w="0" w:type="dxa"/>
              <w:bottom w:w="150" w:type="dxa"/>
              <w:right w:w="240" w:type="dxa"/>
            </w:tcMar>
            <w:vAlign w:val="center"/>
            <w:hideMark/>
          </w:tcPr>
          <w:p w14:paraId="794F0CF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8B2312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Very satisfied</w:t>
            </w:r>
          </w:p>
        </w:tc>
        <w:tc>
          <w:tcPr>
            <w:tcW w:w="0" w:type="auto"/>
            <w:tcMar>
              <w:top w:w="150" w:type="dxa"/>
              <w:left w:w="240" w:type="dxa"/>
              <w:bottom w:w="150" w:type="dxa"/>
              <w:right w:w="240" w:type="dxa"/>
            </w:tcMar>
            <w:vAlign w:val="center"/>
            <w:hideMark/>
          </w:tcPr>
          <w:p w14:paraId="1713BC7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52</w:t>
            </w:r>
          </w:p>
        </w:tc>
        <w:tc>
          <w:tcPr>
            <w:tcW w:w="0" w:type="auto"/>
            <w:tcMar>
              <w:top w:w="150" w:type="dxa"/>
              <w:left w:w="240" w:type="dxa"/>
              <w:bottom w:w="150" w:type="dxa"/>
              <w:right w:w="0" w:type="dxa"/>
            </w:tcMar>
            <w:vAlign w:val="center"/>
            <w:hideMark/>
          </w:tcPr>
          <w:p w14:paraId="6B33112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44.8</w:t>
            </w:r>
          </w:p>
        </w:tc>
      </w:tr>
      <w:tr w:rsidR="007E0E28" w:rsidRPr="00D26260" w14:paraId="407B8190" w14:textId="77777777" w:rsidTr="00D26260">
        <w:tc>
          <w:tcPr>
            <w:tcW w:w="0" w:type="auto"/>
            <w:tcMar>
              <w:top w:w="150" w:type="dxa"/>
              <w:left w:w="0" w:type="dxa"/>
              <w:bottom w:w="150" w:type="dxa"/>
              <w:right w:w="240" w:type="dxa"/>
            </w:tcMar>
            <w:vAlign w:val="center"/>
            <w:hideMark/>
          </w:tcPr>
          <w:p w14:paraId="2195F85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Waiting time</w:t>
            </w:r>
          </w:p>
        </w:tc>
        <w:tc>
          <w:tcPr>
            <w:tcW w:w="0" w:type="auto"/>
            <w:tcMar>
              <w:top w:w="150" w:type="dxa"/>
              <w:left w:w="240" w:type="dxa"/>
              <w:bottom w:w="150" w:type="dxa"/>
              <w:right w:w="240" w:type="dxa"/>
            </w:tcMar>
            <w:vAlign w:val="center"/>
            <w:hideMark/>
          </w:tcPr>
          <w:p w14:paraId="1164B34B"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Not long (&lt;2h)</w:t>
            </w:r>
          </w:p>
        </w:tc>
        <w:tc>
          <w:tcPr>
            <w:tcW w:w="0" w:type="auto"/>
            <w:tcMar>
              <w:top w:w="150" w:type="dxa"/>
              <w:left w:w="240" w:type="dxa"/>
              <w:bottom w:w="150" w:type="dxa"/>
              <w:right w:w="240" w:type="dxa"/>
            </w:tcMar>
            <w:vAlign w:val="center"/>
            <w:hideMark/>
          </w:tcPr>
          <w:p w14:paraId="5F3EF2A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86</w:t>
            </w:r>
          </w:p>
        </w:tc>
        <w:tc>
          <w:tcPr>
            <w:tcW w:w="0" w:type="auto"/>
            <w:tcMar>
              <w:top w:w="150" w:type="dxa"/>
              <w:left w:w="240" w:type="dxa"/>
              <w:bottom w:w="150" w:type="dxa"/>
              <w:right w:w="0" w:type="dxa"/>
            </w:tcMar>
            <w:vAlign w:val="center"/>
            <w:hideMark/>
          </w:tcPr>
          <w:p w14:paraId="0CEECEA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74.1</w:t>
            </w:r>
          </w:p>
        </w:tc>
      </w:tr>
      <w:tr w:rsidR="007E0E28" w:rsidRPr="00D26260" w14:paraId="25E2A7D0" w14:textId="77777777" w:rsidTr="00D26260">
        <w:tc>
          <w:tcPr>
            <w:tcW w:w="0" w:type="auto"/>
            <w:tcMar>
              <w:top w:w="150" w:type="dxa"/>
              <w:left w:w="0" w:type="dxa"/>
              <w:bottom w:w="150" w:type="dxa"/>
              <w:right w:w="240" w:type="dxa"/>
            </w:tcMar>
            <w:vAlign w:val="center"/>
            <w:hideMark/>
          </w:tcPr>
          <w:p w14:paraId="5D264C6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14EC6A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Long (2–3h)</w:t>
            </w:r>
          </w:p>
        </w:tc>
        <w:tc>
          <w:tcPr>
            <w:tcW w:w="0" w:type="auto"/>
            <w:tcMar>
              <w:top w:w="150" w:type="dxa"/>
              <w:left w:w="240" w:type="dxa"/>
              <w:bottom w:w="150" w:type="dxa"/>
              <w:right w:w="240" w:type="dxa"/>
            </w:tcMar>
            <w:vAlign w:val="center"/>
            <w:hideMark/>
          </w:tcPr>
          <w:p w14:paraId="662761A2"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0FD97ED0"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25.9</w:t>
            </w:r>
          </w:p>
        </w:tc>
      </w:tr>
      <w:tr w:rsidR="007E0E28" w:rsidRPr="00D26260" w14:paraId="12683B1A" w14:textId="77777777" w:rsidTr="00D26260">
        <w:tc>
          <w:tcPr>
            <w:tcW w:w="0" w:type="auto"/>
            <w:tcMar>
              <w:top w:w="150" w:type="dxa"/>
              <w:left w:w="0" w:type="dxa"/>
              <w:bottom w:w="150" w:type="dxa"/>
              <w:right w:w="240" w:type="dxa"/>
            </w:tcMar>
            <w:vAlign w:val="center"/>
            <w:hideMark/>
          </w:tcPr>
          <w:p w14:paraId="034C9D86"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D43D1A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Very long (&gt;3h)</w:t>
            </w:r>
          </w:p>
        </w:tc>
        <w:tc>
          <w:tcPr>
            <w:tcW w:w="0" w:type="auto"/>
            <w:tcMar>
              <w:top w:w="150" w:type="dxa"/>
              <w:left w:w="240" w:type="dxa"/>
              <w:bottom w:w="150" w:type="dxa"/>
              <w:right w:w="240" w:type="dxa"/>
            </w:tcMar>
            <w:vAlign w:val="center"/>
            <w:hideMark/>
          </w:tcPr>
          <w:p w14:paraId="1DCFDC4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4A434984"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0</w:t>
            </w:r>
          </w:p>
        </w:tc>
      </w:tr>
      <w:tr w:rsidR="007E0E28" w:rsidRPr="00D26260" w14:paraId="717FC695" w14:textId="77777777" w:rsidTr="00D26260">
        <w:tc>
          <w:tcPr>
            <w:tcW w:w="0" w:type="auto"/>
            <w:tcMar>
              <w:top w:w="150" w:type="dxa"/>
              <w:left w:w="0" w:type="dxa"/>
              <w:bottom w:w="150" w:type="dxa"/>
              <w:right w:w="240" w:type="dxa"/>
            </w:tcMar>
            <w:vAlign w:val="center"/>
            <w:hideMark/>
          </w:tcPr>
          <w:p w14:paraId="43B0085F"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Sensation of learning new information</w:t>
            </w:r>
          </w:p>
        </w:tc>
        <w:tc>
          <w:tcPr>
            <w:tcW w:w="0" w:type="auto"/>
            <w:tcMar>
              <w:top w:w="150" w:type="dxa"/>
              <w:left w:w="240" w:type="dxa"/>
              <w:bottom w:w="150" w:type="dxa"/>
              <w:right w:w="240" w:type="dxa"/>
            </w:tcMar>
            <w:vAlign w:val="center"/>
            <w:hideMark/>
          </w:tcPr>
          <w:p w14:paraId="533DF9A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0B9E7C85"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98</w:t>
            </w:r>
          </w:p>
        </w:tc>
        <w:tc>
          <w:tcPr>
            <w:tcW w:w="0" w:type="auto"/>
            <w:tcMar>
              <w:top w:w="150" w:type="dxa"/>
              <w:left w:w="240" w:type="dxa"/>
              <w:bottom w:w="150" w:type="dxa"/>
              <w:right w:w="0" w:type="dxa"/>
            </w:tcMar>
            <w:vAlign w:val="center"/>
            <w:hideMark/>
          </w:tcPr>
          <w:p w14:paraId="5A1BA46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84.5</w:t>
            </w:r>
          </w:p>
        </w:tc>
      </w:tr>
      <w:tr w:rsidR="007E0E28" w:rsidRPr="00D26260" w14:paraId="6B111DC3" w14:textId="77777777" w:rsidTr="00D26260">
        <w:tc>
          <w:tcPr>
            <w:tcW w:w="0" w:type="auto"/>
            <w:tcMar>
              <w:top w:w="150" w:type="dxa"/>
              <w:left w:w="0" w:type="dxa"/>
              <w:bottom w:w="150" w:type="dxa"/>
              <w:right w:w="240" w:type="dxa"/>
            </w:tcMar>
            <w:vAlign w:val="center"/>
            <w:hideMark/>
          </w:tcPr>
          <w:p w14:paraId="4DF22BED"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E8C0F38"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3E30B54E"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6DA842A1" w14:textId="77777777" w:rsidR="007E0E28" w:rsidRPr="00D26260" w:rsidRDefault="007E0E28" w:rsidP="00D26260">
            <w:pPr>
              <w:spacing w:after="0" w:line="240" w:lineRule="auto"/>
              <w:rPr>
                <w:rFonts w:ascii="Times New Roman" w:eastAsia="Times New Roman" w:hAnsi="Times New Roman" w:cs="Times New Roman"/>
                <w:kern w:val="0"/>
                <w:sz w:val="23"/>
                <w:szCs w:val="23"/>
                <w14:ligatures w14:val="none"/>
              </w:rPr>
            </w:pPr>
            <w:r w:rsidRPr="00D26260">
              <w:rPr>
                <w:rFonts w:ascii="Times New Roman" w:eastAsia="Times New Roman" w:hAnsi="Times New Roman" w:cs="Times New Roman"/>
                <w:kern w:val="0"/>
                <w:sz w:val="23"/>
                <w:szCs w:val="23"/>
                <w14:ligatures w14:val="none"/>
              </w:rPr>
              <w:t>15.5</w:t>
            </w:r>
          </w:p>
        </w:tc>
      </w:tr>
    </w:tbl>
    <w:p w14:paraId="0F4D2471" w14:textId="77777777" w:rsidR="007E0E28" w:rsidRPr="00D26260" w:rsidRDefault="007E0E28" w:rsidP="007E0E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26260">
        <w:rPr>
          <w:rFonts w:ascii="Times New Roman" w:eastAsia="Times New Roman" w:hAnsi="Times New Roman" w:cs="Times New Roman"/>
          <w:b/>
          <w:bCs/>
          <w:color w:val="0F1115"/>
          <w:kern w:val="0"/>
          <w:sz w:val="33"/>
          <w:szCs w:val="33"/>
          <w14:ligatures w14:val="none"/>
        </w:rPr>
        <w:t>4. Discussion</w:t>
      </w:r>
    </w:p>
    <w:p w14:paraId="1D7BC13E"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This study provides the first comprehensive evaluation of ANC norms compliance and KAP among pregnant women at HGR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w:t>
      </w:r>
      <w:proofErr w:type="spellStart"/>
      <w:r w:rsidRPr="00D26260">
        <w:rPr>
          <w:rFonts w:ascii="Times New Roman" w:eastAsia="Times New Roman" w:hAnsi="Times New Roman" w:cs="Times New Roman"/>
          <w:color w:val="0F1115"/>
          <w:kern w:val="0"/>
          <w14:ligatures w14:val="none"/>
        </w:rPr>
        <w:t>Mbandaka</w:t>
      </w:r>
      <w:proofErr w:type="spellEnd"/>
      <w:r w:rsidRPr="00D26260">
        <w:rPr>
          <w:rFonts w:ascii="Times New Roman" w:eastAsia="Times New Roman" w:hAnsi="Times New Roman" w:cs="Times New Roman"/>
          <w:color w:val="0F1115"/>
          <w:kern w:val="0"/>
          <w14:ligatures w14:val="none"/>
        </w:rPr>
        <w:t>. The findings reveal substantial gaps between national standards and actual practice, as well as important cultural barriers to early ANC attendance.</w:t>
      </w:r>
    </w:p>
    <w:p w14:paraId="2FB13839"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4.1. Compliance with ANC Interventions</w:t>
      </w:r>
    </w:p>
    <w:p w14:paraId="3CC6AE3C"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The 24% adherence to the four-visit schedule is concerning. This is slightly higher than the 22.2% reported in the DRC Demographic and Health Survey (EDS-RDC II, 2014) for urban </w:t>
      </w:r>
      <w:proofErr w:type="gramStart"/>
      <w:r w:rsidRPr="00D26260">
        <w:rPr>
          <w:rFonts w:ascii="Times New Roman" w:eastAsia="Times New Roman" w:hAnsi="Times New Roman" w:cs="Times New Roman"/>
          <w:color w:val="0F1115"/>
          <w:kern w:val="0"/>
          <w14:ligatures w14:val="none"/>
        </w:rPr>
        <w:t>areas, but</w:t>
      </w:r>
      <w:proofErr w:type="gramEnd"/>
      <w:r w:rsidRPr="00D26260">
        <w:rPr>
          <w:rFonts w:ascii="Times New Roman" w:eastAsia="Times New Roman" w:hAnsi="Times New Roman" w:cs="Times New Roman"/>
          <w:color w:val="0F1115"/>
          <w:kern w:val="0"/>
          <w14:ligatures w14:val="none"/>
        </w:rPr>
        <w:t xml:space="preserve"> remains far below the 100% target. Early ANC initiation (&lt;12 weeks) was only 15.5%, </w:t>
      </w:r>
      <w:proofErr w:type="gramStart"/>
      <w:r w:rsidRPr="00D26260">
        <w:rPr>
          <w:rFonts w:ascii="Times New Roman" w:eastAsia="Times New Roman" w:hAnsi="Times New Roman" w:cs="Times New Roman"/>
          <w:color w:val="0F1115"/>
          <w:kern w:val="0"/>
          <w14:ligatures w14:val="none"/>
        </w:rPr>
        <w:t>similar to</w:t>
      </w:r>
      <w:proofErr w:type="gramEnd"/>
      <w:r w:rsidRPr="00D26260">
        <w:rPr>
          <w:rFonts w:ascii="Times New Roman" w:eastAsia="Times New Roman" w:hAnsi="Times New Roman" w:cs="Times New Roman"/>
          <w:color w:val="0F1115"/>
          <w:kern w:val="0"/>
          <w14:ligatures w14:val="none"/>
        </w:rPr>
        <w:t xml:space="preserve"> findings from Kinshasa (</w:t>
      </w:r>
      <w:proofErr w:type="spellStart"/>
      <w:r w:rsidRPr="00D26260">
        <w:rPr>
          <w:rFonts w:ascii="Times New Roman" w:eastAsia="Times New Roman" w:hAnsi="Times New Roman" w:cs="Times New Roman"/>
          <w:color w:val="0F1115"/>
          <w:kern w:val="0"/>
          <w14:ligatures w14:val="none"/>
        </w:rPr>
        <w:t>Bikabusa</w:t>
      </w:r>
      <w:proofErr w:type="spellEnd"/>
      <w:r w:rsidRPr="00D26260">
        <w:rPr>
          <w:rFonts w:ascii="Times New Roman" w:eastAsia="Times New Roman" w:hAnsi="Times New Roman" w:cs="Times New Roman"/>
          <w:color w:val="0F1115"/>
          <w:kern w:val="0"/>
          <w14:ligatures w14:val="none"/>
        </w:rPr>
        <w:t xml:space="preserve"> Matondo, 2016) and Senegal (Ndiaye et al., 2005), where lack of knowledge and financial constraints were major barriers.</w:t>
      </w:r>
    </w:p>
    <w:p w14:paraId="2D17113C"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HIV testing</w:t>
      </w:r>
      <w:r w:rsidRPr="00D26260">
        <w:rPr>
          <w:rFonts w:ascii="Times New Roman" w:eastAsia="Times New Roman" w:hAnsi="Times New Roman" w:cs="Times New Roman"/>
          <w:color w:val="0F1115"/>
          <w:kern w:val="0"/>
          <w14:ligatures w14:val="none"/>
        </w:rPr>
        <w:t xml:space="preserve"> coverage (96%) is commendable and exceeds the national average, reflecting effective integration of prevention of mother-to-child transmission (PMTCT) services. </w:t>
      </w:r>
      <w:r w:rsidRPr="00D26260">
        <w:rPr>
          <w:rFonts w:ascii="Times New Roman" w:eastAsia="Times New Roman" w:hAnsi="Times New Roman" w:cs="Times New Roman"/>
          <w:color w:val="0F1115"/>
          <w:kern w:val="0"/>
          <w14:ligatures w14:val="none"/>
        </w:rPr>
        <w:lastRenderedPageBreak/>
        <w:t>However, </w:t>
      </w:r>
      <w:r w:rsidRPr="00D26260">
        <w:rPr>
          <w:rFonts w:ascii="Times New Roman" w:eastAsia="Times New Roman" w:hAnsi="Times New Roman" w:cs="Times New Roman"/>
          <w:b/>
          <w:bCs/>
          <w:color w:val="0F1115"/>
          <w:kern w:val="0"/>
          <w14:ligatures w14:val="none"/>
        </w:rPr>
        <w:t>0% syphilis screening</w:t>
      </w:r>
      <w:r w:rsidRPr="00D26260">
        <w:rPr>
          <w:rFonts w:ascii="Times New Roman" w:eastAsia="Times New Roman" w:hAnsi="Times New Roman" w:cs="Times New Roman"/>
          <w:color w:val="0F1115"/>
          <w:kern w:val="0"/>
          <w14:ligatures w14:val="none"/>
        </w:rPr>
        <w:t> is a critical failure. Syphilis remains a leading cause of stillbirth and neonatal death, and its elimination requires universal screening. The complete stockout of RPR tests for approximately one year (as reported by staff) represents a systemic supply chain failure. The DRC government must prioritize the procurement and distribution of syphilis test kits.</w:t>
      </w:r>
    </w:p>
    <w:p w14:paraId="68FCF1AD"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Malaria prevention</w:t>
      </w:r>
      <w:r w:rsidRPr="00D26260">
        <w:rPr>
          <w:rFonts w:ascii="Times New Roman" w:eastAsia="Times New Roman" w:hAnsi="Times New Roman" w:cs="Times New Roman"/>
          <w:color w:val="0F1115"/>
          <w:kern w:val="0"/>
          <w14:ligatures w14:val="none"/>
        </w:rPr>
        <w:t> coverage was suboptimal: only 48% received IPTp and 37% received ITNs. These figures are below the 40% national IPTp coverage reported in EDS-RDC II (2014) and far below the 80% target. Given that malaria is a leading indirect cause of maternal mortality in sub-Saharan Africa (</w:t>
      </w:r>
      <w:proofErr w:type="spellStart"/>
      <w:r w:rsidRPr="00D26260">
        <w:rPr>
          <w:rFonts w:ascii="Times New Roman" w:eastAsia="Times New Roman" w:hAnsi="Times New Roman" w:cs="Times New Roman"/>
          <w:color w:val="0F1115"/>
          <w:kern w:val="0"/>
          <w14:ligatures w14:val="none"/>
        </w:rPr>
        <w:t>Tebeu</w:t>
      </w:r>
      <w:proofErr w:type="spellEnd"/>
      <w:r w:rsidRPr="00D26260">
        <w:rPr>
          <w:rFonts w:ascii="Times New Roman" w:eastAsia="Times New Roman" w:hAnsi="Times New Roman" w:cs="Times New Roman"/>
          <w:color w:val="0F1115"/>
          <w:kern w:val="0"/>
          <w14:ligatures w14:val="none"/>
        </w:rPr>
        <w:t xml:space="preserve"> et al., 2019), this gap requires urgent attention through strengthened ANC distribution systems.</w:t>
      </w:r>
    </w:p>
    <w:p w14:paraId="4AD0739B"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Tetanus toxoid coverage</w:t>
      </w:r>
      <w:r w:rsidRPr="00D26260">
        <w:rPr>
          <w:rFonts w:ascii="Times New Roman" w:eastAsia="Times New Roman" w:hAnsi="Times New Roman" w:cs="Times New Roman"/>
          <w:color w:val="0F1115"/>
          <w:kern w:val="0"/>
          <w14:ligatures w14:val="none"/>
        </w:rPr>
        <w:t xml:space="preserve"> (53%) is marginally higher than the 52% reported by </w:t>
      </w:r>
      <w:proofErr w:type="spellStart"/>
      <w:r w:rsidRPr="00D26260">
        <w:rPr>
          <w:rFonts w:ascii="Times New Roman" w:eastAsia="Times New Roman" w:hAnsi="Times New Roman" w:cs="Times New Roman"/>
          <w:color w:val="0F1115"/>
          <w:kern w:val="0"/>
          <w14:ligatures w14:val="none"/>
        </w:rPr>
        <w:t>Bikabusa</w:t>
      </w:r>
      <w:proofErr w:type="spellEnd"/>
      <w:r w:rsidRPr="00D26260">
        <w:rPr>
          <w:rFonts w:ascii="Times New Roman" w:eastAsia="Times New Roman" w:hAnsi="Times New Roman" w:cs="Times New Roman"/>
          <w:color w:val="0F1115"/>
          <w:kern w:val="0"/>
          <w14:ligatures w14:val="none"/>
        </w:rPr>
        <w:t xml:space="preserve"> (2016) but remains insufficient for neonatal tetanus elimination. </w:t>
      </w:r>
      <w:r w:rsidRPr="00D26260">
        <w:rPr>
          <w:rFonts w:ascii="Times New Roman" w:eastAsia="Times New Roman" w:hAnsi="Times New Roman" w:cs="Times New Roman"/>
          <w:b/>
          <w:bCs/>
          <w:color w:val="0F1115"/>
          <w:kern w:val="0"/>
          <w14:ligatures w14:val="none"/>
        </w:rPr>
        <w:t>Iron-folate supplementation</w:t>
      </w:r>
      <w:r w:rsidRPr="00D26260">
        <w:rPr>
          <w:rFonts w:ascii="Times New Roman" w:eastAsia="Times New Roman" w:hAnsi="Times New Roman" w:cs="Times New Roman"/>
          <w:color w:val="0F1115"/>
          <w:kern w:val="0"/>
          <w14:ligatures w14:val="none"/>
        </w:rPr>
        <w:t> (96%) and </w:t>
      </w:r>
      <w:r w:rsidRPr="00D26260">
        <w:rPr>
          <w:rFonts w:ascii="Times New Roman" w:eastAsia="Times New Roman" w:hAnsi="Times New Roman" w:cs="Times New Roman"/>
          <w:b/>
          <w:bCs/>
          <w:color w:val="0F1115"/>
          <w:kern w:val="0"/>
          <w14:ligatures w14:val="none"/>
        </w:rPr>
        <w:t>deworming</w:t>
      </w:r>
      <w:r w:rsidRPr="00D26260">
        <w:rPr>
          <w:rFonts w:ascii="Times New Roman" w:eastAsia="Times New Roman" w:hAnsi="Times New Roman" w:cs="Times New Roman"/>
          <w:color w:val="0F1115"/>
          <w:kern w:val="0"/>
          <w14:ligatures w14:val="none"/>
        </w:rPr>
        <w:t> (62%) were relatively better.</w:t>
      </w:r>
    </w:p>
    <w:p w14:paraId="39EFE184"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4.2. Resource Deficiencies</w:t>
      </w:r>
    </w:p>
    <w:p w14:paraId="42AB677C"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The critical shortage of test kits (22% availability) and supervision tools (50%) highlights systemic weaknesses. The absence of a functional refrigerator compromises vaccine quality, while the lack of CD4 testing capacity limits appropriate management of HIV-positive pregnant women. These findings echo those of </w:t>
      </w:r>
      <w:proofErr w:type="spellStart"/>
      <w:r w:rsidRPr="00D26260">
        <w:rPr>
          <w:rFonts w:ascii="Times New Roman" w:eastAsia="Times New Roman" w:hAnsi="Times New Roman" w:cs="Times New Roman"/>
          <w:color w:val="0F1115"/>
          <w:kern w:val="0"/>
          <w14:ligatures w14:val="none"/>
        </w:rPr>
        <w:t>Manzanza</w:t>
      </w:r>
      <w:proofErr w:type="spellEnd"/>
      <w:r w:rsidRPr="00D26260">
        <w:rPr>
          <w:rFonts w:ascii="Times New Roman" w:eastAsia="Times New Roman" w:hAnsi="Times New Roman" w:cs="Times New Roman"/>
          <w:color w:val="0F1115"/>
          <w:kern w:val="0"/>
          <w14:ligatures w14:val="none"/>
        </w:rPr>
        <w:t xml:space="preserve"> (2017) and </w:t>
      </w:r>
      <w:proofErr w:type="spellStart"/>
      <w:r w:rsidRPr="00D26260">
        <w:rPr>
          <w:rFonts w:ascii="Times New Roman" w:eastAsia="Times New Roman" w:hAnsi="Times New Roman" w:cs="Times New Roman"/>
          <w:color w:val="0F1115"/>
          <w:kern w:val="0"/>
          <w14:ligatures w14:val="none"/>
        </w:rPr>
        <w:t>Shomba</w:t>
      </w:r>
      <w:proofErr w:type="spellEnd"/>
      <w:r w:rsidRPr="00D26260">
        <w:rPr>
          <w:rFonts w:ascii="Times New Roman" w:eastAsia="Times New Roman" w:hAnsi="Times New Roman" w:cs="Times New Roman"/>
          <w:color w:val="0F1115"/>
          <w:kern w:val="0"/>
          <w14:ligatures w14:val="none"/>
        </w:rPr>
        <w:t xml:space="preserve"> (2013) regarding the fragile state of laboratory infrastructure in DRC referral hospitals.</w:t>
      </w:r>
    </w:p>
    <w:p w14:paraId="44ADD46B"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4.3. Knowledge, Attitudes, and Practices</w:t>
      </w:r>
    </w:p>
    <w:p w14:paraId="5BBAD493"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The most striking finding is that </w:t>
      </w:r>
      <w:r w:rsidRPr="00D26260">
        <w:rPr>
          <w:rFonts w:ascii="Times New Roman" w:eastAsia="Times New Roman" w:hAnsi="Times New Roman" w:cs="Times New Roman"/>
          <w:b/>
          <w:bCs/>
          <w:color w:val="0F1115"/>
          <w:kern w:val="0"/>
          <w14:ligatures w14:val="none"/>
        </w:rPr>
        <w:t>72.8% of women believe pregnancy should be concealed in the first trimester</w:t>
      </w:r>
      <w:r w:rsidRPr="00D26260">
        <w:rPr>
          <w:rFonts w:ascii="Times New Roman" w:eastAsia="Times New Roman" w:hAnsi="Times New Roman" w:cs="Times New Roman"/>
          <w:color w:val="0F1115"/>
          <w:kern w:val="0"/>
          <w14:ligatures w14:val="none"/>
        </w:rPr>
        <w:t>, primarily due to </w:t>
      </w:r>
      <w:r w:rsidRPr="00D26260">
        <w:rPr>
          <w:rFonts w:ascii="Times New Roman" w:eastAsia="Times New Roman" w:hAnsi="Times New Roman" w:cs="Times New Roman"/>
          <w:b/>
          <w:bCs/>
          <w:color w:val="0F1115"/>
          <w:kern w:val="0"/>
          <w14:ligatures w14:val="none"/>
        </w:rPr>
        <w:t>fear of evil spirits or sorcerers</w:t>
      </w:r>
      <w:r w:rsidRPr="00D26260">
        <w:rPr>
          <w:rFonts w:ascii="Times New Roman" w:eastAsia="Times New Roman" w:hAnsi="Times New Roman" w:cs="Times New Roman"/>
          <w:color w:val="0F1115"/>
          <w:kern w:val="0"/>
          <w14:ligatures w14:val="none"/>
        </w:rPr>
        <w:t xml:space="preserve"> (91.8%). This is nearly identical to findings from Côte d'Ivoire (Bouchon, 2022) and Kinshasa (Khan et al., 2004), </w:t>
      </w:r>
      <w:proofErr w:type="gramStart"/>
      <w:r w:rsidRPr="00D26260">
        <w:rPr>
          <w:rFonts w:ascii="Times New Roman" w:eastAsia="Times New Roman" w:hAnsi="Times New Roman" w:cs="Times New Roman"/>
          <w:color w:val="0F1115"/>
          <w:kern w:val="0"/>
          <w14:ligatures w14:val="none"/>
        </w:rPr>
        <w:t>where</w:t>
      </w:r>
      <w:proofErr w:type="gramEnd"/>
      <w:r w:rsidRPr="00D26260">
        <w:rPr>
          <w:rFonts w:ascii="Times New Roman" w:eastAsia="Times New Roman" w:hAnsi="Times New Roman" w:cs="Times New Roman"/>
          <w:color w:val="0F1115"/>
          <w:kern w:val="0"/>
          <w14:ligatures w14:val="none"/>
        </w:rPr>
        <w:t xml:space="preserve"> similar supernatural beliefs delay ANC initiation. Women fear that publicly acknowledging a pregnancy will attract malevolent forces that could harm the mother or fetus. This cultural belief is a powerful barrier to early ANC attendance and must be addressed through </w:t>
      </w:r>
      <w:r w:rsidRPr="00D26260">
        <w:rPr>
          <w:rFonts w:ascii="Times New Roman" w:eastAsia="Times New Roman" w:hAnsi="Times New Roman" w:cs="Times New Roman"/>
          <w:color w:val="0F1115"/>
          <w:kern w:val="0"/>
          <w14:ligatures w14:val="none"/>
        </w:rPr>
        <w:lastRenderedPageBreak/>
        <w:t>community-based sensitization involving traditional healers, religious leaders, and trusted community members.</w:t>
      </w:r>
    </w:p>
    <w:p w14:paraId="297A0516"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The finding that </w:t>
      </w:r>
      <w:r w:rsidRPr="00D26260">
        <w:rPr>
          <w:rFonts w:ascii="Times New Roman" w:eastAsia="Times New Roman" w:hAnsi="Times New Roman" w:cs="Times New Roman"/>
          <w:b/>
          <w:bCs/>
          <w:color w:val="0F1115"/>
          <w:kern w:val="0"/>
          <w14:ligatures w14:val="none"/>
        </w:rPr>
        <w:t>58.8% of couples jointly decide on ANC attendance</w:t>
      </w:r>
      <w:r w:rsidRPr="00D26260">
        <w:rPr>
          <w:rFonts w:ascii="Times New Roman" w:eastAsia="Times New Roman" w:hAnsi="Times New Roman" w:cs="Times New Roman"/>
          <w:color w:val="0F1115"/>
          <w:kern w:val="0"/>
          <w14:ligatures w14:val="none"/>
        </w:rPr>
        <w:t> is encouraging, as male involvement is associated with better maternal health outcomes (Cham et al., 2020). ANC programs should continue to encourage couple attendance and shared decision-making.</w:t>
      </w:r>
    </w:p>
    <w:p w14:paraId="4921F63B"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No woman reported using traditional practices before ANC</w:t>
      </w:r>
      <w:r w:rsidRPr="00D26260">
        <w:rPr>
          <w:rFonts w:ascii="Times New Roman" w:eastAsia="Times New Roman" w:hAnsi="Times New Roman" w:cs="Times New Roman"/>
          <w:color w:val="0F1115"/>
          <w:kern w:val="0"/>
          <w14:ligatures w14:val="none"/>
        </w:rPr>
        <w:t>—this is a positive shift, possibly reflecting increased health literacy and the declining influence of traditional birth attendants in this urban setting.</w:t>
      </w:r>
    </w:p>
    <w:p w14:paraId="36F01C16"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The </w:t>
      </w:r>
      <w:r w:rsidRPr="00D26260">
        <w:rPr>
          <w:rFonts w:ascii="Times New Roman" w:eastAsia="Times New Roman" w:hAnsi="Times New Roman" w:cs="Times New Roman"/>
          <w:b/>
          <w:bCs/>
          <w:color w:val="0F1115"/>
          <w:kern w:val="0"/>
          <w14:ligatures w14:val="none"/>
        </w:rPr>
        <w:t>positive evolution of ANC utilization across successive pregnancies</w:t>
      </w:r>
      <w:r w:rsidRPr="00D26260">
        <w:rPr>
          <w:rFonts w:ascii="Times New Roman" w:eastAsia="Times New Roman" w:hAnsi="Times New Roman" w:cs="Times New Roman"/>
          <w:color w:val="0F1115"/>
          <w:kern w:val="0"/>
          <w14:ligatures w14:val="none"/>
        </w:rPr>
        <w:t> (51.6% of multiparous women) demonstrates that counseling and information received during ANC can change future behavior. This underscores the importance of quality health education during every ANC visit.</w:t>
      </w:r>
    </w:p>
    <w:p w14:paraId="34724BFD"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4.4. Strengths and Limitations</w:t>
      </w:r>
    </w:p>
    <w:p w14:paraId="1FD9F424"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Strengths:</w:t>
      </w:r>
      <w:r w:rsidRPr="00D26260">
        <w:rPr>
          <w:rFonts w:ascii="Times New Roman" w:eastAsia="Times New Roman" w:hAnsi="Times New Roman" w:cs="Times New Roman"/>
          <w:color w:val="0F1115"/>
          <w:kern w:val="0"/>
          <w14:ligatures w14:val="none"/>
        </w:rPr>
        <w:t xml:space="preserve"> This is the first mixed audit-KAP study on ANC at HGR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The sample size (n=116) was calculated using a standard formula, and random sampling minimized selection bias. The use of national PNSR norms as a reference standard allows comparability with other facilities.</w:t>
      </w:r>
    </w:p>
    <w:p w14:paraId="0777CAA5"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Limitations:</w:t>
      </w:r>
      <w:r w:rsidRPr="00D26260">
        <w:rPr>
          <w:rFonts w:ascii="Times New Roman" w:eastAsia="Times New Roman" w:hAnsi="Times New Roman" w:cs="Times New Roman"/>
          <w:color w:val="0F1115"/>
          <w:kern w:val="0"/>
          <w14:ligatures w14:val="none"/>
        </w:rPr>
        <w:t xml:space="preserve"> The cross-sectional design captures practices at one point in time. Self-reported KAP data may be subject to social desirability bias (women may underreport traditional practices). The study was conducted at a single referral </w:t>
      </w:r>
      <w:proofErr w:type="gramStart"/>
      <w:r w:rsidRPr="00D26260">
        <w:rPr>
          <w:rFonts w:ascii="Times New Roman" w:eastAsia="Times New Roman" w:hAnsi="Times New Roman" w:cs="Times New Roman"/>
          <w:color w:val="0F1115"/>
          <w:kern w:val="0"/>
          <w14:ligatures w14:val="none"/>
        </w:rPr>
        <w:t>hospital</w:t>
      </w:r>
      <w:proofErr w:type="gramEnd"/>
      <w:r w:rsidRPr="00D26260">
        <w:rPr>
          <w:rFonts w:ascii="Times New Roman" w:eastAsia="Times New Roman" w:hAnsi="Times New Roman" w:cs="Times New Roman"/>
          <w:color w:val="0F1115"/>
          <w:kern w:val="0"/>
          <w14:ligatures w14:val="none"/>
        </w:rPr>
        <w:t xml:space="preserve"> and findings may not be generalizable to rural health centers or other provinces. Finally, stockouts were reported at the time of data collection but may fluctuate over time.</w:t>
      </w:r>
    </w:p>
    <w:p w14:paraId="19A5CCF2" w14:textId="77777777" w:rsidR="007E0E28" w:rsidRPr="00D26260" w:rsidRDefault="007E0E28" w:rsidP="007E0E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26260">
        <w:rPr>
          <w:rFonts w:ascii="Times New Roman" w:eastAsia="Times New Roman" w:hAnsi="Times New Roman" w:cs="Times New Roman"/>
          <w:b/>
          <w:bCs/>
          <w:color w:val="0F1115"/>
          <w:kern w:val="0"/>
          <w:sz w:val="30"/>
          <w:szCs w:val="30"/>
          <w14:ligatures w14:val="none"/>
        </w:rPr>
        <w:t>4.5. Implications for Policy and Practice</w:t>
      </w:r>
    </w:p>
    <w:p w14:paraId="08B431D0" w14:textId="77777777" w:rsidR="007E0E28" w:rsidRPr="00D26260" w:rsidRDefault="007E0E28" w:rsidP="007E0E28">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lastRenderedPageBreak/>
        <w:t>Supply chain strengthening:</w:t>
      </w:r>
      <w:r w:rsidRPr="00D26260">
        <w:rPr>
          <w:rFonts w:ascii="Times New Roman" w:eastAsia="Times New Roman" w:hAnsi="Times New Roman" w:cs="Times New Roman"/>
          <w:color w:val="0F1115"/>
          <w:kern w:val="0"/>
          <w14:ligatures w14:val="none"/>
        </w:rPr>
        <w:t xml:space="preserve"> The MOH must ensure uninterrupted availability of syphilis RPR tests, ITNs, </w:t>
      </w:r>
      <w:proofErr w:type="spellStart"/>
      <w:r w:rsidRPr="00D26260">
        <w:rPr>
          <w:rFonts w:ascii="Times New Roman" w:eastAsia="Times New Roman" w:hAnsi="Times New Roman" w:cs="Times New Roman"/>
          <w:color w:val="0F1115"/>
          <w:kern w:val="0"/>
          <w14:ligatures w14:val="none"/>
        </w:rPr>
        <w:t>sulfadoxine</w:t>
      </w:r>
      <w:proofErr w:type="spellEnd"/>
      <w:r w:rsidRPr="00D26260">
        <w:rPr>
          <w:rFonts w:ascii="Times New Roman" w:eastAsia="Times New Roman" w:hAnsi="Times New Roman" w:cs="Times New Roman"/>
          <w:color w:val="0F1115"/>
          <w:kern w:val="0"/>
          <w14:ligatures w14:val="none"/>
        </w:rPr>
        <w:t>-pyrimethamine, and tetanus toxoid. A buffer stock system at the provincial level could prevent stockouts.</w:t>
      </w:r>
    </w:p>
    <w:p w14:paraId="03E7C07F" w14:textId="77777777" w:rsidR="007E0E28" w:rsidRPr="00D26260" w:rsidRDefault="007E0E28" w:rsidP="007E0E28">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Community sensitization:</w:t>
      </w:r>
      <w:r w:rsidRPr="00D26260">
        <w:rPr>
          <w:rFonts w:ascii="Times New Roman" w:eastAsia="Times New Roman" w:hAnsi="Times New Roman" w:cs="Times New Roman"/>
          <w:color w:val="0F1115"/>
          <w:kern w:val="0"/>
          <w14:ligatures w14:val="none"/>
        </w:rPr>
        <w:t> Targeted campaigns involving religious and community leaders are needed to address the belief that early pregnancy should be concealed. Messages should emphasize that early ANC does not attract evil spirits but rather protects mother and baby.</w:t>
      </w:r>
    </w:p>
    <w:p w14:paraId="6CD089FF" w14:textId="77777777" w:rsidR="007E0E28" w:rsidRPr="00D26260" w:rsidRDefault="007E0E28" w:rsidP="007E0E28">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Staff training and supervision:</w:t>
      </w:r>
      <w:r w:rsidRPr="00D26260">
        <w:rPr>
          <w:rFonts w:ascii="Times New Roman" w:eastAsia="Times New Roman" w:hAnsi="Times New Roman" w:cs="Times New Roman"/>
          <w:color w:val="0F1115"/>
          <w:kern w:val="0"/>
          <w14:ligatures w14:val="none"/>
        </w:rPr>
        <w:t> Continuous medical education on focused ANC and regular supervision using standardized checklists should be implemented.</w:t>
      </w:r>
    </w:p>
    <w:p w14:paraId="174AEEE1" w14:textId="77777777" w:rsidR="007E0E28" w:rsidRPr="00D26260" w:rsidRDefault="007E0E28" w:rsidP="007E0E28">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Infrastructure investment:</w:t>
      </w:r>
      <w:r w:rsidRPr="00D26260">
        <w:rPr>
          <w:rFonts w:ascii="Times New Roman" w:eastAsia="Times New Roman" w:hAnsi="Times New Roman" w:cs="Times New Roman"/>
          <w:color w:val="0F1115"/>
          <w:kern w:val="0"/>
          <w14:ligatures w14:val="none"/>
        </w:rPr>
        <w:t> A dedicated room for specimen collection and a functional refrigerator should be prioritized.</w:t>
      </w:r>
    </w:p>
    <w:p w14:paraId="30BAEF27" w14:textId="77777777" w:rsidR="007E0E28" w:rsidRPr="00D26260" w:rsidRDefault="007E0E28" w:rsidP="007E0E28">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Couple-focused interventions:</w:t>
      </w:r>
      <w:r w:rsidRPr="00D26260">
        <w:rPr>
          <w:rFonts w:ascii="Times New Roman" w:eastAsia="Times New Roman" w:hAnsi="Times New Roman" w:cs="Times New Roman"/>
          <w:color w:val="0F1115"/>
          <w:kern w:val="0"/>
          <w14:ligatures w14:val="none"/>
        </w:rPr>
        <w:t> Given that 58.8% of decisions are joint, ANC programs should actively invite male partners to attend at least one visit.</w:t>
      </w:r>
    </w:p>
    <w:p w14:paraId="4B06EBB8" w14:textId="77777777" w:rsidR="007E0E28" w:rsidRPr="00D26260" w:rsidRDefault="007E0E28" w:rsidP="007E0E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26260">
        <w:rPr>
          <w:rFonts w:ascii="Times New Roman" w:eastAsia="Times New Roman" w:hAnsi="Times New Roman" w:cs="Times New Roman"/>
          <w:b/>
          <w:bCs/>
          <w:color w:val="0F1115"/>
          <w:kern w:val="0"/>
          <w:sz w:val="33"/>
          <w:szCs w:val="33"/>
          <w14:ligatures w14:val="none"/>
        </w:rPr>
        <w:t>5. Conclusion</w:t>
      </w:r>
    </w:p>
    <w:p w14:paraId="638DDF63"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This study demonstrates that compliance with national ANC norms at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General Referral Hospital is substantially deficient. While some interventions (HIV testing, nutritional education) are well implemented, critical gaps exist in periodicity (only 24% complete four visits), malaria prevention (48% IPTp, 37% ITNs), tetanus vaccination (53%), and syphilis screening (0%). Resource shortages—particularly test kits (22% availability), equipment (64%), and supervision tools (50%)—are major contributors.</w:t>
      </w:r>
    </w:p>
    <w:p w14:paraId="54BFC83B"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Furthermore, cultural beliefs about concealing early pregnancy due to fear of evil spirits (72.8% of women) constitute a powerful barrier to early ANC initiation. Addressing this requires community-based dialogue, not merely facility-based interventions.</w:t>
      </w:r>
    </w:p>
    <w:p w14:paraId="5C717585"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To reduce maternal mortality in </w:t>
      </w:r>
      <w:proofErr w:type="spellStart"/>
      <w:r w:rsidRPr="00D26260">
        <w:rPr>
          <w:rFonts w:ascii="Times New Roman" w:eastAsia="Times New Roman" w:hAnsi="Times New Roman" w:cs="Times New Roman"/>
          <w:color w:val="0F1115"/>
          <w:kern w:val="0"/>
          <w14:ligatures w14:val="none"/>
        </w:rPr>
        <w:t>Mbandaka</w:t>
      </w:r>
      <w:proofErr w:type="spellEnd"/>
      <w:r w:rsidRPr="00D26260">
        <w:rPr>
          <w:rFonts w:ascii="Times New Roman" w:eastAsia="Times New Roman" w:hAnsi="Times New Roman" w:cs="Times New Roman"/>
          <w:color w:val="0F1115"/>
          <w:kern w:val="0"/>
          <w14:ligatures w14:val="none"/>
        </w:rPr>
        <w:t xml:space="preserve"> and achieve the SDG 3.1 target, the DRC government and its partners must: (1) ensure uninterrupted supplies of all ANC commodities; (2) train and supervise staff on focused ANC; (3) conduct community sensitization to counter harmful beliefs </w:t>
      </w:r>
      <w:r w:rsidRPr="00D26260">
        <w:rPr>
          <w:rFonts w:ascii="Times New Roman" w:eastAsia="Times New Roman" w:hAnsi="Times New Roman" w:cs="Times New Roman"/>
          <w:color w:val="0F1115"/>
          <w:kern w:val="0"/>
          <w14:ligatures w14:val="none"/>
        </w:rPr>
        <w:lastRenderedPageBreak/>
        <w:t xml:space="preserve">about early pregnancy; and (4) actively engage male partners in ANC. Without these actions, quality ANC will remain an aspiration rather than a reality for the women of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w:t>
      </w:r>
    </w:p>
    <w:p w14:paraId="78A8439D" w14:textId="77777777" w:rsidR="007E0E28" w:rsidRPr="00D26260" w:rsidRDefault="007E0E28" w:rsidP="007E0E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26260">
        <w:rPr>
          <w:rFonts w:ascii="Times New Roman" w:eastAsia="Times New Roman" w:hAnsi="Times New Roman" w:cs="Times New Roman"/>
          <w:b/>
          <w:bCs/>
          <w:color w:val="0F1115"/>
          <w:kern w:val="0"/>
          <w:sz w:val="33"/>
          <w:szCs w:val="33"/>
          <w14:ligatures w14:val="none"/>
        </w:rPr>
        <w:t>6. References</w:t>
      </w:r>
    </w:p>
    <w:p w14:paraId="6A36C668"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26260">
        <w:rPr>
          <w:rFonts w:ascii="Times New Roman" w:eastAsia="Times New Roman" w:hAnsi="Times New Roman" w:cs="Times New Roman"/>
          <w:color w:val="0F1115"/>
          <w:kern w:val="0"/>
          <w14:ligatures w14:val="none"/>
        </w:rPr>
        <w:t>Bikabusa</w:t>
      </w:r>
      <w:proofErr w:type="spellEnd"/>
      <w:r w:rsidRPr="00D26260">
        <w:rPr>
          <w:rFonts w:ascii="Times New Roman" w:eastAsia="Times New Roman" w:hAnsi="Times New Roman" w:cs="Times New Roman"/>
          <w:color w:val="0F1115"/>
          <w:kern w:val="0"/>
          <w14:ligatures w14:val="none"/>
        </w:rPr>
        <w:t xml:space="preserve"> Matondo, A. (2016). </w:t>
      </w:r>
      <w:proofErr w:type="spellStart"/>
      <w:r w:rsidRPr="00D26260">
        <w:rPr>
          <w:rFonts w:ascii="Times New Roman" w:eastAsia="Times New Roman" w:hAnsi="Times New Roman" w:cs="Times New Roman"/>
          <w:i/>
          <w:iCs/>
          <w:color w:val="0F1115"/>
          <w:kern w:val="0"/>
          <w14:ligatures w14:val="none"/>
        </w:rPr>
        <w:t>Évaluation</w:t>
      </w:r>
      <w:proofErr w:type="spellEnd"/>
      <w:r w:rsidRPr="00D26260">
        <w:rPr>
          <w:rFonts w:ascii="Times New Roman" w:eastAsia="Times New Roman" w:hAnsi="Times New Roman" w:cs="Times New Roman"/>
          <w:i/>
          <w:iCs/>
          <w:color w:val="0F1115"/>
          <w:kern w:val="0"/>
          <w14:ligatures w14:val="none"/>
        </w:rPr>
        <w:t xml:space="preserve"> normative de la consultation </w:t>
      </w:r>
      <w:proofErr w:type="spellStart"/>
      <w:r w:rsidRPr="00D26260">
        <w:rPr>
          <w:rFonts w:ascii="Times New Roman" w:eastAsia="Times New Roman" w:hAnsi="Times New Roman" w:cs="Times New Roman"/>
          <w:i/>
          <w:iCs/>
          <w:color w:val="0F1115"/>
          <w:kern w:val="0"/>
          <w14:ligatures w14:val="none"/>
        </w:rPr>
        <w:t>prénatale</w:t>
      </w:r>
      <w:proofErr w:type="spellEnd"/>
      <w:r w:rsidRPr="00D26260">
        <w:rPr>
          <w:rFonts w:ascii="Times New Roman" w:eastAsia="Times New Roman" w:hAnsi="Times New Roman" w:cs="Times New Roman"/>
          <w:i/>
          <w:iCs/>
          <w:color w:val="0F1115"/>
          <w:kern w:val="0"/>
          <w14:ligatures w14:val="none"/>
        </w:rPr>
        <w:t xml:space="preserve"> </w:t>
      </w:r>
      <w:proofErr w:type="spellStart"/>
      <w:r w:rsidRPr="00D26260">
        <w:rPr>
          <w:rFonts w:ascii="Times New Roman" w:eastAsia="Times New Roman" w:hAnsi="Times New Roman" w:cs="Times New Roman"/>
          <w:i/>
          <w:iCs/>
          <w:color w:val="0F1115"/>
          <w:kern w:val="0"/>
          <w14:ligatures w14:val="none"/>
        </w:rPr>
        <w:t>auprès</w:t>
      </w:r>
      <w:proofErr w:type="spellEnd"/>
      <w:r w:rsidRPr="00D26260">
        <w:rPr>
          <w:rFonts w:ascii="Times New Roman" w:eastAsia="Times New Roman" w:hAnsi="Times New Roman" w:cs="Times New Roman"/>
          <w:i/>
          <w:iCs/>
          <w:color w:val="0F1115"/>
          <w:kern w:val="0"/>
          <w14:ligatures w14:val="none"/>
        </w:rPr>
        <w:t xml:space="preserve"> des </w:t>
      </w:r>
      <w:proofErr w:type="gramStart"/>
      <w:r w:rsidRPr="00D26260">
        <w:rPr>
          <w:rFonts w:ascii="Times New Roman" w:eastAsia="Times New Roman" w:hAnsi="Times New Roman" w:cs="Times New Roman"/>
          <w:i/>
          <w:iCs/>
          <w:color w:val="0F1115"/>
          <w:kern w:val="0"/>
          <w14:ligatures w14:val="none"/>
        </w:rPr>
        <w:t>femmes</w:t>
      </w:r>
      <w:proofErr w:type="gramEnd"/>
      <w:r w:rsidRPr="00D26260">
        <w:rPr>
          <w:rFonts w:ascii="Times New Roman" w:eastAsia="Times New Roman" w:hAnsi="Times New Roman" w:cs="Times New Roman"/>
          <w:i/>
          <w:iCs/>
          <w:color w:val="0F1115"/>
          <w:kern w:val="0"/>
          <w14:ligatures w14:val="none"/>
        </w:rPr>
        <w:t xml:space="preserve"> enceintes qui </w:t>
      </w:r>
      <w:proofErr w:type="spellStart"/>
      <w:r w:rsidRPr="00D26260">
        <w:rPr>
          <w:rFonts w:ascii="Times New Roman" w:eastAsia="Times New Roman" w:hAnsi="Times New Roman" w:cs="Times New Roman"/>
          <w:i/>
          <w:iCs/>
          <w:color w:val="0F1115"/>
          <w:kern w:val="0"/>
          <w14:ligatures w14:val="none"/>
        </w:rPr>
        <w:t>fréquentent</w:t>
      </w:r>
      <w:proofErr w:type="spellEnd"/>
      <w:r w:rsidRPr="00D26260">
        <w:rPr>
          <w:rFonts w:ascii="Times New Roman" w:eastAsia="Times New Roman" w:hAnsi="Times New Roman" w:cs="Times New Roman"/>
          <w:i/>
          <w:iCs/>
          <w:color w:val="0F1115"/>
          <w:kern w:val="0"/>
          <w14:ligatures w14:val="none"/>
        </w:rPr>
        <w:t xml:space="preserve"> le </w:t>
      </w:r>
      <w:proofErr w:type="spellStart"/>
      <w:r w:rsidRPr="00D26260">
        <w:rPr>
          <w:rFonts w:ascii="Times New Roman" w:eastAsia="Times New Roman" w:hAnsi="Times New Roman" w:cs="Times New Roman"/>
          <w:i/>
          <w:iCs/>
          <w:color w:val="0F1115"/>
          <w:kern w:val="0"/>
          <w14:ligatures w14:val="none"/>
        </w:rPr>
        <w:t>centre</w:t>
      </w:r>
      <w:proofErr w:type="spellEnd"/>
      <w:r w:rsidRPr="00D26260">
        <w:rPr>
          <w:rFonts w:ascii="Times New Roman" w:eastAsia="Times New Roman" w:hAnsi="Times New Roman" w:cs="Times New Roman"/>
          <w:i/>
          <w:iCs/>
          <w:color w:val="0F1115"/>
          <w:kern w:val="0"/>
          <w14:ligatures w14:val="none"/>
        </w:rPr>
        <w:t xml:space="preserve"> </w:t>
      </w:r>
      <w:proofErr w:type="spellStart"/>
      <w:r w:rsidRPr="00D26260">
        <w:rPr>
          <w:rFonts w:ascii="Times New Roman" w:eastAsia="Times New Roman" w:hAnsi="Times New Roman" w:cs="Times New Roman"/>
          <w:i/>
          <w:iCs/>
          <w:color w:val="0F1115"/>
          <w:kern w:val="0"/>
          <w14:ligatures w14:val="none"/>
        </w:rPr>
        <w:t>hospitalier</w:t>
      </w:r>
      <w:proofErr w:type="spellEnd"/>
      <w:r w:rsidRPr="00D26260">
        <w:rPr>
          <w:rFonts w:ascii="Times New Roman" w:eastAsia="Times New Roman" w:hAnsi="Times New Roman" w:cs="Times New Roman"/>
          <w:i/>
          <w:iCs/>
          <w:color w:val="0F1115"/>
          <w:kern w:val="0"/>
          <w14:ligatures w14:val="none"/>
        </w:rPr>
        <w:t xml:space="preserve"> Luyindu à Kinshasa</w:t>
      </w:r>
      <w:r w:rsidRPr="00D26260">
        <w:rPr>
          <w:rFonts w:ascii="Times New Roman" w:eastAsia="Times New Roman" w:hAnsi="Times New Roman" w:cs="Times New Roman"/>
          <w:color w:val="0F1115"/>
          <w:kern w:val="0"/>
          <w14:ligatures w14:val="none"/>
        </w:rPr>
        <w:t> [Unpublished master's thesis]. ISTM Kinshasa.</w:t>
      </w:r>
    </w:p>
    <w:p w14:paraId="52668508"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Bouchon, M. (2022). </w:t>
      </w:r>
      <w:r w:rsidRPr="00D26260">
        <w:rPr>
          <w:rFonts w:ascii="Times New Roman" w:eastAsia="Times New Roman" w:hAnsi="Times New Roman" w:cs="Times New Roman"/>
          <w:i/>
          <w:iCs/>
          <w:color w:val="0F1115"/>
          <w:kern w:val="0"/>
          <w14:ligatures w14:val="none"/>
        </w:rPr>
        <w:t>Étude socio-</w:t>
      </w:r>
      <w:proofErr w:type="spellStart"/>
      <w:r w:rsidRPr="00D26260">
        <w:rPr>
          <w:rFonts w:ascii="Times New Roman" w:eastAsia="Times New Roman" w:hAnsi="Times New Roman" w:cs="Times New Roman"/>
          <w:i/>
          <w:iCs/>
          <w:color w:val="0F1115"/>
          <w:kern w:val="0"/>
          <w14:ligatures w14:val="none"/>
        </w:rPr>
        <w:t>anthropologique</w:t>
      </w:r>
      <w:proofErr w:type="spellEnd"/>
      <w:r w:rsidRPr="00D26260">
        <w:rPr>
          <w:rFonts w:ascii="Times New Roman" w:eastAsia="Times New Roman" w:hAnsi="Times New Roman" w:cs="Times New Roman"/>
          <w:i/>
          <w:iCs/>
          <w:color w:val="0F1115"/>
          <w:kern w:val="0"/>
          <w14:ligatures w14:val="none"/>
        </w:rPr>
        <w:t xml:space="preserve">: les obstacles dans </w:t>
      </w:r>
      <w:proofErr w:type="spellStart"/>
      <w:r w:rsidRPr="00D26260">
        <w:rPr>
          <w:rFonts w:ascii="Times New Roman" w:eastAsia="Times New Roman" w:hAnsi="Times New Roman" w:cs="Times New Roman"/>
          <w:i/>
          <w:iCs/>
          <w:color w:val="0F1115"/>
          <w:kern w:val="0"/>
          <w14:ligatures w14:val="none"/>
        </w:rPr>
        <w:t>l'utilisation</w:t>
      </w:r>
      <w:proofErr w:type="spellEnd"/>
      <w:r w:rsidRPr="00D26260">
        <w:rPr>
          <w:rFonts w:ascii="Times New Roman" w:eastAsia="Times New Roman" w:hAnsi="Times New Roman" w:cs="Times New Roman"/>
          <w:i/>
          <w:iCs/>
          <w:color w:val="0F1115"/>
          <w:kern w:val="0"/>
          <w14:ligatures w14:val="none"/>
        </w:rPr>
        <w:t xml:space="preserve"> des services de </w:t>
      </w:r>
      <w:proofErr w:type="spellStart"/>
      <w:r w:rsidRPr="00D26260">
        <w:rPr>
          <w:rFonts w:ascii="Times New Roman" w:eastAsia="Times New Roman" w:hAnsi="Times New Roman" w:cs="Times New Roman"/>
          <w:i/>
          <w:iCs/>
          <w:color w:val="0F1115"/>
          <w:kern w:val="0"/>
          <w14:ligatures w14:val="none"/>
        </w:rPr>
        <w:t>soins</w:t>
      </w:r>
      <w:proofErr w:type="spellEnd"/>
      <w:r w:rsidRPr="00D26260">
        <w:rPr>
          <w:rFonts w:ascii="Times New Roman" w:eastAsia="Times New Roman" w:hAnsi="Times New Roman" w:cs="Times New Roman"/>
          <w:i/>
          <w:iCs/>
          <w:color w:val="0F1115"/>
          <w:kern w:val="0"/>
          <w14:ligatures w14:val="none"/>
        </w:rPr>
        <w:t xml:space="preserve"> et de </w:t>
      </w:r>
      <w:proofErr w:type="spellStart"/>
      <w:r w:rsidRPr="00D26260">
        <w:rPr>
          <w:rFonts w:ascii="Times New Roman" w:eastAsia="Times New Roman" w:hAnsi="Times New Roman" w:cs="Times New Roman"/>
          <w:i/>
          <w:iCs/>
          <w:color w:val="0F1115"/>
          <w:kern w:val="0"/>
          <w14:ligatures w14:val="none"/>
        </w:rPr>
        <w:t>prévention</w:t>
      </w:r>
      <w:proofErr w:type="spellEnd"/>
      <w:r w:rsidRPr="00D26260">
        <w:rPr>
          <w:rFonts w:ascii="Times New Roman" w:eastAsia="Times New Roman" w:hAnsi="Times New Roman" w:cs="Times New Roman"/>
          <w:i/>
          <w:iCs/>
          <w:color w:val="0F1115"/>
          <w:kern w:val="0"/>
          <w14:ligatures w14:val="none"/>
        </w:rPr>
        <w:t xml:space="preserve">, </w:t>
      </w:r>
      <w:proofErr w:type="spellStart"/>
      <w:r w:rsidRPr="00D26260">
        <w:rPr>
          <w:rFonts w:ascii="Times New Roman" w:eastAsia="Times New Roman" w:hAnsi="Times New Roman" w:cs="Times New Roman"/>
          <w:i/>
          <w:iCs/>
          <w:color w:val="0F1115"/>
          <w:kern w:val="0"/>
          <w14:ligatures w14:val="none"/>
        </w:rPr>
        <w:t>en</w:t>
      </w:r>
      <w:proofErr w:type="spellEnd"/>
      <w:r w:rsidRPr="00D26260">
        <w:rPr>
          <w:rFonts w:ascii="Times New Roman" w:eastAsia="Times New Roman" w:hAnsi="Times New Roman" w:cs="Times New Roman"/>
          <w:i/>
          <w:iCs/>
          <w:color w:val="0F1115"/>
          <w:kern w:val="0"/>
          <w14:ligatures w14:val="none"/>
        </w:rPr>
        <w:t xml:space="preserve"> particulier </w:t>
      </w:r>
      <w:proofErr w:type="spellStart"/>
      <w:r w:rsidRPr="00D26260">
        <w:rPr>
          <w:rFonts w:ascii="Times New Roman" w:eastAsia="Times New Roman" w:hAnsi="Times New Roman" w:cs="Times New Roman"/>
          <w:i/>
          <w:iCs/>
          <w:color w:val="0F1115"/>
          <w:kern w:val="0"/>
          <w14:ligatures w14:val="none"/>
        </w:rPr>
        <w:t>en</w:t>
      </w:r>
      <w:proofErr w:type="spellEnd"/>
      <w:r w:rsidRPr="00D26260">
        <w:rPr>
          <w:rFonts w:ascii="Times New Roman" w:eastAsia="Times New Roman" w:hAnsi="Times New Roman" w:cs="Times New Roman"/>
          <w:i/>
          <w:iCs/>
          <w:color w:val="0F1115"/>
          <w:kern w:val="0"/>
          <w14:ligatures w14:val="none"/>
        </w:rPr>
        <w:t xml:space="preserve"> santé </w:t>
      </w:r>
      <w:proofErr w:type="spellStart"/>
      <w:r w:rsidRPr="00D26260">
        <w:rPr>
          <w:rFonts w:ascii="Times New Roman" w:eastAsia="Times New Roman" w:hAnsi="Times New Roman" w:cs="Times New Roman"/>
          <w:i/>
          <w:iCs/>
          <w:color w:val="0F1115"/>
          <w:kern w:val="0"/>
          <w14:ligatures w14:val="none"/>
        </w:rPr>
        <w:t>sexuelle</w:t>
      </w:r>
      <w:proofErr w:type="spellEnd"/>
      <w:r w:rsidRPr="00D26260">
        <w:rPr>
          <w:rFonts w:ascii="Times New Roman" w:eastAsia="Times New Roman" w:hAnsi="Times New Roman" w:cs="Times New Roman"/>
          <w:i/>
          <w:iCs/>
          <w:color w:val="0F1115"/>
          <w:kern w:val="0"/>
          <w14:ligatures w14:val="none"/>
        </w:rPr>
        <w:t xml:space="preserve"> et reproductive </w:t>
      </w:r>
      <w:proofErr w:type="spellStart"/>
      <w:r w:rsidRPr="00D26260">
        <w:rPr>
          <w:rFonts w:ascii="Times New Roman" w:eastAsia="Times New Roman" w:hAnsi="Times New Roman" w:cs="Times New Roman"/>
          <w:i/>
          <w:iCs/>
          <w:color w:val="0F1115"/>
          <w:kern w:val="0"/>
          <w14:ligatures w14:val="none"/>
        </w:rPr>
        <w:t>en</w:t>
      </w:r>
      <w:proofErr w:type="spellEnd"/>
      <w:r w:rsidRPr="00D26260">
        <w:rPr>
          <w:rFonts w:ascii="Times New Roman" w:eastAsia="Times New Roman" w:hAnsi="Times New Roman" w:cs="Times New Roman"/>
          <w:i/>
          <w:iCs/>
          <w:color w:val="0F1115"/>
          <w:kern w:val="0"/>
          <w14:ligatures w14:val="none"/>
        </w:rPr>
        <w:t xml:space="preserve"> Côte d'Ivoire</w:t>
      </w:r>
      <w:r w:rsidRPr="00D26260">
        <w:rPr>
          <w:rFonts w:ascii="Times New Roman" w:eastAsia="Times New Roman" w:hAnsi="Times New Roman" w:cs="Times New Roman"/>
          <w:color w:val="0F1115"/>
          <w:kern w:val="0"/>
          <w14:ligatures w14:val="none"/>
        </w:rPr>
        <w:t>. Médecins du Monde.</w:t>
      </w:r>
    </w:p>
    <w:p w14:paraId="420A6A69"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Cham, H., Sundby, J., &amp; Vangen, S. (2020). Maternal mortality in the rural Gambia: A qualitative study on access to emergency obstetric care. </w:t>
      </w:r>
      <w:r w:rsidRPr="00D26260">
        <w:rPr>
          <w:rFonts w:ascii="Times New Roman" w:eastAsia="Times New Roman" w:hAnsi="Times New Roman" w:cs="Times New Roman"/>
          <w:i/>
          <w:iCs/>
          <w:color w:val="0F1115"/>
          <w:kern w:val="0"/>
          <w14:ligatures w14:val="none"/>
        </w:rPr>
        <w:t>Reproductive Health</w:t>
      </w:r>
      <w:r w:rsidRPr="00D26260">
        <w:rPr>
          <w:rFonts w:ascii="Times New Roman" w:eastAsia="Times New Roman" w:hAnsi="Times New Roman" w:cs="Times New Roman"/>
          <w:color w:val="0F1115"/>
          <w:kern w:val="0"/>
          <w14:ligatures w14:val="none"/>
        </w:rPr>
        <w:t>, 17(1), 1–10.</w:t>
      </w:r>
    </w:p>
    <w:p w14:paraId="24A10434"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Conde-Agudelo, A., </w:t>
      </w:r>
      <w:proofErr w:type="spellStart"/>
      <w:r w:rsidRPr="00D26260">
        <w:rPr>
          <w:rFonts w:ascii="Times New Roman" w:eastAsia="Times New Roman" w:hAnsi="Times New Roman" w:cs="Times New Roman"/>
          <w:color w:val="0F1115"/>
          <w:kern w:val="0"/>
          <w14:ligatures w14:val="none"/>
        </w:rPr>
        <w:t>Belizán</w:t>
      </w:r>
      <w:proofErr w:type="spellEnd"/>
      <w:r w:rsidRPr="00D26260">
        <w:rPr>
          <w:rFonts w:ascii="Times New Roman" w:eastAsia="Times New Roman" w:hAnsi="Times New Roman" w:cs="Times New Roman"/>
          <w:color w:val="0F1115"/>
          <w:kern w:val="0"/>
          <w14:ligatures w14:val="none"/>
        </w:rPr>
        <w:t>, J. M., &amp; Lammers, C. (2005). Maternal-perinatal morbidity and mortality associated with adolescent pregnancy in Latin America: Cross-sectional study. </w:t>
      </w:r>
      <w:r w:rsidRPr="00D26260">
        <w:rPr>
          <w:rFonts w:ascii="Times New Roman" w:eastAsia="Times New Roman" w:hAnsi="Times New Roman" w:cs="Times New Roman"/>
          <w:i/>
          <w:iCs/>
          <w:color w:val="0F1115"/>
          <w:kern w:val="0"/>
          <w14:ligatures w14:val="none"/>
        </w:rPr>
        <w:t>American Journal of Obstetrics and Gynecology</w:t>
      </w:r>
      <w:r w:rsidRPr="00D26260">
        <w:rPr>
          <w:rFonts w:ascii="Times New Roman" w:eastAsia="Times New Roman" w:hAnsi="Times New Roman" w:cs="Times New Roman"/>
          <w:color w:val="0F1115"/>
          <w:kern w:val="0"/>
          <w14:ligatures w14:val="none"/>
        </w:rPr>
        <w:t>, 192(2), 342–349.</w:t>
      </w:r>
    </w:p>
    <w:p w14:paraId="502B125C"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Khan, M., et al. (2004). </w:t>
      </w:r>
      <w:proofErr w:type="spellStart"/>
      <w:r w:rsidRPr="00D26260">
        <w:rPr>
          <w:rFonts w:ascii="Times New Roman" w:eastAsia="Times New Roman" w:hAnsi="Times New Roman" w:cs="Times New Roman"/>
          <w:color w:val="0F1115"/>
          <w:kern w:val="0"/>
          <w14:ligatures w14:val="none"/>
        </w:rPr>
        <w:t>Soins</w:t>
      </w:r>
      <w:proofErr w:type="spellEnd"/>
      <w:r w:rsidRPr="00D26260">
        <w:rPr>
          <w:rFonts w:ascii="Times New Roman" w:eastAsia="Times New Roman" w:hAnsi="Times New Roman" w:cs="Times New Roman"/>
          <w:color w:val="0F1115"/>
          <w:kern w:val="0"/>
          <w14:ligatures w14:val="none"/>
        </w:rPr>
        <w:t xml:space="preserve"> </w:t>
      </w:r>
      <w:proofErr w:type="spellStart"/>
      <w:r w:rsidRPr="00D26260">
        <w:rPr>
          <w:rFonts w:ascii="Times New Roman" w:eastAsia="Times New Roman" w:hAnsi="Times New Roman" w:cs="Times New Roman"/>
          <w:color w:val="0F1115"/>
          <w:kern w:val="0"/>
          <w14:ligatures w14:val="none"/>
        </w:rPr>
        <w:t>prénatals</w:t>
      </w:r>
      <w:proofErr w:type="spellEnd"/>
      <w:r w:rsidRPr="00D26260">
        <w:rPr>
          <w:rFonts w:ascii="Times New Roman" w:eastAsia="Times New Roman" w:hAnsi="Times New Roman" w:cs="Times New Roman"/>
          <w:color w:val="0F1115"/>
          <w:kern w:val="0"/>
          <w14:ligatures w14:val="none"/>
        </w:rPr>
        <w:t xml:space="preserve"> à Kinshasa: </w:t>
      </w:r>
      <w:proofErr w:type="spellStart"/>
      <w:r w:rsidRPr="00D26260">
        <w:rPr>
          <w:rFonts w:ascii="Times New Roman" w:eastAsia="Times New Roman" w:hAnsi="Times New Roman" w:cs="Times New Roman"/>
          <w:color w:val="0F1115"/>
          <w:kern w:val="0"/>
          <w14:ligatures w14:val="none"/>
        </w:rPr>
        <w:t>croyances</w:t>
      </w:r>
      <w:proofErr w:type="spellEnd"/>
      <w:r w:rsidRPr="00D26260">
        <w:rPr>
          <w:rFonts w:ascii="Times New Roman" w:eastAsia="Times New Roman" w:hAnsi="Times New Roman" w:cs="Times New Roman"/>
          <w:color w:val="0F1115"/>
          <w:kern w:val="0"/>
          <w14:ligatures w14:val="none"/>
        </w:rPr>
        <w:t xml:space="preserve">, </w:t>
      </w:r>
      <w:proofErr w:type="spellStart"/>
      <w:r w:rsidRPr="00D26260">
        <w:rPr>
          <w:rFonts w:ascii="Times New Roman" w:eastAsia="Times New Roman" w:hAnsi="Times New Roman" w:cs="Times New Roman"/>
          <w:color w:val="0F1115"/>
          <w:kern w:val="0"/>
          <w14:ligatures w14:val="none"/>
        </w:rPr>
        <w:t>connaissances</w:t>
      </w:r>
      <w:proofErr w:type="spellEnd"/>
      <w:r w:rsidRPr="00D26260">
        <w:rPr>
          <w:rFonts w:ascii="Times New Roman" w:eastAsia="Times New Roman" w:hAnsi="Times New Roman" w:cs="Times New Roman"/>
          <w:color w:val="0F1115"/>
          <w:kern w:val="0"/>
          <w14:ligatures w14:val="none"/>
        </w:rPr>
        <w:t xml:space="preserve"> et obstacles à la </w:t>
      </w:r>
      <w:proofErr w:type="spellStart"/>
      <w:r w:rsidRPr="00D26260">
        <w:rPr>
          <w:rFonts w:ascii="Times New Roman" w:eastAsia="Times New Roman" w:hAnsi="Times New Roman" w:cs="Times New Roman"/>
          <w:color w:val="0F1115"/>
          <w:kern w:val="0"/>
          <w14:ligatures w14:val="none"/>
        </w:rPr>
        <w:t>programmation</w:t>
      </w:r>
      <w:proofErr w:type="spellEnd"/>
      <w:r w:rsidRPr="00D26260">
        <w:rPr>
          <w:rFonts w:ascii="Times New Roman" w:eastAsia="Times New Roman" w:hAnsi="Times New Roman" w:cs="Times New Roman"/>
          <w:color w:val="0F1115"/>
          <w:kern w:val="0"/>
          <w14:ligatures w14:val="none"/>
        </w:rPr>
        <w:t xml:space="preserve"> </w:t>
      </w:r>
      <w:proofErr w:type="spellStart"/>
      <w:r w:rsidRPr="00D26260">
        <w:rPr>
          <w:rFonts w:ascii="Times New Roman" w:eastAsia="Times New Roman" w:hAnsi="Times New Roman" w:cs="Times New Roman"/>
          <w:color w:val="0F1115"/>
          <w:kern w:val="0"/>
          <w14:ligatures w14:val="none"/>
        </w:rPr>
        <w:t>appropriée</w:t>
      </w:r>
      <w:proofErr w:type="spellEnd"/>
      <w:r w:rsidRPr="00D26260">
        <w:rPr>
          <w:rFonts w:ascii="Times New Roman" w:eastAsia="Times New Roman" w:hAnsi="Times New Roman" w:cs="Times New Roman"/>
          <w:color w:val="0F1115"/>
          <w:kern w:val="0"/>
          <w14:ligatures w14:val="none"/>
        </w:rPr>
        <w:t>. </w:t>
      </w:r>
      <w:r w:rsidRPr="00D26260">
        <w:rPr>
          <w:rFonts w:ascii="Times New Roman" w:eastAsia="Times New Roman" w:hAnsi="Times New Roman" w:cs="Times New Roman"/>
          <w:i/>
          <w:iCs/>
          <w:color w:val="0F1115"/>
          <w:kern w:val="0"/>
          <w14:ligatures w14:val="none"/>
        </w:rPr>
        <w:t>Cahiers Santé</w:t>
      </w:r>
      <w:r w:rsidRPr="00D26260">
        <w:rPr>
          <w:rFonts w:ascii="Times New Roman" w:eastAsia="Times New Roman" w:hAnsi="Times New Roman" w:cs="Times New Roman"/>
          <w:color w:val="0F1115"/>
          <w:kern w:val="0"/>
          <w14:ligatures w14:val="none"/>
        </w:rPr>
        <w:t>, 14(2), 1–8.</w:t>
      </w:r>
    </w:p>
    <w:p w14:paraId="1F6C3A9A"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Ministère du Plan, RDC. (2019). </w:t>
      </w:r>
      <w:proofErr w:type="spellStart"/>
      <w:r w:rsidRPr="00D26260">
        <w:rPr>
          <w:rFonts w:ascii="Times New Roman" w:eastAsia="Times New Roman" w:hAnsi="Times New Roman" w:cs="Times New Roman"/>
          <w:i/>
          <w:iCs/>
          <w:color w:val="0F1115"/>
          <w:kern w:val="0"/>
          <w14:ligatures w14:val="none"/>
        </w:rPr>
        <w:t>Profil</w:t>
      </w:r>
      <w:proofErr w:type="spellEnd"/>
      <w:r w:rsidRPr="00D26260">
        <w:rPr>
          <w:rFonts w:ascii="Times New Roman" w:eastAsia="Times New Roman" w:hAnsi="Times New Roman" w:cs="Times New Roman"/>
          <w:i/>
          <w:iCs/>
          <w:color w:val="0F1115"/>
          <w:kern w:val="0"/>
          <w14:ligatures w14:val="none"/>
        </w:rPr>
        <w:t xml:space="preserve"> socio-économique de la province de </w:t>
      </w:r>
      <w:proofErr w:type="spellStart"/>
      <w:r w:rsidRPr="00D26260">
        <w:rPr>
          <w:rFonts w:ascii="Times New Roman" w:eastAsia="Times New Roman" w:hAnsi="Times New Roman" w:cs="Times New Roman"/>
          <w:i/>
          <w:iCs/>
          <w:color w:val="0F1115"/>
          <w:kern w:val="0"/>
          <w14:ligatures w14:val="none"/>
        </w:rPr>
        <w:t>l'Équateur</w:t>
      </w:r>
      <w:proofErr w:type="spellEnd"/>
      <w:r w:rsidRPr="00D26260">
        <w:rPr>
          <w:rFonts w:ascii="Times New Roman" w:eastAsia="Times New Roman" w:hAnsi="Times New Roman" w:cs="Times New Roman"/>
          <w:color w:val="0F1115"/>
          <w:kern w:val="0"/>
          <w14:ligatures w14:val="none"/>
        </w:rPr>
        <w:t>. Kinshasa.</w:t>
      </w:r>
    </w:p>
    <w:p w14:paraId="1610DDFF"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Ndiaye, P., et al. (2005). </w:t>
      </w:r>
      <w:proofErr w:type="spellStart"/>
      <w:r w:rsidRPr="00D26260">
        <w:rPr>
          <w:rFonts w:ascii="Times New Roman" w:eastAsia="Times New Roman" w:hAnsi="Times New Roman" w:cs="Times New Roman"/>
          <w:color w:val="0F1115"/>
          <w:kern w:val="0"/>
          <w14:ligatures w14:val="none"/>
        </w:rPr>
        <w:t>Déterminants</w:t>
      </w:r>
      <w:proofErr w:type="spellEnd"/>
      <w:r w:rsidRPr="00D26260">
        <w:rPr>
          <w:rFonts w:ascii="Times New Roman" w:eastAsia="Times New Roman" w:hAnsi="Times New Roman" w:cs="Times New Roman"/>
          <w:color w:val="0F1115"/>
          <w:kern w:val="0"/>
          <w14:ligatures w14:val="none"/>
        </w:rPr>
        <w:t xml:space="preserve"> </w:t>
      </w:r>
      <w:proofErr w:type="spellStart"/>
      <w:r w:rsidRPr="00D26260">
        <w:rPr>
          <w:rFonts w:ascii="Times New Roman" w:eastAsia="Times New Roman" w:hAnsi="Times New Roman" w:cs="Times New Roman"/>
          <w:color w:val="0F1115"/>
          <w:kern w:val="0"/>
          <w14:ligatures w14:val="none"/>
        </w:rPr>
        <w:t>socioculturels</w:t>
      </w:r>
      <w:proofErr w:type="spellEnd"/>
      <w:r w:rsidRPr="00D26260">
        <w:rPr>
          <w:rFonts w:ascii="Times New Roman" w:eastAsia="Times New Roman" w:hAnsi="Times New Roman" w:cs="Times New Roman"/>
          <w:color w:val="0F1115"/>
          <w:kern w:val="0"/>
          <w14:ligatures w14:val="none"/>
        </w:rPr>
        <w:t xml:space="preserve"> du retard de la première consultation </w:t>
      </w:r>
      <w:proofErr w:type="spellStart"/>
      <w:r w:rsidRPr="00D26260">
        <w:rPr>
          <w:rFonts w:ascii="Times New Roman" w:eastAsia="Times New Roman" w:hAnsi="Times New Roman" w:cs="Times New Roman"/>
          <w:color w:val="0F1115"/>
          <w:kern w:val="0"/>
          <w14:ligatures w14:val="none"/>
        </w:rPr>
        <w:t>prénatale</w:t>
      </w:r>
      <w:proofErr w:type="spellEnd"/>
      <w:r w:rsidRPr="00D26260">
        <w:rPr>
          <w:rFonts w:ascii="Times New Roman" w:eastAsia="Times New Roman" w:hAnsi="Times New Roman" w:cs="Times New Roman"/>
          <w:color w:val="0F1115"/>
          <w:kern w:val="0"/>
          <w14:ligatures w14:val="none"/>
        </w:rPr>
        <w:t xml:space="preserve"> dans un district sanitaire au Sénégal. </w:t>
      </w:r>
      <w:r w:rsidRPr="00D26260">
        <w:rPr>
          <w:rFonts w:ascii="Times New Roman" w:eastAsia="Times New Roman" w:hAnsi="Times New Roman" w:cs="Times New Roman"/>
          <w:i/>
          <w:iCs/>
          <w:color w:val="0F1115"/>
          <w:kern w:val="0"/>
          <w14:ligatures w14:val="none"/>
        </w:rPr>
        <w:t xml:space="preserve">Santé </w:t>
      </w:r>
      <w:proofErr w:type="spellStart"/>
      <w:r w:rsidRPr="00D26260">
        <w:rPr>
          <w:rFonts w:ascii="Times New Roman" w:eastAsia="Times New Roman" w:hAnsi="Times New Roman" w:cs="Times New Roman"/>
          <w:i/>
          <w:iCs/>
          <w:color w:val="0F1115"/>
          <w:kern w:val="0"/>
          <w14:ligatures w14:val="none"/>
        </w:rPr>
        <w:t>Publique</w:t>
      </w:r>
      <w:proofErr w:type="spellEnd"/>
      <w:r w:rsidRPr="00D26260">
        <w:rPr>
          <w:rFonts w:ascii="Times New Roman" w:eastAsia="Times New Roman" w:hAnsi="Times New Roman" w:cs="Times New Roman"/>
          <w:color w:val="0F1115"/>
          <w:kern w:val="0"/>
          <w14:ligatures w14:val="none"/>
        </w:rPr>
        <w:t>, 17(4), 1–10.</w:t>
      </w:r>
    </w:p>
    <w:p w14:paraId="20212E05"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D26260">
        <w:rPr>
          <w:rFonts w:ascii="Times New Roman" w:eastAsia="Times New Roman" w:hAnsi="Times New Roman" w:cs="Times New Roman"/>
          <w:color w:val="0F1115"/>
          <w:kern w:val="0"/>
          <w14:ligatures w14:val="none"/>
        </w:rPr>
        <w:t>Programme</w:t>
      </w:r>
      <w:proofErr w:type="spellEnd"/>
      <w:r w:rsidRPr="00D26260">
        <w:rPr>
          <w:rFonts w:ascii="Times New Roman" w:eastAsia="Times New Roman" w:hAnsi="Times New Roman" w:cs="Times New Roman"/>
          <w:color w:val="0F1115"/>
          <w:kern w:val="0"/>
          <w14:ligatures w14:val="none"/>
        </w:rPr>
        <w:t xml:space="preserve"> National de Santé de la Reproduction (PNSR). (2015). </w:t>
      </w:r>
      <w:proofErr w:type="spellStart"/>
      <w:r w:rsidRPr="00D26260">
        <w:rPr>
          <w:rFonts w:ascii="Times New Roman" w:eastAsia="Times New Roman" w:hAnsi="Times New Roman" w:cs="Times New Roman"/>
          <w:i/>
          <w:iCs/>
          <w:color w:val="0F1115"/>
          <w:kern w:val="0"/>
          <w14:ligatures w14:val="none"/>
        </w:rPr>
        <w:t>Normes</w:t>
      </w:r>
      <w:proofErr w:type="spellEnd"/>
      <w:r w:rsidRPr="00D26260">
        <w:rPr>
          <w:rFonts w:ascii="Times New Roman" w:eastAsia="Times New Roman" w:hAnsi="Times New Roman" w:cs="Times New Roman"/>
          <w:i/>
          <w:iCs/>
          <w:color w:val="0F1115"/>
          <w:kern w:val="0"/>
          <w14:ligatures w14:val="none"/>
        </w:rPr>
        <w:t xml:space="preserve"> de la zone de santé </w:t>
      </w:r>
      <w:proofErr w:type="gramStart"/>
      <w:r w:rsidRPr="00D26260">
        <w:rPr>
          <w:rFonts w:ascii="Times New Roman" w:eastAsia="Times New Roman" w:hAnsi="Times New Roman" w:cs="Times New Roman"/>
          <w:i/>
          <w:iCs/>
          <w:color w:val="0F1115"/>
          <w:kern w:val="0"/>
          <w14:ligatures w14:val="none"/>
        </w:rPr>
        <w:t>relatives</w:t>
      </w:r>
      <w:proofErr w:type="gramEnd"/>
      <w:r w:rsidRPr="00D26260">
        <w:rPr>
          <w:rFonts w:ascii="Times New Roman" w:eastAsia="Times New Roman" w:hAnsi="Times New Roman" w:cs="Times New Roman"/>
          <w:i/>
          <w:iCs/>
          <w:color w:val="0F1115"/>
          <w:kern w:val="0"/>
          <w14:ligatures w14:val="none"/>
        </w:rPr>
        <w:t xml:space="preserve"> aux interventions </w:t>
      </w:r>
      <w:proofErr w:type="spellStart"/>
      <w:r w:rsidRPr="00D26260">
        <w:rPr>
          <w:rFonts w:ascii="Times New Roman" w:eastAsia="Times New Roman" w:hAnsi="Times New Roman" w:cs="Times New Roman"/>
          <w:i/>
          <w:iCs/>
          <w:color w:val="0F1115"/>
          <w:kern w:val="0"/>
          <w14:ligatures w14:val="none"/>
        </w:rPr>
        <w:t>intégrées</w:t>
      </w:r>
      <w:proofErr w:type="spellEnd"/>
      <w:r w:rsidRPr="00D26260">
        <w:rPr>
          <w:rFonts w:ascii="Times New Roman" w:eastAsia="Times New Roman" w:hAnsi="Times New Roman" w:cs="Times New Roman"/>
          <w:i/>
          <w:iCs/>
          <w:color w:val="0F1115"/>
          <w:kern w:val="0"/>
          <w14:ligatures w14:val="none"/>
        </w:rPr>
        <w:t xml:space="preserve"> de la zone mère, du nouveau-né et de </w:t>
      </w:r>
      <w:proofErr w:type="spellStart"/>
      <w:r w:rsidRPr="00D26260">
        <w:rPr>
          <w:rFonts w:ascii="Times New Roman" w:eastAsia="Times New Roman" w:hAnsi="Times New Roman" w:cs="Times New Roman"/>
          <w:i/>
          <w:iCs/>
          <w:color w:val="0F1115"/>
          <w:kern w:val="0"/>
          <w14:ligatures w14:val="none"/>
        </w:rPr>
        <w:t>l'enfant</w:t>
      </w:r>
      <w:proofErr w:type="spellEnd"/>
      <w:r w:rsidRPr="00D26260">
        <w:rPr>
          <w:rFonts w:ascii="Times New Roman" w:eastAsia="Times New Roman" w:hAnsi="Times New Roman" w:cs="Times New Roman"/>
          <w:i/>
          <w:iCs/>
          <w:color w:val="0F1115"/>
          <w:kern w:val="0"/>
          <w14:ligatures w14:val="none"/>
        </w:rPr>
        <w:t xml:space="preserve"> </w:t>
      </w:r>
      <w:proofErr w:type="spellStart"/>
      <w:r w:rsidRPr="00D26260">
        <w:rPr>
          <w:rFonts w:ascii="Times New Roman" w:eastAsia="Times New Roman" w:hAnsi="Times New Roman" w:cs="Times New Roman"/>
          <w:i/>
          <w:iCs/>
          <w:color w:val="0F1115"/>
          <w:kern w:val="0"/>
          <w14:ligatures w14:val="none"/>
        </w:rPr>
        <w:t>en</w:t>
      </w:r>
      <w:proofErr w:type="spellEnd"/>
      <w:r w:rsidRPr="00D26260">
        <w:rPr>
          <w:rFonts w:ascii="Times New Roman" w:eastAsia="Times New Roman" w:hAnsi="Times New Roman" w:cs="Times New Roman"/>
          <w:i/>
          <w:iCs/>
          <w:color w:val="0F1115"/>
          <w:kern w:val="0"/>
          <w14:ligatures w14:val="none"/>
        </w:rPr>
        <w:t xml:space="preserve"> RDC</w:t>
      </w:r>
      <w:r w:rsidRPr="00D26260">
        <w:rPr>
          <w:rFonts w:ascii="Times New Roman" w:eastAsia="Times New Roman" w:hAnsi="Times New Roman" w:cs="Times New Roman"/>
          <w:color w:val="0F1115"/>
          <w:kern w:val="0"/>
          <w14:ligatures w14:val="none"/>
        </w:rPr>
        <w:t>. Ministère de la Santé, RDC.</w:t>
      </w:r>
    </w:p>
    <w:p w14:paraId="33EF3A01"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lastRenderedPageBreak/>
        <w:t>République Démocratique du Congo. (2014). *</w:t>
      </w:r>
      <w:proofErr w:type="spellStart"/>
      <w:r w:rsidRPr="00D26260">
        <w:rPr>
          <w:rFonts w:ascii="Times New Roman" w:eastAsia="Times New Roman" w:hAnsi="Times New Roman" w:cs="Times New Roman"/>
          <w:color w:val="0F1115"/>
          <w:kern w:val="0"/>
          <w14:ligatures w14:val="none"/>
        </w:rPr>
        <w:t>Enquête</w:t>
      </w:r>
      <w:proofErr w:type="spellEnd"/>
      <w:r w:rsidRPr="00D26260">
        <w:rPr>
          <w:rFonts w:ascii="Times New Roman" w:eastAsia="Times New Roman" w:hAnsi="Times New Roman" w:cs="Times New Roman"/>
          <w:color w:val="0F1115"/>
          <w:kern w:val="0"/>
          <w14:ligatures w14:val="none"/>
        </w:rPr>
        <w:t xml:space="preserve"> </w:t>
      </w:r>
      <w:proofErr w:type="spellStart"/>
      <w:r w:rsidRPr="00D26260">
        <w:rPr>
          <w:rFonts w:ascii="Times New Roman" w:eastAsia="Times New Roman" w:hAnsi="Times New Roman" w:cs="Times New Roman"/>
          <w:color w:val="0F1115"/>
          <w:kern w:val="0"/>
          <w14:ligatures w14:val="none"/>
        </w:rPr>
        <w:t>Démographique</w:t>
      </w:r>
      <w:proofErr w:type="spellEnd"/>
      <w:r w:rsidRPr="00D26260">
        <w:rPr>
          <w:rFonts w:ascii="Times New Roman" w:eastAsia="Times New Roman" w:hAnsi="Times New Roman" w:cs="Times New Roman"/>
          <w:color w:val="0F1115"/>
          <w:kern w:val="0"/>
          <w14:ligatures w14:val="none"/>
        </w:rPr>
        <w:t xml:space="preserve"> et de Santé (EDS-RDC II) 2013-2014*. Ministère du Plan.</w:t>
      </w:r>
    </w:p>
    <w:p w14:paraId="7B90F713"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 xml:space="preserve">Tebeu, P. M., Halle Ekane, G., &amp; Da </w:t>
      </w:r>
      <w:proofErr w:type="spellStart"/>
      <w:r w:rsidRPr="00D26260">
        <w:rPr>
          <w:rFonts w:ascii="Times New Roman" w:eastAsia="Times New Roman" w:hAnsi="Times New Roman" w:cs="Times New Roman"/>
          <w:color w:val="0F1115"/>
          <w:kern w:val="0"/>
          <w14:ligatures w14:val="none"/>
        </w:rPr>
        <w:t>Itambi</w:t>
      </w:r>
      <w:proofErr w:type="spellEnd"/>
      <w:r w:rsidRPr="00D26260">
        <w:rPr>
          <w:rFonts w:ascii="Times New Roman" w:eastAsia="Times New Roman" w:hAnsi="Times New Roman" w:cs="Times New Roman"/>
          <w:color w:val="0F1115"/>
          <w:kern w:val="0"/>
          <w14:ligatures w14:val="none"/>
        </w:rPr>
        <w:t>, M. (2019). Maternal mortality in Cameroon: A university teaching hospital report. </w:t>
      </w:r>
      <w:r w:rsidRPr="00D26260">
        <w:rPr>
          <w:rFonts w:ascii="Times New Roman" w:eastAsia="Times New Roman" w:hAnsi="Times New Roman" w:cs="Times New Roman"/>
          <w:i/>
          <w:iCs/>
          <w:color w:val="0F1115"/>
          <w:kern w:val="0"/>
          <w14:ligatures w14:val="none"/>
        </w:rPr>
        <w:t>Pan African Medical Journal</w:t>
      </w:r>
      <w:r w:rsidRPr="00D26260">
        <w:rPr>
          <w:rFonts w:ascii="Times New Roman" w:eastAsia="Times New Roman" w:hAnsi="Times New Roman" w:cs="Times New Roman"/>
          <w:color w:val="0F1115"/>
          <w:kern w:val="0"/>
          <w14:ligatures w14:val="none"/>
        </w:rPr>
        <w:t>, 33(1), 1–8.</w:t>
      </w:r>
    </w:p>
    <w:p w14:paraId="03639562"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World Health Organization. (2018). </w:t>
      </w:r>
      <w:r w:rsidRPr="00D26260">
        <w:rPr>
          <w:rFonts w:ascii="Times New Roman" w:eastAsia="Times New Roman" w:hAnsi="Times New Roman" w:cs="Times New Roman"/>
          <w:i/>
          <w:iCs/>
          <w:color w:val="0F1115"/>
          <w:kern w:val="0"/>
          <w14:ligatures w14:val="none"/>
        </w:rPr>
        <w:t>WHO recommendations on antenatal care for a positive pregnancy experience</w:t>
      </w:r>
      <w:r w:rsidRPr="00D26260">
        <w:rPr>
          <w:rFonts w:ascii="Times New Roman" w:eastAsia="Times New Roman" w:hAnsi="Times New Roman" w:cs="Times New Roman"/>
          <w:color w:val="0F1115"/>
          <w:kern w:val="0"/>
          <w14:ligatures w14:val="none"/>
        </w:rPr>
        <w:t>. Geneva: WHO.</w:t>
      </w:r>
    </w:p>
    <w:p w14:paraId="1E667F49"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color w:val="0F1115"/>
          <w:kern w:val="0"/>
          <w14:ligatures w14:val="none"/>
        </w:rPr>
        <w:t>World Health Organization. (2023). </w:t>
      </w:r>
      <w:r w:rsidRPr="00D26260">
        <w:rPr>
          <w:rFonts w:ascii="Times New Roman" w:eastAsia="Times New Roman" w:hAnsi="Times New Roman" w:cs="Times New Roman"/>
          <w:i/>
          <w:iCs/>
          <w:color w:val="0F1115"/>
          <w:kern w:val="0"/>
          <w14:ligatures w14:val="none"/>
        </w:rPr>
        <w:t>Trends in maternal mortality 2000 to 2023</w:t>
      </w:r>
      <w:r w:rsidRPr="00D26260">
        <w:rPr>
          <w:rFonts w:ascii="Times New Roman" w:eastAsia="Times New Roman" w:hAnsi="Times New Roman" w:cs="Times New Roman"/>
          <w:color w:val="0F1115"/>
          <w:kern w:val="0"/>
          <w14:ligatures w14:val="none"/>
        </w:rPr>
        <w:t>. Geneva: WHO.</w:t>
      </w:r>
    </w:p>
    <w:p w14:paraId="41268B93"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Corresponding Author:</w:t>
      </w:r>
      <w:r w:rsidRPr="00D26260">
        <w:rPr>
          <w:rFonts w:ascii="Times New Roman" w:eastAsia="Times New Roman" w:hAnsi="Times New Roman" w:cs="Times New Roman"/>
          <w:color w:val="0F1115"/>
          <w:kern w:val="0"/>
          <w14:ligatures w14:val="none"/>
        </w:rPr>
        <w:br/>
      </w:r>
      <w:proofErr w:type="spellStart"/>
      <w:r w:rsidRPr="00D26260">
        <w:rPr>
          <w:rFonts w:ascii="Times New Roman" w:eastAsia="Times New Roman" w:hAnsi="Times New Roman" w:cs="Times New Roman"/>
          <w:color w:val="0F1115"/>
          <w:kern w:val="0"/>
          <w14:ligatures w14:val="none"/>
        </w:rPr>
        <w:t>Ndongbo</w:t>
      </w:r>
      <w:proofErr w:type="spellEnd"/>
      <w:r w:rsidRPr="00D26260">
        <w:rPr>
          <w:rFonts w:ascii="Times New Roman" w:eastAsia="Times New Roman" w:hAnsi="Times New Roman" w:cs="Times New Roman"/>
          <w:color w:val="0F1115"/>
          <w:kern w:val="0"/>
          <w14:ligatures w14:val="none"/>
        </w:rPr>
        <w:t xml:space="preserve"> Lokongo Serge</w:t>
      </w:r>
      <w:r w:rsidRPr="00D26260">
        <w:rPr>
          <w:rFonts w:ascii="Times New Roman" w:eastAsia="Times New Roman" w:hAnsi="Times New Roman" w:cs="Times New Roman"/>
          <w:color w:val="0F1115"/>
          <w:kern w:val="0"/>
          <w14:ligatures w14:val="none"/>
        </w:rPr>
        <w:br/>
      </w:r>
      <w:proofErr w:type="spellStart"/>
      <w:r w:rsidRPr="00D26260">
        <w:rPr>
          <w:rFonts w:ascii="Times New Roman" w:eastAsia="Times New Roman" w:hAnsi="Times New Roman" w:cs="Times New Roman"/>
          <w:color w:val="0F1115"/>
          <w:kern w:val="0"/>
          <w14:ligatures w14:val="none"/>
        </w:rPr>
        <w:t>Institut</w:t>
      </w:r>
      <w:proofErr w:type="spellEnd"/>
      <w:r w:rsidRPr="00D26260">
        <w:rPr>
          <w:rFonts w:ascii="Times New Roman" w:eastAsia="Times New Roman" w:hAnsi="Times New Roman" w:cs="Times New Roman"/>
          <w:color w:val="0F1115"/>
          <w:kern w:val="0"/>
          <w14:ligatures w14:val="none"/>
        </w:rPr>
        <w:t xml:space="preserve"> Supérieur des Techniques </w:t>
      </w:r>
      <w:proofErr w:type="spellStart"/>
      <w:r w:rsidRPr="00D26260">
        <w:rPr>
          <w:rFonts w:ascii="Times New Roman" w:eastAsia="Times New Roman" w:hAnsi="Times New Roman" w:cs="Times New Roman"/>
          <w:color w:val="0F1115"/>
          <w:kern w:val="0"/>
          <w14:ligatures w14:val="none"/>
        </w:rPr>
        <w:t>Médicales</w:t>
      </w:r>
      <w:proofErr w:type="spellEnd"/>
      <w:r w:rsidRPr="00D26260">
        <w:rPr>
          <w:rFonts w:ascii="Times New Roman" w:eastAsia="Times New Roman" w:hAnsi="Times New Roman" w:cs="Times New Roman"/>
          <w:color w:val="0F1115"/>
          <w:kern w:val="0"/>
          <w14:ligatures w14:val="none"/>
        </w:rPr>
        <w:t xml:space="preserve"> (ISTM)</w:t>
      </w:r>
      <w:r w:rsidRPr="00D26260">
        <w:rPr>
          <w:rFonts w:ascii="Times New Roman" w:eastAsia="Times New Roman" w:hAnsi="Times New Roman" w:cs="Times New Roman"/>
          <w:color w:val="0F1115"/>
          <w:kern w:val="0"/>
          <w14:ligatures w14:val="none"/>
        </w:rPr>
        <w:br/>
      </w:r>
      <w:proofErr w:type="spellStart"/>
      <w:r w:rsidRPr="00D26260">
        <w:rPr>
          <w:rFonts w:ascii="Times New Roman" w:eastAsia="Times New Roman" w:hAnsi="Times New Roman" w:cs="Times New Roman"/>
          <w:color w:val="0F1115"/>
          <w:kern w:val="0"/>
          <w14:ligatures w14:val="none"/>
        </w:rPr>
        <w:t>Mbandaka</w:t>
      </w:r>
      <w:proofErr w:type="spellEnd"/>
      <w:r w:rsidRPr="00D26260">
        <w:rPr>
          <w:rFonts w:ascii="Times New Roman" w:eastAsia="Times New Roman" w:hAnsi="Times New Roman" w:cs="Times New Roman"/>
          <w:color w:val="0F1115"/>
          <w:kern w:val="0"/>
          <w14:ligatures w14:val="none"/>
        </w:rPr>
        <w:t>, Democratic Republic of the Congo</w:t>
      </w:r>
      <w:r w:rsidRPr="00D26260">
        <w:rPr>
          <w:rFonts w:ascii="Times New Roman" w:eastAsia="Times New Roman" w:hAnsi="Times New Roman" w:cs="Times New Roman"/>
          <w:color w:val="0F1115"/>
          <w:kern w:val="0"/>
          <w14:ligatures w14:val="none"/>
        </w:rPr>
        <w:br/>
        <w:t>Email: istm.mbka@gmail.com</w:t>
      </w:r>
    </w:p>
    <w:p w14:paraId="75745768"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Conflict of Interest Statement:</w:t>
      </w:r>
      <w:r w:rsidRPr="00D26260">
        <w:rPr>
          <w:rFonts w:ascii="Times New Roman" w:eastAsia="Times New Roman" w:hAnsi="Times New Roman" w:cs="Times New Roman"/>
          <w:color w:val="0F1115"/>
          <w:kern w:val="0"/>
          <w14:ligatures w14:val="none"/>
        </w:rPr>
        <w:t> The author declares no conflict of interest.</w:t>
      </w:r>
    </w:p>
    <w:p w14:paraId="0B4A3196" w14:textId="77777777" w:rsidR="007E0E28" w:rsidRPr="00D26260" w:rsidRDefault="007E0E28" w:rsidP="007E0E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D26260">
        <w:rPr>
          <w:rFonts w:ascii="Times New Roman" w:eastAsia="Times New Roman" w:hAnsi="Times New Roman" w:cs="Times New Roman"/>
          <w:b/>
          <w:bCs/>
          <w:color w:val="0F1115"/>
          <w:kern w:val="0"/>
          <w14:ligatures w14:val="none"/>
        </w:rPr>
        <w:t>Acknowledgments:</w:t>
      </w:r>
      <w:r w:rsidRPr="00D26260">
        <w:rPr>
          <w:rFonts w:ascii="Times New Roman" w:eastAsia="Times New Roman" w:hAnsi="Times New Roman" w:cs="Times New Roman"/>
          <w:color w:val="0F1115"/>
          <w:kern w:val="0"/>
          <w14:ligatures w14:val="none"/>
        </w:rPr>
        <w:t xml:space="preserve"> The author thanks Professor Thom's Konga </w:t>
      </w:r>
      <w:proofErr w:type="spellStart"/>
      <w:r w:rsidRPr="00D26260">
        <w:rPr>
          <w:rFonts w:ascii="Times New Roman" w:eastAsia="Times New Roman" w:hAnsi="Times New Roman" w:cs="Times New Roman"/>
          <w:color w:val="0F1115"/>
          <w:kern w:val="0"/>
          <w14:ligatures w14:val="none"/>
        </w:rPr>
        <w:t>Bakandjo</w:t>
      </w:r>
      <w:proofErr w:type="spellEnd"/>
      <w:r w:rsidRPr="00D26260">
        <w:rPr>
          <w:rFonts w:ascii="Times New Roman" w:eastAsia="Times New Roman" w:hAnsi="Times New Roman" w:cs="Times New Roman"/>
          <w:color w:val="0F1115"/>
          <w:kern w:val="0"/>
          <w14:ligatures w14:val="none"/>
        </w:rPr>
        <w:t xml:space="preserve"> for supervision, Gustave Mola for technical guidance, and the women of </w:t>
      </w:r>
      <w:proofErr w:type="spellStart"/>
      <w:r w:rsidRPr="00D26260">
        <w:rPr>
          <w:rFonts w:ascii="Times New Roman" w:eastAsia="Times New Roman" w:hAnsi="Times New Roman" w:cs="Times New Roman"/>
          <w:color w:val="0F1115"/>
          <w:kern w:val="0"/>
          <w14:ligatures w14:val="none"/>
        </w:rPr>
        <w:t>Wangata</w:t>
      </w:r>
      <w:proofErr w:type="spellEnd"/>
      <w:r w:rsidRPr="00D26260">
        <w:rPr>
          <w:rFonts w:ascii="Times New Roman" w:eastAsia="Times New Roman" w:hAnsi="Times New Roman" w:cs="Times New Roman"/>
          <w:color w:val="0F1115"/>
          <w:kern w:val="0"/>
          <w14:ligatures w14:val="none"/>
        </w:rPr>
        <w:t xml:space="preserve"> who participated in this study.</w:t>
      </w:r>
    </w:p>
    <w:p w14:paraId="63793DBA" w14:textId="77777777" w:rsidR="007E0E28" w:rsidRPr="00D26260" w:rsidRDefault="007E0E28" w:rsidP="007E0E28">
      <w:pPr>
        <w:spacing w:after="0" w:line="240" w:lineRule="auto"/>
        <w:rPr>
          <w:rFonts w:ascii="Times New Roman" w:eastAsia="Times New Roman" w:hAnsi="Times New Roman" w:cs="Times New Roman"/>
          <w:kern w:val="0"/>
          <w14:ligatures w14:val="none"/>
        </w:rPr>
      </w:pPr>
    </w:p>
    <w:p w14:paraId="57B7319C" w14:textId="77777777" w:rsidR="00B41904" w:rsidRPr="00D26260" w:rsidRDefault="00B41904">
      <w:pPr>
        <w:rPr>
          <w:rFonts w:ascii="Times New Roman" w:hAnsi="Times New Roman" w:cs="Times New Roman"/>
        </w:rPr>
      </w:pPr>
    </w:p>
    <w:sectPr w:rsidR="00B41904" w:rsidRPr="00D26260">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C289B" w14:textId="77777777" w:rsidR="002175D8" w:rsidRDefault="002175D8" w:rsidP="00D26260">
      <w:pPr>
        <w:spacing w:after="0" w:line="240" w:lineRule="auto"/>
      </w:pPr>
      <w:r>
        <w:separator/>
      </w:r>
    </w:p>
  </w:endnote>
  <w:endnote w:type="continuationSeparator" w:id="0">
    <w:p w14:paraId="07AA4958" w14:textId="77777777" w:rsidR="002175D8" w:rsidRDefault="002175D8" w:rsidP="00D26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7300679"/>
      <w:docPartObj>
        <w:docPartGallery w:val="Page Numbers (Bottom of Page)"/>
        <w:docPartUnique/>
      </w:docPartObj>
    </w:sdtPr>
    <w:sdtContent>
      <w:p w14:paraId="56E535FC" w14:textId="00C9C0C4" w:rsidR="00D26260" w:rsidRDefault="00D26260" w:rsidP="00B045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BD64A18" w14:textId="77777777" w:rsidR="00D26260" w:rsidRDefault="00D26260" w:rsidP="00D262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66761813"/>
      <w:docPartObj>
        <w:docPartGallery w:val="Page Numbers (Bottom of Page)"/>
        <w:docPartUnique/>
      </w:docPartObj>
    </w:sdtPr>
    <w:sdtContent>
      <w:p w14:paraId="3571EEC8" w14:textId="022BBCC0" w:rsidR="00D26260" w:rsidRDefault="00D26260" w:rsidP="00B045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37DD0768" w14:textId="77777777" w:rsidR="00D26260" w:rsidRDefault="00D26260" w:rsidP="00D2626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38487" w14:textId="77777777" w:rsidR="002175D8" w:rsidRDefault="002175D8" w:rsidP="00D26260">
      <w:pPr>
        <w:spacing w:after="0" w:line="240" w:lineRule="auto"/>
      </w:pPr>
      <w:r>
        <w:separator/>
      </w:r>
    </w:p>
  </w:footnote>
  <w:footnote w:type="continuationSeparator" w:id="0">
    <w:p w14:paraId="0A07219B" w14:textId="77777777" w:rsidR="002175D8" w:rsidRDefault="002175D8" w:rsidP="00D262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3230F"/>
    <w:multiLevelType w:val="multilevel"/>
    <w:tmpl w:val="7ED4F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B16187"/>
    <w:multiLevelType w:val="multilevel"/>
    <w:tmpl w:val="80EC7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9391201">
    <w:abstractNumId w:val="1"/>
  </w:num>
  <w:num w:numId="2" w16cid:durableId="388043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E28"/>
    <w:rsid w:val="002175D8"/>
    <w:rsid w:val="002C4B73"/>
    <w:rsid w:val="003F70DD"/>
    <w:rsid w:val="007E0E28"/>
    <w:rsid w:val="008F6EA0"/>
    <w:rsid w:val="00AC0C13"/>
    <w:rsid w:val="00B41904"/>
    <w:rsid w:val="00C621C3"/>
    <w:rsid w:val="00D26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8A76C"/>
  <w15:chartTrackingRefBased/>
  <w15:docId w15:val="{19EE5913-095D-CA4F-BD72-FC9F9019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E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0E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E0E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E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E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E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E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E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E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E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0E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E0E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E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E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E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E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E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E28"/>
    <w:rPr>
      <w:rFonts w:eastAsiaTheme="majorEastAsia" w:cstheme="majorBidi"/>
      <w:color w:val="272727" w:themeColor="text1" w:themeTint="D8"/>
    </w:rPr>
  </w:style>
  <w:style w:type="paragraph" w:styleId="Title">
    <w:name w:val="Title"/>
    <w:basedOn w:val="Normal"/>
    <w:next w:val="Normal"/>
    <w:link w:val="TitleChar"/>
    <w:uiPriority w:val="10"/>
    <w:qFormat/>
    <w:rsid w:val="007E0E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E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E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E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E28"/>
    <w:pPr>
      <w:spacing w:before="160"/>
      <w:jc w:val="center"/>
    </w:pPr>
    <w:rPr>
      <w:i/>
      <w:iCs/>
      <w:color w:val="404040" w:themeColor="text1" w:themeTint="BF"/>
    </w:rPr>
  </w:style>
  <w:style w:type="character" w:customStyle="1" w:styleId="QuoteChar">
    <w:name w:val="Quote Char"/>
    <w:basedOn w:val="DefaultParagraphFont"/>
    <w:link w:val="Quote"/>
    <w:uiPriority w:val="29"/>
    <w:rsid w:val="007E0E28"/>
    <w:rPr>
      <w:i/>
      <w:iCs/>
      <w:color w:val="404040" w:themeColor="text1" w:themeTint="BF"/>
    </w:rPr>
  </w:style>
  <w:style w:type="paragraph" w:styleId="ListParagraph">
    <w:name w:val="List Paragraph"/>
    <w:basedOn w:val="Normal"/>
    <w:uiPriority w:val="34"/>
    <w:qFormat/>
    <w:rsid w:val="007E0E28"/>
    <w:pPr>
      <w:ind w:left="720"/>
      <w:contextualSpacing/>
    </w:pPr>
  </w:style>
  <w:style w:type="character" w:styleId="IntenseEmphasis">
    <w:name w:val="Intense Emphasis"/>
    <w:basedOn w:val="DefaultParagraphFont"/>
    <w:uiPriority w:val="21"/>
    <w:qFormat/>
    <w:rsid w:val="007E0E28"/>
    <w:rPr>
      <w:i/>
      <w:iCs/>
      <w:color w:val="0F4761" w:themeColor="accent1" w:themeShade="BF"/>
    </w:rPr>
  </w:style>
  <w:style w:type="paragraph" w:styleId="IntenseQuote">
    <w:name w:val="Intense Quote"/>
    <w:basedOn w:val="Normal"/>
    <w:next w:val="Normal"/>
    <w:link w:val="IntenseQuoteChar"/>
    <w:uiPriority w:val="30"/>
    <w:qFormat/>
    <w:rsid w:val="007E0E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E28"/>
    <w:rPr>
      <w:i/>
      <w:iCs/>
      <w:color w:val="0F4761" w:themeColor="accent1" w:themeShade="BF"/>
    </w:rPr>
  </w:style>
  <w:style w:type="character" w:styleId="IntenseReference">
    <w:name w:val="Intense Reference"/>
    <w:basedOn w:val="DefaultParagraphFont"/>
    <w:uiPriority w:val="32"/>
    <w:qFormat/>
    <w:rsid w:val="007E0E28"/>
    <w:rPr>
      <w:b/>
      <w:bCs/>
      <w:smallCaps/>
      <w:color w:val="0F4761" w:themeColor="accent1" w:themeShade="BF"/>
      <w:spacing w:val="5"/>
    </w:rPr>
  </w:style>
  <w:style w:type="paragraph" w:customStyle="1" w:styleId="ds-markdown-paragraph">
    <w:name w:val="ds-markdown-paragraph"/>
    <w:basedOn w:val="Normal"/>
    <w:rsid w:val="007E0E2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E0E28"/>
    <w:rPr>
      <w:b/>
      <w:bCs/>
    </w:rPr>
  </w:style>
  <w:style w:type="character" w:styleId="Emphasis">
    <w:name w:val="Emphasis"/>
    <w:basedOn w:val="DefaultParagraphFont"/>
    <w:uiPriority w:val="20"/>
    <w:qFormat/>
    <w:rsid w:val="007E0E28"/>
    <w:rPr>
      <w:i/>
      <w:iCs/>
    </w:rPr>
  </w:style>
  <w:style w:type="paragraph" w:styleId="Footer">
    <w:name w:val="footer"/>
    <w:basedOn w:val="Normal"/>
    <w:link w:val="FooterChar"/>
    <w:uiPriority w:val="99"/>
    <w:unhideWhenUsed/>
    <w:rsid w:val="00D26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260"/>
  </w:style>
  <w:style w:type="character" w:styleId="PageNumber">
    <w:name w:val="page number"/>
    <w:basedOn w:val="DefaultParagraphFont"/>
    <w:uiPriority w:val="99"/>
    <w:semiHidden/>
    <w:unhideWhenUsed/>
    <w:rsid w:val="00D26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15</Pages>
  <Words>3049</Words>
  <Characters>17381</Characters>
  <Application>Microsoft Office Word</Application>
  <DocSecurity>0</DocSecurity>
  <Lines>144</Lines>
  <Paragraphs>40</Paragraphs>
  <ScaleCrop>false</ScaleCrop>
  <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2026-05-18T10:22:00Z</dcterms:created>
  <dcterms:modified xsi:type="dcterms:W3CDTF">2026-05-18T10:31:00Z</dcterms:modified>
</cp:coreProperties>
</file>