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2BDF8" w14:textId="29BF15F9" w:rsidR="006049E3" w:rsidRPr="001833D6" w:rsidRDefault="006049E3" w:rsidP="006049E3">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1833D6">
        <w:rPr>
          <w:rFonts w:ascii="Times New Roman" w:eastAsia="Times New Roman" w:hAnsi="Times New Roman" w:cs="Times New Roman"/>
          <w:b/>
          <w:bCs/>
          <w:color w:val="0F1115"/>
          <w:kern w:val="36"/>
          <w:sz w:val="36"/>
          <w:szCs w:val="36"/>
          <w14:ligatures w14:val="none"/>
        </w:rPr>
        <w:t xml:space="preserve">Impact of Community Involvement on Malaria Control Activities in </w:t>
      </w:r>
      <w:proofErr w:type="spellStart"/>
      <w:r w:rsidRPr="001833D6">
        <w:rPr>
          <w:rFonts w:ascii="Times New Roman" w:eastAsia="Times New Roman" w:hAnsi="Times New Roman" w:cs="Times New Roman"/>
          <w:b/>
          <w:bCs/>
          <w:color w:val="0F1115"/>
          <w:kern w:val="36"/>
          <w:sz w:val="36"/>
          <w:szCs w:val="36"/>
          <w14:ligatures w14:val="none"/>
        </w:rPr>
        <w:t>Mbandaka</w:t>
      </w:r>
      <w:proofErr w:type="spellEnd"/>
      <w:r w:rsidRPr="001833D6">
        <w:rPr>
          <w:rFonts w:ascii="Times New Roman" w:eastAsia="Times New Roman" w:hAnsi="Times New Roman" w:cs="Times New Roman"/>
          <w:b/>
          <w:bCs/>
          <w:color w:val="0F1115"/>
          <w:kern w:val="36"/>
          <w:sz w:val="36"/>
          <w:szCs w:val="36"/>
          <w14:ligatures w14:val="none"/>
        </w:rPr>
        <w:t xml:space="preserve">, Democratic Republic of </w:t>
      </w:r>
      <w:r w:rsidR="001833D6" w:rsidRPr="001833D6">
        <w:rPr>
          <w:rFonts w:ascii="Times New Roman" w:eastAsia="Times New Roman" w:hAnsi="Times New Roman" w:cs="Times New Roman"/>
          <w:b/>
          <w:bCs/>
          <w:color w:val="0F1115"/>
          <w:kern w:val="36"/>
          <w:sz w:val="36"/>
          <w:szCs w:val="36"/>
          <w14:ligatures w14:val="none"/>
        </w:rPr>
        <w:t>Congo</w:t>
      </w:r>
      <w:r w:rsidRPr="001833D6">
        <w:rPr>
          <w:rFonts w:ascii="Times New Roman" w:eastAsia="Times New Roman" w:hAnsi="Times New Roman" w:cs="Times New Roman"/>
          <w:b/>
          <w:bCs/>
          <w:color w:val="0F1115"/>
          <w:kern w:val="36"/>
          <w:sz w:val="36"/>
          <w:szCs w:val="36"/>
          <w14:ligatures w14:val="none"/>
        </w:rPr>
        <w:t>: A Mixed-Methods Study (2023–2024)</w:t>
      </w:r>
    </w:p>
    <w:p w14:paraId="294EB241" w14:textId="77777777" w:rsidR="006049E3" w:rsidRPr="001833D6" w:rsidRDefault="006049E3" w:rsidP="001833D6">
      <w:pPr>
        <w:shd w:val="clear" w:color="auto" w:fill="FFFFFF"/>
        <w:spacing w:after="0" w:line="240" w:lineRule="auto"/>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Author:</w:t>
      </w:r>
      <w:r w:rsidRPr="001833D6">
        <w:rPr>
          <w:rFonts w:ascii="Times New Roman" w:eastAsia="Times New Roman" w:hAnsi="Times New Roman" w:cs="Times New Roman"/>
          <w:color w:val="0F1115"/>
          <w:kern w:val="0"/>
          <w14:ligatures w14:val="none"/>
        </w:rPr>
        <w:t> </w:t>
      </w:r>
      <w:proofErr w:type="spellStart"/>
      <w:r w:rsidRPr="001833D6">
        <w:rPr>
          <w:rFonts w:ascii="Times New Roman" w:eastAsia="Times New Roman" w:hAnsi="Times New Roman" w:cs="Times New Roman"/>
          <w:color w:val="0F1115"/>
          <w:kern w:val="0"/>
          <w14:ligatures w14:val="none"/>
        </w:rPr>
        <w:t>Gislain</w:t>
      </w:r>
      <w:proofErr w:type="spellEnd"/>
      <w:r w:rsidRPr="001833D6">
        <w:rPr>
          <w:rFonts w:ascii="Times New Roman" w:eastAsia="Times New Roman" w:hAnsi="Times New Roman" w:cs="Times New Roman"/>
          <w:color w:val="0F1115"/>
          <w:kern w:val="0"/>
          <w14:ligatures w14:val="none"/>
        </w:rPr>
        <w:t xml:space="preserve"> </w:t>
      </w:r>
      <w:proofErr w:type="spellStart"/>
      <w:r w:rsidRPr="001833D6">
        <w:rPr>
          <w:rFonts w:ascii="Times New Roman" w:eastAsia="Times New Roman" w:hAnsi="Times New Roman" w:cs="Times New Roman"/>
          <w:color w:val="0F1115"/>
          <w:kern w:val="0"/>
          <w14:ligatures w14:val="none"/>
        </w:rPr>
        <w:t>Bongongolo</w:t>
      </w:r>
      <w:proofErr w:type="spellEnd"/>
      <w:r w:rsidRPr="001833D6">
        <w:rPr>
          <w:rFonts w:ascii="Times New Roman" w:eastAsia="Times New Roman" w:hAnsi="Times New Roman" w:cs="Times New Roman"/>
          <w:color w:val="0F1115"/>
          <w:kern w:val="0"/>
          <w14:ligatures w14:val="none"/>
        </w:rPr>
        <w:t xml:space="preserve"> </w:t>
      </w:r>
      <w:proofErr w:type="spellStart"/>
      <w:r w:rsidRPr="001833D6">
        <w:rPr>
          <w:rFonts w:ascii="Times New Roman" w:eastAsia="Times New Roman" w:hAnsi="Times New Roman" w:cs="Times New Roman"/>
          <w:color w:val="0F1115"/>
          <w:kern w:val="0"/>
          <w14:ligatures w14:val="none"/>
        </w:rPr>
        <w:t>Mpumbu</w:t>
      </w:r>
      <w:proofErr w:type="spellEnd"/>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b/>
          <w:bCs/>
          <w:color w:val="0F1115"/>
          <w:kern w:val="0"/>
          <w14:ligatures w14:val="none"/>
        </w:rPr>
        <w:t>Affiliation:</w:t>
      </w:r>
      <w:r w:rsidRPr="001833D6">
        <w:rPr>
          <w:rFonts w:ascii="Times New Roman" w:eastAsia="Times New Roman" w:hAnsi="Times New Roman" w:cs="Times New Roman"/>
          <w:color w:val="0F1115"/>
          <w:kern w:val="0"/>
          <w14:ligatures w14:val="none"/>
        </w:rPr>
        <w:t> </w:t>
      </w:r>
      <w:proofErr w:type="spellStart"/>
      <w:r w:rsidRPr="001833D6">
        <w:rPr>
          <w:rFonts w:ascii="Times New Roman" w:eastAsia="Times New Roman" w:hAnsi="Times New Roman" w:cs="Times New Roman"/>
          <w:color w:val="0F1115"/>
          <w:kern w:val="0"/>
          <w14:ligatures w14:val="none"/>
        </w:rPr>
        <w:t>Institut</w:t>
      </w:r>
      <w:proofErr w:type="spellEnd"/>
      <w:r w:rsidRPr="001833D6">
        <w:rPr>
          <w:rFonts w:ascii="Times New Roman" w:eastAsia="Times New Roman" w:hAnsi="Times New Roman" w:cs="Times New Roman"/>
          <w:color w:val="0F1115"/>
          <w:kern w:val="0"/>
          <w14:ligatures w14:val="none"/>
        </w:rPr>
        <w:t xml:space="preserve"> Supérieur des Techniques </w:t>
      </w:r>
      <w:proofErr w:type="spellStart"/>
      <w:r w:rsidRPr="001833D6">
        <w:rPr>
          <w:rFonts w:ascii="Times New Roman" w:eastAsia="Times New Roman" w:hAnsi="Times New Roman" w:cs="Times New Roman"/>
          <w:color w:val="0F1115"/>
          <w:kern w:val="0"/>
          <w14:ligatures w14:val="none"/>
        </w:rPr>
        <w:t>Médicales</w:t>
      </w:r>
      <w:proofErr w:type="spellEnd"/>
      <w:r w:rsidRPr="001833D6">
        <w:rPr>
          <w:rFonts w:ascii="Times New Roman" w:eastAsia="Times New Roman" w:hAnsi="Times New Roman" w:cs="Times New Roman"/>
          <w:color w:val="0F1115"/>
          <w:kern w:val="0"/>
          <w14:ligatures w14:val="none"/>
        </w:rPr>
        <w:t xml:space="preserve"> (ISTM),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Democratic Republic of the Congo</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b/>
          <w:bCs/>
          <w:color w:val="0F1115"/>
          <w:kern w:val="0"/>
          <w14:ligatures w14:val="none"/>
        </w:rPr>
        <w:t>Course:</w:t>
      </w:r>
      <w:r w:rsidRPr="001833D6">
        <w:rPr>
          <w:rFonts w:ascii="Times New Roman" w:eastAsia="Times New Roman" w:hAnsi="Times New Roman" w:cs="Times New Roman"/>
          <w:color w:val="0F1115"/>
          <w:kern w:val="0"/>
          <w14:ligatures w14:val="none"/>
        </w:rPr>
        <w:t> </w:t>
      </w:r>
      <w:proofErr w:type="gramStart"/>
      <w:r w:rsidRPr="001833D6">
        <w:rPr>
          <w:rFonts w:ascii="Times New Roman" w:eastAsia="Times New Roman" w:hAnsi="Times New Roman" w:cs="Times New Roman"/>
          <w:color w:val="0F1115"/>
          <w:kern w:val="0"/>
          <w14:ligatures w14:val="none"/>
        </w:rPr>
        <w:t>Master in Health Policies</w:t>
      </w:r>
      <w:proofErr w:type="gramEnd"/>
      <w:r w:rsidRPr="001833D6">
        <w:rPr>
          <w:rFonts w:ascii="Times New Roman" w:eastAsia="Times New Roman" w:hAnsi="Times New Roman" w:cs="Times New Roman"/>
          <w:color w:val="0F1115"/>
          <w:kern w:val="0"/>
          <w14:ligatures w14:val="none"/>
        </w:rPr>
        <w:t>, Project and Health Systems Management, Community Health Option</w:t>
      </w:r>
    </w:p>
    <w:p w14:paraId="4B193550" w14:textId="168A611E" w:rsidR="006049E3" w:rsidRPr="001833D6" w:rsidRDefault="006049E3" w:rsidP="001833D6">
      <w:pPr>
        <w:shd w:val="clear" w:color="auto" w:fill="FFFFFF"/>
        <w:spacing w:after="0" w:line="240" w:lineRule="auto"/>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Corresponding Author:</w:t>
      </w:r>
      <w:r w:rsidRPr="001833D6">
        <w:rPr>
          <w:rFonts w:ascii="Times New Roman" w:eastAsia="Times New Roman" w:hAnsi="Times New Roman" w:cs="Times New Roman"/>
          <w:color w:val="0F1115"/>
          <w:kern w:val="0"/>
          <w14:ligatures w14:val="none"/>
        </w:rPr>
        <w:t> </w:t>
      </w:r>
      <w:r w:rsidRPr="001833D6">
        <w:rPr>
          <w:rFonts w:ascii="Times New Roman" w:eastAsia="Times New Roman" w:hAnsi="Times New Roman" w:cs="Times New Roman"/>
          <w:color w:val="0F1115"/>
          <w:kern w:val="0"/>
          <w14:ligatures w14:val="none"/>
        </w:rPr>
        <w:t>maxebg@yahoo.fr</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b/>
          <w:bCs/>
          <w:color w:val="0F1115"/>
          <w:kern w:val="0"/>
          <w14:ligatures w14:val="none"/>
        </w:rPr>
        <w:t>Conflicts of Interest:</w:t>
      </w:r>
      <w:r w:rsidRPr="001833D6">
        <w:rPr>
          <w:rFonts w:ascii="Times New Roman" w:eastAsia="Times New Roman" w:hAnsi="Times New Roman" w:cs="Times New Roman"/>
          <w:color w:val="0F1115"/>
          <w:kern w:val="0"/>
          <w14:ligatures w14:val="none"/>
        </w:rPr>
        <w:t> None declared.</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b/>
          <w:bCs/>
          <w:color w:val="0F1115"/>
          <w:kern w:val="0"/>
          <w14:ligatures w14:val="none"/>
        </w:rPr>
        <w:t>Funding:</w:t>
      </w:r>
      <w:r w:rsidRPr="001833D6">
        <w:rPr>
          <w:rFonts w:ascii="Times New Roman" w:eastAsia="Times New Roman" w:hAnsi="Times New Roman" w:cs="Times New Roman"/>
          <w:color w:val="0F1115"/>
          <w:kern w:val="0"/>
          <w14:ligatures w14:val="none"/>
        </w:rPr>
        <w:t> This research received no specific grant from any funding agency.</w:t>
      </w:r>
    </w:p>
    <w:p w14:paraId="63FC3826"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Abstract</w:t>
      </w:r>
    </w:p>
    <w:p w14:paraId="5E02EB6F"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Introduction:</w:t>
      </w:r>
      <w:r w:rsidRPr="001833D6">
        <w:rPr>
          <w:rFonts w:ascii="Times New Roman" w:eastAsia="Times New Roman" w:hAnsi="Times New Roman" w:cs="Times New Roman"/>
          <w:color w:val="0F1115"/>
          <w:kern w:val="0"/>
          <w14:ligatures w14:val="none"/>
        </w:rPr>
        <w:t xml:space="preserve"> Malaria remains a leading cause of morbidity and mortality in the Democratic Republic of the Congo (DRC), particularly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a city with high transmission due to its equatorial climate. Community involvement is recognized as a critical factor for the success and sustainability of malaria control interventions. This study assessed the impact of community participation on malaria prevention and control activities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w:t>
      </w:r>
    </w:p>
    <w:p w14:paraId="310EF52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Methods:</w:t>
      </w:r>
      <w:r w:rsidRPr="001833D6">
        <w:rPr>
          <w:rFonts w:ascii="Times New Roman" w:eastAsia="Times New Roman" w:hAnsi="Times New Roman" w:cs="Times New Roman"/>
          <w:color w:val="0F1115"/>
          <w:kern w:val="0"/>
          <w14:ligatures w14:val="none"/>
        </w:rPr>
        <w:t xml:space="preserve"> A mixed-methods cross-sectional study was conducted from 2023 to 2024 among 60 participants (28 men, 32 women) selected through stratified random sampling across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Data were collected using structured questionnaires, semi-structured interviews, and direct observations. Quantitative data were analyzed using descriptive statistics (frequencies and percentages) with SPSS. Qualitative data were analyzed thematically.</w:t>
      </w:r>
    </w:p>
    <w:p w14:paraId="25E01F0E"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Results:</w:t>
      </w:r>
      <w:r w:rsidRPr="001833D6">
        <w:rPr>
          <w:rFonts w:ascii="Times New Roman" w:eastAsia="Times New Roman" w:hAnsi="Times New Roman" w:cs="Times New Roman"/>
          <w:color w:val="0F1115"/>
          <w:kern w:val="0"/>
          <w14:ligatures w14:val="none"/>
        </w:rPr>
        <w:t xml:space="preserve"> Most participants (86.7%) knew about malaria, with primary information sources being health centers (33.3%) and community sensitization campaigns (30%). Participation in malaria control activities was reported by 63.3% of respondents. Insecticide-treated net (ITN) use was high (75%), and 56.7% participated in environmental sanitation campaigns. Community leader involvement was reported by 66.7% of participants. The main barriers to participation were lack of resources (41.7%), insufficient information (30%), and low motivation (28.3%). Most </w:t>
      </w:r>
      <w:r w:rsidRPr="001833D6">
        <w:rPr>
          <w:rFonts w:ascii="Times New Roman" w:eastAsia="Times New Roman" w:hAnsi="Times New Roman" w:cs="Times New Roman"/>
          <w:color w:val="0F1115"/>
          <w:kern w:val="0"/>
          <w14:ligatures w14:val="none"/>
        </w:rPr>
        <w:lastRenderedPageBreak/>
        <w:t>participants (58.3%) perceived community actions as effective, and 60% believed community involvement reduced malaria cases.</w:t>
      </w:r>
    </w:p>
    <w:p w14:paraId="22142AE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Conclusion:</w:t>
      </w:r>
      <w:r w:rsidRPr="001833D6">
        <w:rPr>
          <w:rFonts w:ascii="Times New Roman" w:eastAsia="Times New Roman" w:hAnsi="Times New Roman" w:cs="Times New Roman"/>
          <w:color w:val="0F1115"/>
          <w:kern w:val="0"/>
          <w14:ligatures w14:val="none"/>
        </w:rPr>
        <w:t xml:space="preserve"> Community involvement significantly enhances malaria control efforts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through improved knowledge, ITN use, and environmental management. However, resource limitations and information gaps remain. Strengthening community-based sensitization, providing logistical support, and enhancing collaboration with health structures are essential for sustainable malaria control.</w:t>
      </w:r>
    </w:p>
    <w:p w14:paraId="7ABF09C7"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Keywords:</w:t>
      </w:r>
      <w:r w:rsidRPr="001833D6">
        <w:rPr>
          <w:rFonts w:ascii="Times New Roman" w:eastAsia="Times New Roman" w:hAnsi="Times New Roman" w:cs="Times New Roman"/>
          <w:color w:val="0F1115"/>
          <w:kern w:val="0"/>
          <w14:ligatures w14:val="none"/>
        </w:rPr>
        <w:t xml:space="preserve"> Malaria, community involvement, insecticide-treated nets,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Democratic Republic of the Congo, mixed-methods.</w:t>
      </w:r>
    </w:p>
    <w:p w14:paraId="7438636B"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Introduction</w:t>
      </w:r>
    </w:p>
    <w:p w14:paraId="324B04F2"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Malaria, caused by </w:t>
      </w:r>
      <w:r w:rsidRPr="001833D6">
        <w:rPr>
          <w:rFonts w:ascii="Times New Roman" w:eastAsia="Times New Roman" w:hAnsi="Times New Roman" w:cs="Times New Roman"/>
          <w:i/>
          <w:iCs/>
          <w:color w:val="0F1115"/>
          <w:kern w:val="0"/>
          <w14:ligatures w14:val="none"/>
        </w:rPr>
        <w:t>Plasmodium</w:t>
      </w:r>
      <w:r w:rsidRPr="001833D6">
        <w:rPr>
          <w:rFonts w:ascii="Times New Roman" w:eastAsia="Times New Roman" w:hAnsi="Times New Roman" w:cs="Times New Roman"/>
          <w:color w:val="0F1115"/>
          <w:kern w:val="0"/>
          <w14:ligatures w14:val="none"/>
        </w:rPr>
        <w:t> parasites transmitted by </w:t>
      </w:r>
      <w:r w:rsidRPr="001833D6">
        <w:rPr>
          <w:rFonts w:ascii="Times New Roman" w:eastAsia="Times New Roman" w:hAnsi="Times New Roman" w:cs="Times New Roman"/>
          <w:i/>
          <w:iCs/>
          <w:color w:val="0F1115"/>
          <w:kern w:val="0"/>
          <w14:ligatures w14:val="none"/>
        </w:rPr>
        <w:t>Anopheles</w:t>
      </w:r>
      <w:r w:rsidRPr="001833D6">
        <w:rPr>
          <w:rFonts w:ascii="Times New Roman" w:eastAsia="Times New Roman" w:hAnsi="Times New Roman" w:cs="Times New Roman"/>
          <w:color w:val="0F1115"/>
          <w:kern w:val="0"/>
          <w14:ligatures w14:val="none"/>
        </w:rPr>
        <w:t> mosquitoes, remains a major public health burden in sub-Saharan Africa. The Democratic Republic of the Congo (DRC) is among the most affected countries globally, with malaria accounting for a substantial proportion of outpatient visits, hospitalizations, and deaths, particularly among children under five years and pregnant women (World Health Organization [WHO], 2023). The National Malaria Control Program (</w:t>
      </w:r>
      <w:proofErr w:type="spellStart"/>
      <w:r w:rsidRPr="001833D6">
        <w:rPr>
          <w:rFonts w:ascii="Times New Roman" w:eastAsia="Times New Roman" w:hAnsi="Times New Roman" w:cs="Times New Roman"/>
          <w:color w:val="0F1115"/>
          <w:kern w:val="0"/>
          <w14:ligatures w14:val="none"/>
        </w:rPr>
        <w:t>Programme</w:t>
      </w:r>
      <w:proofErr w:type="spellEnd"/>
      <w:r w:rsidRPr="001833D6">
        <w:rPr>
          <w:rFonts w:ascii="Times New Roman" w:eastAsia="Times New Roman" w:hAnsi="Times New Roman" w:cs="Times New Roman"/>
          <w:color w:val="0F1115"/>
          <w:kern w:val="0"/>
          <w14:ligatures w14:val="none"/>
        </w:rPr>
        <w:t xml:space="preserve"> National de Lutte </w:t>
      </w:r>
      <w:proofErr w:type="spellStart"/>
      <w:r w:rsidRPr="001833D6">
        <w:rPr>
          <w:rFonts w:ascii="Times New Roman" w:eastAsia="Times New Roman" w:hAnsi="Times New Roman" w:cs="Times New Roman"/>
          <w:color w:val="0F1115"/>
          <w:kern w:val="0"/>
          <w14:ligatures w14:val="none"/>
        </w:rPr>
        <w:t>contre</w:t>
      </w:r>
      <w:proofErr w:type="spellEnd"/>
      <w:r w:rsidRPr="001833D6">
        <w:rPr>
          <w:rFonts w:ascii="Times New Roman" w:eastAsia="Times New Roman" w:hAnsi="Times New Roman" w:cs="Times New Roman"/>
          <w:color w:val="0F1115"/>
          <w:kern w:val="0"/>
          <w14:ligatures w14:val="none"/>
        </w:rPr>
        <w:t xml:space="preserve"> le </w:t>
      </w:r>
      <w:proofErr w:type="spellStart"/>
      <w:r w:rsidRPr="001833D6">
        <w:rPr>
          <w:rFonts w:ascii="Times New Roman" w:eastAsia="Times New Roman" w:hAnsi="Times New Roman" w:cs="Times New Roman"/>
          <w:color w:val="0F1115"/>
          <w:kern w:val="0"/>
          <w14:ligatures w14:val="none"/>
        </w:rPr>
        <w:t>Paludisme</w:t>
      </w:r>
      <w:proofErr w:type="spellEnd"/>
      <w:r w:rsidRPr="001833D6">
        <w:rPr>
          <w:rFonts w:ascii="Times New Roman" w:eastAsia="Times New Roman" w:hAnsi="Times New Roman" w:cs="Times New Roman"/>
          <w:color w:val="0F1115"/>
          <w:kern w:val="0"/>
          <w14:ligatures w14:val="none"/>
        </w:rPr>
        <w:t>, PNLP) was established in 2001 to coordinate prevention, diagnosis, and treatment efforts nationwide (Ministère de la Santé, 2016).</w:t>
      </w:r>
    </w:p>
    <w:p w14:paraId="0309822C"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the capital of Équateur Province, is characterized by an equatorial climate with high humidity, abundant rainfall, and dense vector populations, creating conditions for intense, year-round malaria transmission. Despite national and international efforts—including mass distribution of insecticide-treated nets (ITNs), indoor residual spraying (IRS), and artemisinin-based combination therapies (ACTs)—malaria incidence remains high. One recognized but often underutilized strategy is community involvement, defined as the active, voluntary participation of local populations in planning, implementing, and monitoring health interventions (Arnstein, 1969).</w:t>
      </w:r>
    </w:p>
    <w:p w14:paraId="1ED385B0"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lastRenderedPageBreak/>
        <w:t xml:space="preserve">Community involvement can enhance malaria control through several mechanisms: improving awareness, promoting correct and consistent ITN use, facilitating environmental management (e.g., eliminating stagnant water), enabling early case detection by community health workers, and strengthening trust between populations and health facilities (Tiono et al., 2018; Roll Back Malaria Partnership, 2018). However, limited data exist on the actual impact of community involvement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w:t>
      </w:r>
    </w:p>
    <w:p w14:paraId="33BC7128"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The central research question was: </w:t>
      </w:r>
      <w:r w:rsidRPr="001833D6">
        <w:rPr>
          <w:rFonts w:ascii="Times New Roman" w:eastAsia="Times New Roman" w:hAnsi="Times New Roman" w:cs="Times New Roman"/>
          <w:i/>
          <w:iCs/>
          <w:color w:val="0F1115"/>
          <w:kern w:val="0"/>
          <w14:ligatures w14:val="none"/>
        </w:rPr>
        <w:t xml:space="preserve">To what extent does community involvement in malaria control activities in </w:t>
      </w:r>
      <w:proofErr w:type="spellStart"/>
      <w:r w:rsidRPr="001833D6">
        <w:rPr>
          <w:rFonts w:ascii="Times New Roman" w:eastAsia="Times New Roman" w:hAnsi="Times New Roman" w:cs="Times New Roman"/>
          <w:i/>
          <w:iCs/>
          <w:color w:val="0F1115"/>
          <w:kern w:val="0"/>
          <w14:ligatures w14:val="none"/>
        </w:rPr>
        <w:t>Mbandaka</w:t>
      </w:r>
      <w:proofErr w:type="spellEnd"/>
      <w:r w:rsidRPr="001833D6">
        <w:rPr>
          <w:rFonts w:ascii="Times New Roman" w:eastAsia="Times New Roman" w:hAnsi="Times New Roman" w:cs="Times New Roman"/>
          <w:i/>
          <w:iCs/>
          <w:color w:val="0F1115"/>
          <w:kern w:val="0"/>
          <w14:ligatures w14:val="none"/>
        </w:rPr>
        <w:t xml:space="preserve"> influence intervention effectiveness and contribute to reducing malaria prevalence?</w:t>
      </w:r>
      <w:r w:rsidRPr="001833D6">
        <w:rPr>
          <w:rFonts w:ascii="Times New Roman" w:eastAsia="Times New Roman" w:hAnsi="Times New Roman" w:cs="Times New Roman"/>
          <w:color w:val="0F1115"/>
          <w:kern w:val="0"/>
          <w14:ligatures w14:val="none"/>
        </w:rPr>
        <w:t xml:space="preserve"> This study aimed to evaluate the impact of community involvement on malaria control activities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identify facilitators and barriers, and formulate evidence-based recommendations.</w:t>
      </w:r>
    </w:p>
    <w:p w14:paraId="462C6FCF"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Methods</w:t>
      </w:r>
    </w:p>
    <w:p w14:paraId="31CA4093"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Study Design and Setting</w:t>
      </w:r>
    </w:p>
    <w:p w14:paraId="371C2237"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A community-based, mixed-methods cross-sectional study was conducted from January 2023 to December 2024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city, DRC.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(population ~300,000) is located on the north bank of the Congo River and serves as the administrative capital of Équateur Province. The climate is equatorial humid, with average annual rainfall exceeding 1,700 mm, favoring year-round mosquito breeding.</w:t>
      </w:r>
    </w:p>
    <w:p w14:paraId="4D597783"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Target Population and Sampling</w:t>
      </w:r>
    </w:p>
    <w:p w14:paraId="7C4ACD21"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The target population comprised residents of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involved in or affected by malaria control activities. Inclusion criteria: (a) residing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for ≥6 months, (b) aged ≥18 years, (c) directly involved in or affected by malaria control activities, and (d) provided informed consent. Exclusion criteria: (a) absence during data collection or (b) refusal to participate.</w:t>
      </w:r>
    </w:p>
    <w:p w14:paraId="5CAC6472"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lastRenderedPageBreak/>
        <w:t>A stratified random sampling method was used. Strata were based on neighborhoods (high, moderate, and low malaria transmission zones) and actor groups (households, community health workers, health facility staff). Using Cochran's formula for a finite population with a 95% confidence level, a 5% margin of error, and assuming 50% participation, a sample size of 60 participants was calculated (28 men, 32 women).</w:t>
      </w:r>
    </w:p>
    <w:p w14:paraId="5C96542F"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Data Collection Instruments and Procedures</w:t>
      </w:r>
    </w:p>
    <w:p w14:paraId="0E288910"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Three instruments were developed and pretested:</w:t>
      </w:r>
    </w:p>
    <w:p w14:paraId="441ED333" w14:textId="77777777" w:rsidR="006049E3" w:rsidRPr="001833D6" w:rsidRDefault="006049E3" w:rsidP="006049E3">
      <w:pPr>
        <w:numPr>
          <w:ilvl w:val="0"/>
          <w:numId w:val="1"/>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Structured questionnaire:</w:t>
      </w:r>
      <w:r w:rsidRPr="001833D6">
        <w:rPr>
          <w:rFonts w:ascii="Times New Roman" w:eastAsia="Times New Roman" w:hAnsi="Times New Roman" w:cs="Times New Roman"/>
          <w:color w:val="0F1115"/>
          <w:kern w:val="0"/>
          <w14:ligatures w14:val="none"/>
        </w:rPr>
        <w:t> 20 items covering socio-demographics, malaria knowledge, prevention practices (ITN use, sanitation), participation in community activities, and perceived barriers.</w:t>
      </w:r>
    </w:p>
    <w:p w14:paraId="6D9921B1" w14:textId="77777777" w:rsidR="006049E3" w:rsidRPr="001833D6" w:rsidRDefault="006049E3" w:rsidP="006049E3">
      <w:pPr>
        <w:numPr>
          <w:ilvl w:val="0"/>
          <w:numId w:val="1"/>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Semi-structured interview guide:</w:t>
      </w:r>
      <w:r w:rsidRPr="001833D6">
        <w:rPr>
          <w:rFonts w:ascii="Times New Roman" w:eastAsia="Times New Roman" w:hAnsi="Times New Roman" w:cs="Times New Roman"/>
          <w:color w:val="0F1115"/>
          <w:kern w:val="0"/>
          <w14:ligatures w14:val="none"/>
        </w:rPr>
        <w:t> For exploring perceptions, motivations, and suggestions from community leaders and health workers.</w:t>
      </w:r>
    </w:p>
    <w:p w14:paraId="26AE7F29" w14:textId="77777777" w:rsidR="006049E3" w:rsidRPr="001833D6" w:rsidRDefault="006049E3" w:rsidP="006049E3">
      <w:pPr>
        <w:numPr>
          <w:ilvl w:val="0"/>
          <w:numId w:val="1"/>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Observation grid:</w:t>
      </w:r>
      <w:r w:rsidRPr="001833D6">
        <w:rPr>
          <w:rFonts w:ascii="Times New Roman" w:eastAsia="Times New Roman" w:hAnsi="Times New Roman" w:cs="Times New Roman"/>
          <w:color w:val="0F1115"/>
          <w:kern w:val="0"/>
          <w14:ligatures w14:val="none"/>
        </w:rPr>
        <w:t> For assessing environmental conditions (stagnant water, waste management) and ITN presence/condition in selected households.</w:t>
      </w:r>
    </w:p>
    <w:p w14:paraId="0F51051D"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Data were collected by trained research assistants through household visits and community health center meetings. Each interview lasted 20–30 minutes. Anonymity was ensured using unique participant codes.</w:t>
      </w:r>
    </w:p>
    <w:p w14:paraId="323DEC5F"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Variables</w:t>
      </w:r>
    </w:p>
    <w:p w14:paraId="0CA1D341"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Independent variables (community involvement factors):</w:t>
      </w:r>
    </w:p>
    <w:p w14:paraId="373216D1" w14:textId="77777777" w:rsidR="006049E3" w:rsidRPr="001833D6" w:rsidRDefault="006049E3" w:rsidP="006049E3">
      <w:pPr>
        <w:numPr>
          <w:ilvl w:val="0"/>
          <w:numId w:val="2"/>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Level of participation in sensitization, sanitation, and distribution campaigns</w:t>
      </w:r>
    </w:p>
    <w:p w14:paraId="17A21E3B" w14:textId="77777777" w:rsidR="006049E3" w:rsidRPr="001833D6" w:rsidRDefault="006049E3" w:rsidP="006049E3">
      <w:pPr>
        <w:numPr>
          <w:ilvl w:val="0"/>
          <w:numId w:val="2"/>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Training of community health workers (Relais </w:t>
      </w:r>
      <w:proofErr w:type="spellStart"/>
      <w:r w:rsidRPr="001833D6">
        <w:rPr>
          <w:rFonts w:ascii="Times New Roman" w:eastAsia="Times New Roman" w:hAnsi="Times New Roman" w:cs="Times New Roman"/>
          <w:color w:val="0F1115"/>
          <w:kern w:val="0"/>
          <w14:ligatures w14:val="none"/>
        </w:rPr>
        <w:t>Communautaires</w:t>
      </w:r>
      <w:proofErr w:type="spellEnd"/>
      <w:r w:rsidRPr="001833D6">
        <w:rPr>
          <w:rFonts w:ascii="Times New Roman" w:eastAsia="Times New Roman" w:hAnsi="Times New Roman" w:cs="Times New Roman"/>
          <w:color w:val="0F1115"/>
          <w:kern w:val="0"/>
          <w14:ligatures w14:val="none"/>
        </w:rPr>
        <w:t>)</w:t>
      </w:r>
    </w:p>
    <w:p w14:paraId="416E69CB" w14:textId="77777777" w:rsidR="006049E3" w:rsidRPr="001833D6" w:rsidRDefault="006049E3" w:rsidP="006049E3">
      <w:pPr>
        <w:numPr>
          <w:ilvl w:val="0"/>
          <w:numId w:val="2"/>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Institutional support from health authorities</w:t>
      </w:r>
    </w:p>
    <w:p w14:paraId="43DD589A" w14:textId="77777777" w:rsidR="006049E3" w:rsidRPr="001833D6" w:rsidRDefault="006049E3" w:rsidP="006049E3">
      <w:pPr>
        <w:numPr>
          <w:ilvl w:val="0"/>
          <w:numId w:val="2"/>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Access to malaria information</w:t>
      </w:r>
    </w:p>
    <w:p w14:paraId="1D9CED34"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Dependent variables (health outcomes and behaviors):</w:t>
      </w:r>
    </w:p>
    <w:p w14:paraId="2844B4E4" w14:textId="77777777" w:rsidR="006049E3" w:rsidRPr="001833D6" w:rsidRDefault="006049E3" w:rsidP="006049E3">
      <w:pPr>
        <w:numPr>
          <w:ilvl w:val="0"/>
          <w:numId w:val="3"/>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lastRenderedPageBreak/>
        <w:t>ITN use (regular vs. irregular)</w:t>
      </w:r>
    </w:p>
    <w:p w14:paraId="6EDC4FDD" w14:textId="77777777" w:rsidR="006049E3" w:rsidRPr="001833D6" w:rsidRDefault="006049E3" w:rsidP="006049E3">
      <w:pPr>
        <w:numPr>
          <w:ilvl w:val="0"/>
          <w:numId w:val="3"/>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Participation in environmental sanitation</w:t>
      </w:r>
    </w:p>
    <w:p w14:paraId="14F0C49A" w14:textId="77777777" w:rsidR="006049E3" w:rsidRPr="001833D6" w:rsidRDefault="006049E3" w:rsidP="006049E3">
      <w:pPr>
        <w:numPr>
          <w:ilvl w:val="0"/>
          <w:numId w:val="3"/>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Early health-seeking behavior for fever</w:t>
      </w:r>
    </w:p>
    <w:p w14:paraId="73B31066" w14:textId="77777777" w:rsidR="006049E3" w:rsidRPr="001833D6" w:rsidRDefault="006049E3" w:rsidP="006049E3">
      <w:pPr>
        <w:numPr>
          <w:ilvl w:val="0"/>
          <w:numId w:val="3"/>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Perceived reduction in malaria cases</w:t>
      </w:r>
    </w:p>
    <w:p w14:paraId="37890BB2"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Control variables:</w:t>
      </w:r>
      <w:r w:rsidRPr="001833D6">
        <w:rPr>
          <w:rFonts w:ascii="Times New Roman" w:eastAsia="Times New Roman" w:hAnsi="Times New Roman" w:cs="Times New Roman"/>
          <w:color w:val="0F1115"/>
          <w:kern w:val="0"/>
          <w14:ligatures w14:val="none"/>
        </w:rPr>
        <w:t> Age, sex, education level, socioeconomic status, neighborhood.</w:t>
      </w:r>
    </w:p>
    <w:p w14:paraId="1F92820F"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Data Analysis</w:t>
      </w:r>
    </w:p>
    <w:p w14:paraId="52943D7C"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Quantitative data were entered into Excel and analyzed using SPSS version 25. Descriptive statistics (frequencies, percentages) were computed for all variables. Chi-square tests were used to assess associations between community participation and preventive behaviors (significance set at p&lt;0.05). Qualitative data from open-ended questions and interviews were analyzed using thematic content analysis, with coding performed manually.</w:t>
      </w:r>
    </w:p>
    <w:p w14:paraId="1C079531"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Ethical Considerations</w:t>
      </w:r>
    </w:p>
    <w:p w14:paraId="69F335C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Ethical approval was obtained from the DRC National Health Ethics Committee. Administrative authorizations were secured from local health authorities and neighborhood chiefs. Written informed consent was obtained from all participants. For any participant reporting distress, referral to a psychosocial counselor was offered. Participation was voluntary, and respondents could withdraw at any time without penalty. Data were anonymized and stored securely.</w:t>
      </w:r>
    </w:p>
    <w:p w14:paraId="2E5A43BC"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Results</w:t>
      </w:r>
    </w:p>
    <w:p w14:paraId="57E55ABD"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Socio-Demographic Characteristics</w:t>
      </w:r>
    </w:p>
    <w:p w14:paraId="14D6DD87"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A total of 60 participants were enrolled (response rate: 95.2%). Table 1 presents the socio-demographic profile. The majority were female (53.3%), aged 26–35 years (30%</w:t>
      </w:r>
      <w:proofErr w:type="gramStart"/>
      <w:r w:rsidRPr="001833D6">
        <w:rPr>
          <w:rFonts w:ascii="Times New Roman" w:eastAsia="Times New Roman" w:hAnsi="Times New Roman" w:cs="Times New Roman"/>
          <w:color w:val="0F1115"/>
          <w:kern w:val="0"/>
          <w14:ligatures w14:val="none"/>
        </w:rPr>
        <w:t>), and</w:t>
      </w:r>
      <w:proofErr w:type="gramEnd"/>
      <w:r w:rsidRPr="001833D6">
        <w:rPr>
          <w:rFonts w:ascii="Times New Roman" w:eastAsia="Times New Roman" w:hAnsi="Times New Roman" w:cs="Times New Roman"/>
          <w:color w:val="0F1115"/>
          <w:kern w:val="0"/>
          <w14:ligatures w14:val="none"/>
        </w:rPr>
        <w:t xml:space="preserve"> had secondary education (50%).</w:t>
      </w:r>
    </w:p>
    <w:p w14:paraId="11FD47DB"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lastRenderedPageBreak/>
        <w:t>Table 1</w:t>
      </w:r>
      <w:r w:rsidRPr="001833D6">
        <w:rPr>
          <w:rFonts w:ascii="Times New Roman" w:eastAsia="Times New Roman" w:hAnsi="Times New Roman" w:cs="Times New Roman"/>
          <w:color w:val="0F1115"/>
          <w:kern w:val="0"/>
          <w14:ligatures w14:val="none"/>
        </w:rPr>
        <w:br/>
        <w:t>*Socio-Demographic Characteristics of Participants (N = 60)*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62"/>
        <w:gridCol w:w="2081"/>
        <w:gridCol w:w="700"/>
        <w:gridCol w:w="664"/>
      </w:tblGrid>
      <w:tr w:rsidR="006049E3" w:rsidRPr="001A589E" w14:paraId="220900BD" w14:textId="77777777" w:rsidTr="001A589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CBA5EC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4D3817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11A8566"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17C8BB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w:t>
            </w:r>
          </w:p>
        </w:tc>
      </w:tr>
      <w:tr w:rsidR="006049E3" w:rsidRPr="001A589E" w14:paraId="764C46AA" w14:textId="77777777" w:rsidTr="001A589E">
        <w:tc>
          <w:tcPr>
            <w:tcW w:w="0" w:type="auto"/>
            <w:tcBorders>
              <w:top w:val="single" w:sz="4" w:space="0" w:color="auto"/>
            </w:tcBorders>
            <w:tcMar>
              <w:top w:w="150" w:type="dxa"/>
              <w:left w:w="0" w:type="dxa"/>
              <w:bottom w:w="150" w:type="dxa"/>
              <w:right w:w="240" w:type="dxa"/>
            </w:tcMar>
            <w:vAlign w:val="center"/>
            <w:hideMark/>
          </w:tcPr>
          <w:p w14:paraId="4E6E25E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72B1130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0E34D32F"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28</w:t>
            </w:r>
          </w:p>
        </w:tc>
        <w:tc>
          <w:tcPr>
            <w:tcW w:w="0" w:type="auto"/>
            <w:tcBorders>
              <w:top w:val="single" w:sz="4" w:space="0" w:color="auto"/>
            </w:tcBorders>
            <w:tcMar>
              <w:top w:w="150" w:type="dxa"/>
              <w:left w:w="240" w:type="dxa"/>
              <w:bottom w:w="150" w:type="dxa"/>
              <w:right w:w="0" w:type="dxa"/>
            </w:tcMar>
            <w:vAlign w:val="center"/>
            <w:hideMark/>
          </w:tcPr>
          <w:p w14:paraId="1B96767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46.7</w:t>
            </w:r>
          </w:p>
        </w:tc>
      </w:tr>
      <w:tr w:rsidR="006049E3" w:rsidRPr="001A589E" w14:paraId="59E47620" w14:textId="77777777" w:rsidTr="001A589E">
        <w:tc>
          <w:tcPr>
            <w:tcW w:w="0" w:type="auto"/>
            <w:tcMar>
              <w:top w:w="150" w:type="dxa"/>
              <w:left w:w="0" w:type="dxa"/>
              <w:bottom w:w="150" w:type="dxa"/>
              <w:right w:w="240" w:type="dxa"/>
            </w:tcMar>
            <w:vAlign w:val="center"/>
            <w:hideMark/>
          </w:tcPr>
          <w:p w14:paraId="673FDCDE"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8092D4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3319F31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32</w:t>
            </w:r>
          </w:p>
        </w:tc>
        <w:tc>
          <w:tcPr>
            <w:tcW w:w="0" w:type="auto"/>
            <w:tcMar>
              <w:top w:w="150" w:type="dxa"/>
              <w:left w:w="240" w:type="dxa"/>
              <w:bottom w:w="150" w:type="dxa"/>
              <w:right w:w="0" w:type="dxa"/>
            </w:tcMar>
            <w:vAlign w:val="center"/>
            <w:hideMark/>
          </w:tcPr>
          <w:p w14:paraId="058EFF4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53.3</w:t>
            </w:r>
          </w:p>
        </w:tc>
      </w:tr>
      <w:tr w:rsidR="006049E3" w:rsidRPr="001A589E" w14:paraId="1D69573C" w14:textId="77777777" w:rsidTr="001A589E">
        <w:tc>
          <w:tcPr>
            <w:tcW w:w="0" w:type="auto"/>
            <w:tcMar>
              <w:top w:w="150" w:type="dxa"/>
              <w:left w:w="0" w:type="dxa"/>
              <w:bottom w:w="150" w:type="dxa"/>
              <w:right w:w="240" w:type="dxa"/>
            </w:tcMar>
            <w:vAlign w:val="center"/>
            <w:hideMark/>
          </w:tcPr>
          <w:p w14:paraId="2C9484F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Age group</w:t>
            </w:r>
          </w:p>
        </w:tc>
        <w:tc>
          <w:tcPr>
            <w:tcW w:w="0" w:type="auto"/>
            <w:tcMar>
              <w:top w:w="150" w:type="dxa"/>
              <w:left w:w="240" w:type="dxa"/>
              <w:bottom w:w="150" w:type="dxa"/>
              <w:right w:w="240" w:type="dxa"/>
            </w:tcMar>
            <w:vAlign w:val="center"/>
            <w:hideMark/>
          </w:tcPr>
          <w:p w14:paraId="58BDBB5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18–25 years</w:t>
            </w:r>
          </w:p>
        </w:tc>
        <w:tc>
          <w:tcPr>
            <w:tcW w:w="0" w:type="auto"/>
            <w:tcMar>
              <w:top w:w="150" w:type="dxa"/>
              <w:left w:w="240" w:type="dxa"/>
              <w:bottom w:w="150" w:type="dxa"/>
              <w:right w:w="240" w:type="dxa"/>
            </w:tcMar>
            <w:vAlign w:val="center"/>
            <w:hideMark/>
          </w:tcPr>
          <w:p w14:paraId="01C7E620"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0" w:type="dxa"/>
            </w:tcMar>
            <w:vAlign w:val="center"/>
            <w:hideMark/>
          </w:tcPr>
          <w:p w14:paraId="6CD408F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20.0</w:t>
            </w:r>
          </w:p>
        </w:tc>
      </w:tr>
      <w:tr w:rsidR="006049E3" w:rsidRPr="001A589E" w14:paraId="1F1F4D72" w14:textId="77777777" w:rsidTr="001A589E">
        <w:tc>
          <w:tcPr>
            <w:tcW w:w="0" w:type="auto"/>
            <w:tcMar>
              <w:top w:w="150" w:type="dxa"/>
              <w:left w:w="0" w:type="dxa"/>
              <w:bottom w:w="150" w:type="dxa"/>
              <w:right w:w="240" w:type="dxa"/>
            </w:tcMar>
            <w:vAlign w:val="center"/>
            <w:hideMark/>
          </w:tcPr>
          <w:p w14:paraId="6D445F4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3090A40"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26–35 years</w:t>
            </w:r>
          </w:p>
        </w:tc>
        <w:tc>
          <w:tcPr>
            <w:tcW w:w="0" w:type="auto"/>
            <w:tcMar>
              <w:top w:w="150" w:type="dxa"/>
              <w:left w:w="240" w:type="dxa"/>
              <w:bottom w:w="150" w:type="dxa"/>
              <w:right w:w="240" w:type="dxa"/>
            </w:tcMar>
            <w:vAlign w:val="center"/>
            <w:hideMark/>
          </w:tcPr>
          <w:p w14:paraId="3CDB2E10"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3F82FC8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30.0</w:t>
            </w:r>
          </w:p>
        </w:tc>
      </w:tr>
      <w:tr w:rsidR="006049E3" w:rsidRPr="001A589E" w14:paraId="366CC3C4" w14:textId="77777777" w:rsidTr="001A589E">
        <w:tc>
          <w:tcPr>
            <w:tcW w:w="0" w:type="auto"/>
            <w:tcMar>
              <w:top w:w="150" w:type="dxa"/>
              <w:left w:w="0" w:type="dxa"/>
              <w:bottom w:w="150" w:type="dxa"/>
              <w:right w:w="240" w:type="dxa"/>
            </w:tcMar>
            <w:vAlign w:val="center"/>
            <w:hideMark/>
          </w:tcPr>
          <w:p w14:paraId="0EEAC5F0"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FB8528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36–45 years</w:t>
            </w:r>
          </w:p>
        </w:tc>
        <w:tc>
          <w:tcPr>
            <w:tcW w:w="0" w:type="auto"/>
            <w:tcMar>
              <w:top w:w="150" w:type="dxa"/>
              <w:left w:w="240" w:type="dxa"/>
              <w:bottom w:w="150" w:type="dxa"/>
              <w:right w:w="240" w:type="dxa"/>
            </w:tcMar>
            <w:vAlign w:val="center"/>
            <w:hideMark/>
          </w:tcPr>
          <w:p w14:paraId="3D4272F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0" w:type="dxa"/>
            </w:tcMar>
            <w:vAlign w:val="center"/>
            <w:hideMark/>
          </w:tcPr>
          <w:p w14:paraId="3942100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26.7</w:t>
            </w:r>
          </w:p>
        </w:tc>
      </w:tr>
      <w:tr w:rsidR="006049E3" w:rsidRPr="001A589E" w14:paraId="6E0782AC" w14:textId="77777777" w:rsidTr="001A589E">
        <w:tc>
          <w:tcPr>
            <w:tcW w:w="0" w:type="auto"/>
            <w:tcMar>
              <w:top w:w="150" w:type="dxa"/>
              <w:left w:w="0" w:type="dxa"/>
              <w:bottom w:w="150" w:type="dxa"/>
              <w:right w:w="240" w:type="dxa"/>
            </w:tcMar>
            <w:vAlign w:val="center"/>
            <w:hideMark/>
          </w:tcPr>
          <w:p w14:paraId="059F0209"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01DBFD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≥46 years</w:t>
            </w:r>
          </w:p>
        </w:tc>
        <w:tc>
          <w:tcPr>
            <w:tcW w:w="0" w:type="auto"/>
            <w:tcMar>
              <w:top w:w="150" w:type="dxa"/>
              <w:left w:w="240" w:type="dxa"/>
              <w:bottom w:w="150" w:type="dxa"/>
              <w:right w:w="240" w:type="dxa"/>
            </w:tcMar>
            <w:vAlign w:val="center"/>
            <w:hideMark/>
          </w:tcPr>
          <w:p w14:paraId="5055EAF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14</w:t>
            </w:r>
          </w:p>
        </w:tc>
        <w:tc>
          <w:tcPr>
            <w:tcW w:w="0" w:type="auto"/>
            <w:tcMar>
              <w:top w:w="150" w:type="dxa"/>
              <w:left w:w="240" w:type="dxa"/>
              <w:bottom w:w="150" w:type="dxa"/>
              <w:right w:w="0" w:type="dxa"/>
            </w:tcMar>
            <w:vAlign w:val="center"/>
            <w:hideMark/>
          </w:tcPr>
          <w:p w14:paraId="0B238DE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23.3</w:t>
            </w:r>
          </w:p>
        </w:tc>
      </w:tr>
      <w:tr w:rsidR="006049E3" w:rsidRPr="001A589E" w14:paraId="5BC6A559" w14:textId="77777777" w:rsidTr="001A589E">
        <w:tc>
          <w:tcPr>
            <w:tcW w:w="0" w:type="auto"/>
            <w:tcMar>
              <w:top w:w="150" w:type="dxa"/>
              <w:left w:w="0" w:type="dxa"/>
              <w:bottom w:w="150" w:type="dxa"/>
              <w:right w:w="240" w:type="dxa"/>
            </w:tcMar>
            <w:vAlign w:val="center"/>
            <w:hideMark/>
          </w:tcPr>
          <w:p w14:paraId="312D03AF"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Education</w:t>
            </w:r>
          </w:p>
        </w:tc>
        <w:tc>
          <w:tcPr>
            <w:tcW w:w="0" w:type="auto"/>
            <w:tcMar>
              <w:top w:w="150" w:type="dxa"/>
              <w:left w:w="240" w:type="dxa"/>
              <w:bottom w:w="150" w:type="dxa"/>
              <w:right w:w="240" w:type="dxa"/>
            </w:tcMar>
            <w:vAlign w:val="center"/>
            <w:hideMark/>
          </w:tcPr>
          <w:p w14:paraId="26F32C8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None</w:t>
            </w:r>
          </w:p>
        </w:tc>
        <w:tc>
          <w:tcPr>
            <w:tcW w:w="0" w:type="auto"/>
            <w:tcMar>
              <w:top w:w="150" w:type="dxa"/>
              <w:left w:w="240" w:type="dxa"/>
              <w:bottom w:w="150" w:type="dxa"/>
              <w:right w:w="240" w:type="dxa"/>
            </w:tcMar>
            <w:vAlign w:val="center"/>
            <w:hideMark/>
          </w:tcPr>
          <w:p w14:paraId="59FF728F"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0" w:type="dxa"/>
            </w:tcMar>
            <w:vAlign w:val="center"/>
            <w:hideMark/>
          </w:tcPr>
          <w:p w14:paraId="37DAB10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8.3</w:t>
            </w:r>
          </w:p>
        </w:tc>
      </w:tr>
      <w:tr w:rsidR="006049E3" w:rsidRPr="001A589E" w14:paraId="57C5036D" w14:textId="77777777" w:rsidTr="001A589E">
        <w:tc>
          <w:tcPr>
            <w:tcW w:w="0" w:type="auto"/>
            <w:tcMar>
              <w:top w:w="150" w:type="dxa"/>
              <w:left w:w="0" w:type="dxa"/>
              <w:bottom w:w="150" w:type="dxa"/>
              <w:right w:w="240" w:type="dxa"/>
            </w:tcMar>
            <w:vAlign w:val="center"/>
            <w:hideMark/>
          </w:tcPr>
          <w:p w14:paraId="6EC2239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8DB628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240" w:type="dxa"/>
            </w:tcMar>
            <w:vAlign w:val="center"/>
            <w:hideMark/>
          </w:tcPr>
          <w:p w14:paraId="035F50E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7AB047F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25.0</w:t>
            </w:r>
          </w:p>
        </w:tc>
      </w:tr>
      <w:tr w:rsidR="006049E3" w:rsidRPr="001A589E" w14:paraId="22990DBF" w14:textId="77777777" w:rsidTr="001A589E">
        <w:tc>
          <w:tcPr>
            <w:tcW w:w="0" w:type="auto"/>
            <w:tcMar>
              <w:top w:w="150" w:type="dxa"/>
              <w:left w:w="0" w:type="dxa"/>
              <w:bottom w:w="150" w:type="dxa"/>
              <w:right w:w="240" w:type="dxa"/>
            </w:tcMar>
            <w:vAlign w:val="center"/>
            <w:hideMark/>
          </w:tcPr>
          <w:p w14:paraId="3C2157D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632EA5B"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240" w:type="dxa"/>
            </w:tcMar>
            <w:vAlign w:val="center"/>
            <w:hideMark/>
          </w:tcPr>
          <w:p w14:paraId="4A55817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30</w:t>
            </w:r>
          </w:p>
        </w:tc>
        <w:tc>
          <w:tcPr>
            <w:tcW w:w="0" w:type="auto"/>
            <w:tcMar>
              <w:top w:w="150" w:type="dxa"/>
              <w:left w:w="240" w:type="dxa"/>
              <w:bottom w:w="150" w:type="dxa"/>
              <w:right w:w="0" w:type="dxa"/>
            </w:tcMar>
            <w:vAlign w:val="center"/>
            <w:hideMark/>
          </w:tcPr>
          <w:p w14:paraId="4D53CAD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50.0</w:t>
            </w:r>
          </w:p>
        </w:tc>
      </w:tr>
      <w:tr w:rsidR="006049E3" w:rsidRPr="001A589E" w14:paraId="163187A9" w14:textId="77777777" w:rsidTr="001A589E">
        <w:tc>
          <w:tcPr>
            <w:tcW w:w="0" w:type="auto"/>
            <w:tcMar>
              <w:top w:w="150" w:type="dxa"/>
              <w:left w:w="0" w:type="dxa"/>
              <w:bottom w:w="150" w:type="dxa"/>
              <w:right w:w="240" w:type="dxa"/>
            </w:tcMar>
            <w:vAlign w:val="center"/>
            <w:hideMark/>
          </w:tcPr>
          <w:p w14:paraId="64B10CF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74C0D0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Higher/University</w:t>
            </w:r>
          </w:p>
        </w:tc>
        <w:tc>
          <w:tcPr>
            <w:tcW w:w="0" w:type="auto"/>
            <w:tcMar>
              <w:top w:w="150" w:type="dxa"/>
              <w:left w:w="240" w:type="dxa"/>
              <w:bottom w:w="150" w:type="dxa"/>
              <w:right w:w="240" w:type="dxa"/>
            </w:tcMar>
            <w:vAlign w:val="center"/>
            <w:hideMark/>
          </w:tcPr>
          <w:p w14:paraId="3B9C3AC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10</w:t>
            </w:r>
          </w:p>
        </w:tc>
        <w:tc>
          <w:tcPr>
            <w:tcW w:w="0" w:type="auto"/>
            <w:tcMar>
              <w:top w:w="150" w:type="dxa"/>
              <w:left w:w="240" w:type="dxa"/>
              <w:bottom w:w="150" w:type="dxa"/>
              <w:right w:w="0" w:type="dxa"/>
            </w:tcMar>
            <w:vAlign w:val="center"/>
            <w:hideMark/>
          </w:tcPr>
          <w:p w14:paraId="7386D1F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16.7</w:t>
            </w:r>
          </w:p>
        </w:tc>
      </w:tr>
    </w:tbl>
    <w:p w14:paraId="052E2834"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Knowledge and Awareness of Malaria</w:t>
      </w:r>
    </w:p>
    <w:p w14:paraId="56C90325"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Overall, 86.7% of participants knew about malaria. The main sources of information were health centers (33.3%), community sensitization campaigns (30%), radio (25%), and others (11.7%). Most participants (83.3%) could name at least one prevention method (ITNs, sanitation, IRS).</w:t>
      </w:r>
    </w:p>
    <w:p w14:paraId="788A7B61"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Table 2</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i/>
          <w:iCs/>
          <w:color w:val="0F1115"/>
          <w:kern w:val="0"/>
          <w14:ligatures w14:val="none"/>
        </w:rPr>
        <w:t>Knowledge of Malaria and Information Sources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70"/>
        <w:gridCol w:w="2531"/>
        <w:gridCol w:w="710"/>
        <w:gridCol w:w="672"/>
      </w:tblGrid>
      <w:tr w:rsidR="006049E3" w:rsidRPr="001833D6" w14:paraId="73412AAC" w14:textId="77777777" w:rsidTr="001A589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3AC2961"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EBC52B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9BE26A7"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EDD84EC"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w:t>
            </w:r>
          </w:p>
        </w:tc>
      </w:tr>
      <w:tr w:rsidR="006049E3" w:rsidRPr="001833D6" w14:paraId="78D01D37" w14:textId="77777777" w:rsidTr="001A589E">
        <w:tc>
          <w:tcPr>
            <w:tcW w:w="0" w:type="auto"/>
            <w:tcBorders>
              <w:top w:val="single" w:sz="4" w:space="0" w:color="auto"/>
            </w:tcBorders>
            <w:tcMar>
              <w:top w:w="150" w:type="dxa"/>
              <w:left w:w="0" w:type="dxa"/>
              <w:bottom w:w="150" w:type="dxa"/>
              <w:right w:w="240" w:type="dxa"/>
            </w:tcMar>
            <w:vAlign w:val="center"/>
            <w:hideMark/>
          </w:tcPr>
          <w:p w14:paraId="260EF9A1"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Knows malaria</w:t>
            </w:r>
          </w:p>
        </w:tc>
        <w:tc>
          <w:tcPr>
            <w:tcW w:w="0" w:type="auto"/>
            <w:tcBorders>
              <w:top w:val="single" w:sz="4" w:space="0" w:color="auto"/>
            </w:tcBorders>
            <w:tcMar>
              <w:top w:w="150" w:type="dxa"/>
              <w:left w:w="240" w:type="dxa"/>
              <w:bottom w:w="150" w:type="dxa"/>
              <w:right w:w="240" w:type="dxa"/>
            </w:tcMar>
            <w:vAlign w:val="center"/>
            <w:hideMark/>
          </w:tcPr>
          <w:p w14:paraId="278B539B"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27132B0A"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52</w:t>
            </w:r>
          </w:p>
        </w:tc>
        <w:tc>
          <w:tcPr>
            <w:tcW w:w="0" w:type="auto"/>
            <w:tcBorders>
              <w:top w:val="single" w:sz="4" w:space="0" w:color="auto"/>
            </w:tcBorders>
            <w:tcMar>
              <w:top w:w="150" w:type="dxa"/>
              <w:left w:w="240" w:type="dxa"/>
              <w:bottom w:w="150" w:type="dxa"/>
              <w:right w:w="0" w:type="dxa"/>
            </w:tcMar>
            <w:vAlign w:val="center"/>
            <w:hideMark/>
          </w:tcPr>
          <w:p w14:paraId="2566EE49"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86.7</w:t>
            </w:r>
          </w:p>
        </w:tc>
      </w:tr>
      <w:tr w:rsidR="006049E3" w:rsidRPr="001833D6" w14:paraId="1FE6D743" w14:textId="77777777" w:rsidTr="001A589E">
        <w:tc>
          <w:tcPr>
            <w:tcW w:w="0" w:type="auto"/>
            <w:tcMar>
              <w:top w:w="150" w:type="dxa"/>
              <w:left w:w="0" w:type="dxa"/>
              <w:bottom w:w="150" w:type="dxa"/>
              <w:right w:w="240" w:type="dxa"/>
            </w:tcMar>
            <w:vAlign w:val="center"/>
            <w:hideMark/>
          </w:tcPr>
          <w:p w14:paraId="62FDB7BF"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A7F027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58E4E2C"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2F59B7A4"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13.3</w:t>
            </w:r>
          </w:p>
        </w:tc>
      </w:tr>
      <w:tr w:rsidR="006049E3" w:rsidRPr="001833D6" w14:paraId="590FDA7D" w14:textId="77777777" w:rsidTr="001A589E">
        <w:tc>
          <w:tcPr>
            <w:tcW w:w="0" w:type="auto"/>
            <w:tcMar>
              <w:top w:w="150" w:type="dxa"/>
              <w:left w:w="0" w:type="dxa"/>
              <w:bottom w:w="150" w:type="dxa"/>
              <w:right w:w="240" w:type="dxa"/>
            </w:tcMar>
            <w:vAlign w:val="center"/>
            <w:hideMark/>
          </w:tcPr>
          <w:p w14:paraId="75DCE02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lastRenderedPageBreak/>
              <w:t>Source of information</w:t>
            </w:r>
          </w:p>
        </w:tc>
        <w:tc>
          <w:tcPr>
            <w:tcW w:w="0" w:type="auto"/>
            <w:tcMar>
              <w:top w:w="150" w:type="dxa"/>
              <w:left w:w="240" w:type="dxa"/>
              <w:bottom w:w="150" w:type="dxa"/>
              <w:right w:w="240" w:type="dxa"/>
            </w:tcMar>
            <w:vAlign w:val="center"/>
            <w:hideMark/>
          </w:tcPr>
          <w:p w14:paraId="35904EED"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Health center</w:t>
            </w:r>
          </w:p>
        </w:tc>
        <w:tc>
          <w:tcPr>
            <w:tcW w:w="0" w:type="auto"/>
            <w:tcMar>
              <w:top w:w="150" w:type="dxa"/>
              <w:left w:w="240" w:type="dxa"/>
              <w:bottom w:w="150" w:type="dxa"/>
              <w:right w:w="240" w:type="dxa"/>
            </w:tcMar>
            <w:vAlign w:val="center"/>
            <w:hideMark/>
          </w:tcPr>
          <w:p w14:paraId="7C309F41"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705A738D"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33.3</w:t>
            </w:r>
          </w:p>
        </w:tc>
      </w:tr>
      <w:tr w:rsidR="006049E3" w:rsidRPr="001833D6" w14:paraId="1333488F" w14:textId="77777777" w:rsidTr="001A589E">
        <w:tc>
          <w:tcPr>
            <w:tcW w:w="0" w:type="auto"/>
            <w:tcMar>
              <w:top w:w="150" w:type="dxa"/>
              <w:left w:w="0" w:type="dxa"/>
              <w:bottom w:w="150" w:type="dxa"/>
              <w:right w:w="240" w:type="dxa"/>
            </w:tcMar>
            <w:vAlign w:val="center"/>
            <w:hideMark/>
          </w:tcPr>
          <w:p w14:paraId="503DC76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D1773A9"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Radio</w:t>
            </w:r>
          </w:p>
        </w:tc>
        <w:tc>
          <w:tcPr>
            <w:tcW w:w="0" w:type="auto"/>
            <w:tcMar>
              <w:top w:w="150" w:type="dxa"/>
              <w:left w:w="240" w:type="dxa"/>
              <w:bottom w:w="150" w:type="dxa"/>
              <w:right w:w="240" w:type="dxa"/>
            </w:tcMar>
            <w:vAlign w:val="center"/>
            <w:hideMark/>
          </w:tcPr>
          <w:p w14:paraId="37BD11E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0" w:type="dxa"/>
            </w:tcMar>
            <w:vAlign w:val="center"/>
            <w:hideMark/>
          </w:tcPr>
          <w:p w14:paraId="6B64C054"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25.0</w:t>
            </w:r>
          </w:p>
        </w:tc>
      </w:tr>
      <w:tr w:rsidR="006049E3" w:rsidRPr="001833D6" w14:paraId="0D22F809" w14:textId="77777777" w:rsidTr="001A589E">
        <w:tc>
          <w:tcPr>
            <w:tcW w:w="0" w:type="auto"/>
            <w:tcMar>
              <w:top w:w="150" w:type="dxa"/>
              <w:left w:w="0" w:type="dxa"/>
              <w:bottom w:w="150" w:type="dxa"/>
              <w:right w:w="240" w:type="dxa"/>
            </w:tcMar>
            <w:vAlign w:val="center"/>
            <w:hideMark/>
          </w:tcPr>
          <w:p w14:paraId="31735AF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1754E02"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Community campaign</w:t>
            </w:r>
          </w:p>
        </w:tc>
        <w:tc>
          <w:tcPr>
            <w:tcW w:w="0" w:type="auto"/>
            <w:tcMar>
              <w:top w:w="150" w:type="dxa"/>
              <w:left w:w="240" w:type="dxa"/>
              <w:bottom w:w="150" w:type="dxa"/>
              <w:right w:w="240" w:type="dxa"/>
            </w:tcMar>
            <w:vAlign w:val="center"/>
            <w:hideMark/>
          </w:tcPr>
          <w:p w14:paraId="7C3E76DE"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0363222E"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30.0</w:t>
            </w:r>
          </w:p>
        </w:tc>
      </w:tr>
      <w:tr w:rsidR="006049E3" w:rsidRPr="001833D6" w14:paraId="0C59CE26" w14:textId="77777777" w:rsidTr="001A589E">
        <w:tc>
          <w:tcPr>
            <w:tcW w:w="0" w:type="auto"/>
            <w:tcMar>
              <w:top w:w="150" w:type="dxa"/>
              <w:left w:w="0" w:type="dxa"/>
              <w:bottom w:w="150" w:type="dxa"/>
              <w:right w:w="240" w:type="dxa"/>
            </w:tcMar>
            <w:vAlign w:val="center"/>
            <w:hideMark/>
          </w:tcPr>
          <w:p w14:paraId="1192230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E566809"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43E1E65A"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4C4EF6AB"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11.7</w:t>
            </w:r>
          </w:p>
        </w:tc>
      </w:tr>
      <w:tr w:rsidR="006049E3" w:rsidRPr="001833D6" w14:paraId="7A014F00" w14:textId="77777777" w:rsidTr="001A589E">
        <w:tc>
          <w:tcPr>
            <w:tcW w:w="0" w:type="auto"/>
            <w:tcMar>
              <w:top w:w="150" w:type="dxa"/>
              <w:left w:w="0" w:type="dxa"/>
              <w:bottom w:w="150" w:type="dxa"/>
              <w:right w:w="240" w:type="dxa"/>
            </w:tcMar>
            <w:vAlign w:val="center"/>
            <w:hideMark/>
          </w:tcPr>
          <w:p w14:paraId="6C463AFA"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Knows prevention methods</w:t>
            </w:r>
          </w:p>
        </w:tc>
        <w:tc>
          <w:tcPr>
            <w:tcW w:w="0" w:type="auto"/>
            <w:tcMar>
              <w:top w:w="150" w:type="dxa"/>
              <w:left w:w="240" w:type="dxa"/>
              <w:bottom w:w="150" w:type="dxa"/>
              <w:right w:w="240" w:type="dxa"/>
            </w:tcMar>
            <w:vAlign w:val="center"/>
            <w:hideMark/>
          </w:tcPr>
          <w:p w14:paraId="5D518B5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1C5B98D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50</w:t>
            </w:r>
          </w:p>
        </w:tc>
        <w:tc>
          <w:tcPr>
            <w:tcW w:w="0" w:type="auto"/>
            <w:tcMar>
              <w:top w:w="150" w:type="dxa"/>
              <w:left w:w="240" w:type="dxa"/>
              <w:bottom w:w="150" w:type="dxa"/>
              <w:right w:w="0" w:type="dxa"/>
            </w:tcMar>
            <w:vAlign w:val="center"/>
            <w:hideMark/>
          </w:tcPr>
          <w:p w14:paraId="01036333"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83.3</w:t>
            </w:r>
          </w:p>
        </w:tc>
      </w:tr>
      <w:tr w:rsidR="006049E3" w:rsidRPr="001833D6" w14:paraId="362D1428" w14:textId="77777777" w:rsidTr="001A589E">
        <w:tc>
          <w:tcPr>
            <w:tcW w:w="0" w:type="auto"/>
            <w:tcMar>
              <w:top w:w="150" w:type="dxa"/>
              <w:left w:w="0" w:type="dxa"/>
              <w:bottom w:w="150" w:type="dxa"/>
              <w:right w:w="240" w:type="dxa"/>
            </w:tcMar>
            <w:vAlign w:val="center"/>
            <w:hideMark/>
          </w:tcPr>
          <w:p w14:paraId="1F40AB0A"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EEE5D34"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697A3AB4"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112AE8AE"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16.7</w:t>
            </w:r>
          </w:p>
        </w:tc>
      </w:tr>
    </w:tbl>
    <w:p w14:paraId="7A6B1E2A"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Participation in Malaria Control Activities</w:t>
      </w:r>
    </w:p>
    <w:p w14:paraId="7A713714"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Overall, 63.3% of participants reported participating in at least one malaria control activity. The most common activities were sensitization (33.3%), environmental sanitation (30%), and ITN distribution campaigns (25%).</w:t>
      </w:r>
    </w:p>
    <w:p w14:paraId="645AE3D6"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Table 3</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i/>
          <w:iCs/>
          <w:color w:val="0F1115"/>
          <w:kern w:val="0"/>
          <w14:ligatures w14:val="none"/>
        </w:rPr>
        <w:t>Participation in Malaria Control Activities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91"/>
        <w:gridCol w:w="2698"/>
        <w:gridCol w:w="700"/>
        <w:gridCol w:w="664"/>
      </w:tblGrid>
      <w:tr w:rsidR="006049E3" w:rsidRPr="001A589E" w14:paraId="6916BFAA" w14:textId="77777777" w:rsidTr="001A589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DE38666"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CA7C1FB"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AC9AC99"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5EF518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w:t>
            </w:r>
          </w:p>
        </w:tc>
      </w:tr>
      <w:tr w:rsidR="006049E3" w:rsidRPr="001A589E" w14:paraId="09B7BDBE" w14:textId="77777777" w:rsidTr="001A589E">
        <w:tc>
          <w:tcPr>
            <w:tcW w:w="0" w:type="auto"/>
            <w:tcBorders>
              <w:top w:val="single" w:sz="4" w:space="0" w:color="auto"/>
            </w:tcBorders>
            <w:tcMar>
              <w:top w:w="150" w:type="dxa"/>
              <w:left w:w="0" w:type="dxa"/>
              <w:bottom w:w="150" w:type="dxa"/>
              <w:right w:w="240" w:type="dxa"/>
            </w:tcMar>
            <w:vAlign w:val="center"/>
            <w:hideMark/>
          </w:tcPr>
          <w:p w14:paraId="28C3DBF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Participates in malaria control</w:t>
            </w:r>
          </w:p>
        </w:tc>
        <w:tc>
          <w:tcPr>
            <w:tcW w:w="0" w:type="auto"/>
            <w:tcBorders>
              <w:top w:val="single" w:sz="4" w:space="0" w:color="auto"/>
            </w:tcBorders>
            <w:tcMar>
              <w:top w:w="150" w:type="dxa"/>
              <w:left w:w="240" w:type="dxa"/>
              <w:bottom w:w="150" w:type="dxa"/>
              <w:right w:w="240" w:type="dxa"/>
            </w:tcMar>
            <w:vAlign w:val="center"/>
            <w:hideMark/>
          </w:tcPr>
          <w:p w14:paraId="7CDB3CB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01B5477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38</w:t>
            </w:r>
          </w:p>
        </w:tc>
        <w:tc>
          <w:tcPr>
            <w:tcW w:w="0" w:type="auto"/>
            <w:tcBorders>
              <w:top w:val="single" w:sz="4" w:space="0" w:color="auto"/>
            </w:tcBorders>
            <w:tcMar>
              <w:top w:w="150" w:type="dxa"/>
              <w:left w:w="240" w:type="dxa"/>
              <w:bottom w:w="150" w:type="dxa"/>
              <w:right w:w="0" w:type="dxa"/>
            </w:tcMar>
            <w:vAlign w:val="center"/>
            <w:hideMark/>
          </w:tcPr>
          <w:p w14:paraId="2282A9C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63.3</w:t>
            </w:r>
          </w:p>
        </w:tc>
      </w:tr>
      <w:tr w:rsidR="006049E3" w:rsidRPr="001A589E" w14:paraId="7EBE2CF7" w14:textId="77777777" w:rsidTr="001A589E">
        <w:tc>
          <w:tcPr>
            <w:tcW w:w="0" w:type="auto"/>
            <w:tcMar>
              <w:top w:w="150" w:type="dxa"/>
              <w:left w:w="0" w:type="dxa"/>
              <w:bottom w:w="150" w:type="dxa"/>
              <w:right w:w="240" w:type="dxa"/>
            </w:tcMar>
            <w:vAlign w:val="center"/>
            <w:hideMark/>
          </w:tcPr>
          <w:p w14:paraId="68F6DDF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1AE328E"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72D66C0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22</w:t>
            </w:r>
          </w:p>
        </w:tc>
        <w:tc>
          <w:tcPr>
            <w:tcW w:w="0" w:type="auto"/>
            <w:tcMar>
              <w:top w:w="150" w:type="dxa"/>
              <w:left w:w="240" w:type="dxa"/>
              <w:bottom w:w="150" w:type="dxa"/>
              <w:right w:w="0" w:type="dxa"/>
            </w:tcMar>
            <w:vAlign w:val="center"/>
            <w:hideMark/>
          </w:tcPr>
          <w:p w14:paraId="26FACE0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36.7</w:t>
            </w:r>
          </w:p>
        </w:tc>
      </w:tr>
      <w:tr w:rsidR="006049E3" w:rsidRPr="001A589E" w14:paraId="665418CD" w14:textId="77777777" w:rsidTr="001A589E">
        <w:tc>
          <w:tcPr>
            <w:tcW w:w="0" w:type="auto"/>
            <w:tcMar>
              <w:top w:w="150" w:type="dxa"/>
              <w:left w:w="0" w:type="dxa"/>
              <w:bottom w:w="150" w:type="dxa"/>
              <w:right w:w="240" w:type="dxa"/>
            </w:tcMar>
            <w:vAlign w:val="center"/>
            <w:hideMark/>
          </w:tcPr>
          <w:p w14:paraId="60D004C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Type of activity (multiple responses)</w:t>
            </w:r>
          </w:p>
        </w:tc>
        <w:tc>
          <w:tcPr>
            <w:tcW w:w="0" w:type="auto"/>
            <w:tcMar>
              <w:top w:w="150" w:type="dxa"/>
              <w:left w:w="240" w:type="dxa"/>
              <w:bottom w:w="150" w:type="dxa"/>
              <w:right w:w="240" w:type="dxa"/>
            </w:tcMar>
            <w:vAlign w:val="center"/>
            <w:hideMark/>
          </w:tcPr>
          <w:p w14:paraId="27551D1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Sensitization</w:t>
            </w:r>
          </w:p>
        </w:tc>
        <w:tc>
          <w:tcPr>
            <w:tcW w:w="0" w:type="auto"/>
            <w:tcMar>
              <w:top w:w="150" w:type="dxa"/>
              <w:left w:w="240" w:type="dxa"/>
              <w:bottom w:w="150" w:type="dxa"/>
              <w:right w:w="240" w:type="dxa"/>
            </w:tcMar>
            <w:vAlign w:val="center"/>
            <w:hideMark/>
          </w:tcPr>
          <w:p w14:paraId="0749D56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20</w:t>
            </w:r>
          </w:p>
        </w:tc>
        <w:tc>
          <w:tcPr>
            <w:tcW w:w="0" w:type="auto"/>
            <w:tcMar>
              <w:top w:w="150" w:type="dxa"/>
              <w:left w:w="240" w:type="dxa"/>
              <w:bottom w:w="150" w:type="dxa"/>
              <w:right w:w="0" w:type="dxa"/>
            </w:tcMar>
            <w:vAlign w:val="center"/>
            <w:hideMark/>
          </w:tcPr>
          <w:p w14:paraId="368D507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33.3</w:t>
            </w:r>
          </w:p>
        </w:tc>
      </w:tr>
      <w:tr w:rsidR="006049E3" w:rsidRPr="001A589E" w14:paraId="37F81F47" w14:textId="77777777" w:rsidTr="001A589E">
        <w:tc>
          <w:tcPr>
            <w:tcW w:w="0" w:type="auto"/>
            <w:tcMar>
              <w:top w:w="150" w:type="dxa"/>
              <w:left w:w="0" w:type="dxa"/>
              <w:bottom w:w="150" w:type="dxa"/>
              <w:right w:w="240" w:type="dxa"/>
            </w:tcMar>
            <w:vAlign w:val="center"/>
            <w:hideMark/>
          </w:tcPr>
          <w:p w14:paraId="4348662F"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B8500A0"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Environmental sanitation</w:t>
            </w:r>
          </w:p>
        </w:tc>
        <w:tc>
          <w:tcPr>
            <w:tcW w:w="0" w:type="auto"/>
            <w:tcMar>
              <w:top w:w="150" w:type="dxa"/>
              <w:left w:w="240" w:type="dxa"/>
              <w:bottom w:w="150" w:type="dxa"/>
              <w:right w:w="240" w:type="dxa"/>
            </w:tcMar>
            <w:vAlign w:val="center"/>
            <w:hideMark/>
          </w:tcPr>
          <w:p w14:paraId="4875D50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6B79BA9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30.0</w:t>
            </w:r>
          </w:p>
        </w:tc>
      </w:tr>
      <w:tr w:rsidR="006049E3" w:rsidRPr="001A589E" w14:paraId="540015F6" w14:textId="77777777" w:rsidTr="001A589E">
        <w:tc>
          <w:tcPr>
            <w:tcW w:w="0" w:type="auto"/>
            <w:tcMar>
              <w:top w:w="150" w:type="dxa"/>
              <w:left w:w="0" w:type="dxa"/>
              <w:bottom w:w="150" w:type="dxa"/>
              <w:right w:w="240" w:type="dxa"/>
            </w:tcMar>
            <w:vAlign w:val="center"/>
            <w:hideMark/>
          </w:tcPr>
          <w:p w14:paraId="44D4BA5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FFD636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ITN distribution</w:t>
            </w:r>
          </w:p>
        </w:tc>
        <w:tc>
          <w:tcPr>
            <w:tcW w:w="0" w:type="auto"/>
            <w:tcMar>
              <w:top w:w="150" w:type="dxa"/>
              <w:left w:w="240" w:type="dxa"/>
              <w:bottom w:w="150" w:type="dxa"/>
              <w:right w:w="240" w:type="dxa"/>
            </w:tcMar>
            <w:vAlign w:val="center"/>
            <w:hideMark/>
          </w:tcPr>
          <w:p w14:paraId="26DAA74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2D4F3DB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25.0</w:t>
            </w:r>
          </w:p>
        </w:tc>
      </w:tr>
      <w:tr w:rsidR="006049E3" w:rsidRPr="001A589E" w14:paraId="2AB77BD8" w14:textId="77777777" w:rsidTr="001A589E">
        <w:tc>
          <w:tcPr>
            <w:tcW w:w="0" w:type="auto"/>
            <w:tcMar>
              <w:top w:w="150" w:type="dxa"/>
              <w:left w:w="0" w:type="dxa"/>
              <w:bottom w:w="150" w:type="dxa"/>
              <w:right w:w="240" w:type="dxa"/>
            </w:tcMar>
            <w:vAlign w:val="center"/>
            <w:hideMark/>
          </w:tcPr>
          <w:p w14:paraId="22574ED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A786B1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48B13B2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0" w:type="dxa"/>
            </w:tcMar>
            <w:vAlign w:val="center"/>
            <w:hideMark/>
          </w:tcPr>
          <w:p w14:paraId="5237334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11.7</w:t>
            </w:r>
          </w:p>
        </w:tc>
      </w:tr>
      <w:tr w:rsidR="006049E3" w:rsidRPr="001A589E" w14:paraId="0BDAE701" w14:textId="77777777" w:rsidTr="001A589E">
        <w:tc>
          <w:tcPr>
            <w:tcW w:w="0" w:type="auto"/>
            <w:tcMar>
              <w:top w:w="150" w:type="dxa"/>
              <w:left w:w="0" w:type="dxa"/>
              <w:bottom w:w="150" w:type="dxa"/>
              <w:right w:w="240" w:type="dxa"/>
            </w:tcMar>
            <w:vAlign w:val="center"/>
            <w:hideMark/>
          </w:tcPr>
          <w:p w14:paraId="5C16DEC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ITN use</w:t>
            </w:r>
          </w:p>
        </w:tc>
        <w:tc>
          <w:tcPr>
            <w:tcW w:w="0" w:type="auto"/>
            <w:tcMar>
              <w:top w:w="150" w:type="dxa"/>
              <w:left w:w="240" w:type="dxa"/>
              <w:bottom w:w="150" w:type="dxa"/>
              <w:right w:w="240" w:type="dxa"/>
            </w:tcMar>
            <w:vAlign w:val="center"/>
            <w:hideMark/>
          </w:tcPr>
          <w:p w14:paraId="746CE21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102B555E"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45</w:t>
            </w:r>
          </w:p>
        </w:tc>
        <w:tc>
          <w:tcPr>
            <w:tcW w:w="0" w:type="auto"/>
            <w:tcMar>
              <w:top w:w="150" w:type="dxa"/>
              <w:left w:w="240" w:type="dxa"/>
              <w:bottom w:w="150" w:type="dxa"/>
              <w:right w:w="0" w:type="dxa"/>
            </w:tcMar>
            <w:vAlign w:val="center"/>
            <w:hideMark/>
          </w:tcPr>
          <w:p w14:paraId="6976C11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75.0</w:t>
            </w:r>
          </w:p>
        </w:tc>
      </w:tr>
      <w:tr w:rsidR="006049E3" w:rsidRPr="001A589E" w14:paraId="447CE035" w14:textId="77777777" w:rsidTr="001A589E">
        <w:tc>
          <w:tcPr>
            <w:tcW w:w="0" w:type="auto"/>
            <w:tcMar>
              <w:top w:w="150" w:type="dxa"/>
              <w:left w:w="0" w:type="dxa"/>
              <w:bottom w:w="150" w:type="dxa"/>
              <w:right w:w="240" w:type="dxa"/>
            </w:tcMar>
            <w:vAlign w:val="center"/>
            <w:hideMark/>
          </w:tcPr>
          <w:p w14:paraId="67DCBBB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A198D8F"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61585E0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161BD31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25.0</w:t>
            </w:r>
          </w:p>
        </w:tc>
      </w:tr>
      <w:tr w:rsidR="006049E3" w:rsidRPr="001A589E" w14:paraId="5887A7A8" w14:textId="77777777" w:rsidTr="001A589E">
        <w:tc>
          <w:tcPr>
            <w:tcW w:w="0" w:type="auto"/>
            <w:tcMar>
              <w:top w:w="150" w:type="dxa"/>
              <w:left w:w="0" w:type="dxa"/>
              <w:bottom w:w="150" w:type="dxa"/>
              <w:right w:w="240" w:type="dxa"/>
            </w:tcMar>
            <w:vAlign w:val="center"/>
            <w:hideMark/>
          </w:tcPr>
          <w:p w14:paraId="05B2317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lastRenderedPageBreak/>
              <w:t>Participates in sanitation campaigns</w:t>
            </w:r>
          </w:p>
        </w:tc>
        <w:tc>
          <w:tcPr>
            <w:tcW w:w="0" w:type="auto"/>
            <w:tcMar>
              <w:top w:w="150" w:type="dxa"/>
              <w:left w:w="240" w:type="dxa"/>
              <w:bottom w:w="150" w:type="dxa"/>
              <w:right w:w="240" w:type="dxa"/>
            </w:tcMar>
            <w:vAlign w:val="center"/>
            <w:hideMark/>
          </w:tcPr>
          <w:p w14:paraId="20205E66"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Yes</w:t>
            </w:r>
          </w:p>
        </w:tc>
        <w:tc>
          <w:tcPr>
            <w:tcW w:w="0" w:type="auto"/>
            <w:tcMar>
              <w:top w:w="150" w:type="dxa"/>
              <w:left w:w="240" w:type="dxa"/>
              <w:bottom w:w="150" w:type="dxa"/>
              <w:right w:w="240" w:type="dxa"/>
            </w:tcMar>
            <w:vAlign w:val="center"/>
            <w:hideMark/>
          </w:tcPr>
          <w:p w14:paraId="14D2436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34</w:t>
            </w:r>
          </w:p>
        </w:tc>
        <w:tc>
          <w:tcPr>
            <w:tcW w:w="0" w:type="auto"/>
            <w:tcMar>
              <w:top w:w="150" w:type="dxa"/>
              <w:left w:w="240" w:type="dxa"/>
              <w:bottom w:w="150" w:type="dxa"/>
              <w:right w:w="0" w:type="dxa"/>
            </w:tcMar>
            <w:vAlign w:val="center"/>
            <w:hideMark/>
          </w:tcPr>
          <w:p w14:paraId="6171744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56.7</w:t>
            </w:r>
          </w:p>
        </w:tc>
      </w:tr>
      <w:tr w:rsidR="006049E3" w:rsidRPr="001A589E" w14:paraId="2BB683CE" w14:textId="77777777" w:rsidTr="001A589E">
        <w:tc>
          <w:tcPr>
            <w:tcW w:w="0" w:type="auto"/>
            <w:tcMar>
              <w:top w:w="150" w:type="dxa"/>
              <w:left w:w="0" w:type="dxa"/>
              <w:bottom w:w="150" w:type="dxa"/>
              <w:right w:w="240" w:type="dxa"/>
            </w:tcMar>
            <w:vAlign w:val="center"/>
            <w:hideMark/>
          </w:tcPr>
          <w:p w14:paraId="6737B14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E988AB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No</w:t>
            </w:r>
          </w:p>
        </w:tc>
        <w:tc>
          <w:tcPr>
            <w:tcW w:w="0" w:type="auto"/>
            <w:tcMar>
              <w:top w:w="150" w:type="dxa"/>
              <w:left w:w="240" w:type="dxa"/>
              <w:bottom w:w="150" w:type="dxa"/>
              <w:right w:w="240" w:type="dxa"/>
            </w:tcMar>
            <w:vAlign w:val="center"/>
            <w:hideMark/>
          </w:tcPr>
          <w:p w14:paraId="1D0E88D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26</w:t>
            </w:r>
          </w:p>
        </w:tc>
        <w:tc>
          <w:tcPr>
            <w:tcW w:w="0" w:type="auto"/>
            <w:tcMar>
              <w:top w:w="150" w:type="dxa"/>
              <w:left w:w="240" w:type="dxa"/>
              <w:bottom w:w="150" w:type="dxa"/>
              <w:right w:w="0" w:type="dxa"/>
            </w:tcMar>
            <w:vAlign w:val="center"/>
            <w:hideMark/>
          </w:tcPr>
          <w:p w14:paraId="51A46B5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43.3</w:t>
            </w:r>
          </w:p>
        </w:tc>
      </w:tr>
    </w:tbl>
    <w:p w14:paraId="13EB4D35"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Community Leadership and Collaboration</w:t>
      </w:r>
    </w:p>
    <w:p w14:paraId="44FD95C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Community leaders were reported as involved in malaria control by 66.7% of participants. Collaboration between the community and health structures was rated as good by 50%, moderate by 33.3%, and poor by 16.7% of participants.</w:t>
      </w:r>
    </w:p>
    <w:p w14:paraId="4F682E50"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Barriers to Community Involvement</w:t>
      </w:r>
    </w:p>
    <w:p w14:paraId="6AC59B49"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The main barriers reported were lack of resources (41.7%), lack of information (30%), and lack of motivation (28.3%).</w:t>
      </w:r>
    </w:p>
    <w:p w14:paraId="39E332C3"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Table 4</w:t>
      </w:r>
      <w:r w:rsidRPr="001833D6">
        <w:rPr>
          <w:rFonts w:ascii="Times New Roman" w:eastAsia="Times New Roman" w:hAnsi="Times New Roman" w:cs="Times New Roman"/>
          <w:color w:val="0F1115"/>
          <w:kern w:val="0"/>
          <w14:ligatures w14:val="none"/>
        </w:rPr>
        <w:br/>
        <w:t>*Barriers to Community Participation (N = 60)*</w:t>
      </w:r>
    </w:p>
    <w:tbl>
      <w:tblPr>
        <w:tblW w:w="458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05"/>
        <w:gridCol w:w="710"/>
        <w:gridCol w:w="672"/>
      </w:tblGrid>
      <w:tr w:rsidR="006049E3" w:rsidRPr="001833D6" w14:paraId="026D38E7" w14:textId="77777777" w:rsidTr="001A589E">
        <w:trPr>
          <w:tblHeader/>
        </w:trPr>
        <w:tc>
          <w:tcPr>
            <w:tcW w:w="3664" w:type="dxa"/>
            <w:tcBorders>
              <w:top w:val="single" w:sz="4" w:space="0" w:color="auto"/>
              <w:bottom w:val="single" w:sz="4" w:space="0" w:color="auto"/>
            </w:tcBorders>
            <w:tcMar>
              <w:top w:w="150" w:type="dxa"/>
              <w:left w:w="0" w:type="dxa"/>
              <w:bottom w:w="150" w:type="dxa"/>
              <w:right w:w="240" w:type="dxa"/>
            </w:tcMar>
            <w:vAlign w:val="center"/>
            <w:hideMark/>
          </w:tcPr>
          <w:p w14:paraId="5C1F2440"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Barrier</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31BE9B0B"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784ECF22"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w:t>
            </w:r>
          </w:p>
        </w:tc>
      </w:tr>
      <w:tr w:rsidR="006049E3" w:rsidRPr="001833D6" w14:paraId="2EB61D0C" w14:textId="77777777" w:rsidTr="001A589E">
        <w:tc>
          <w:tcPr>
            <w:tcW w:w="3664" w:type="dxa"/>
            <w:tcBorders>
              <w:top w:val="single" w:sz="4" w:space="0" w:color="auto"/>
            </w:tcBorders>
            <w:tcMar>
              <w:top w:w="150" w:type="dxa"/>
              <w:left w:w="0" w:type="dxa"/>
              <w:bottom w:w="150" w:type="dxa"/>
              <w:right w:w="240" w:type="dxa"/>
            </w:tcMar>
            <w:vAlign w:val="center"/>
            <w:hideMark/>
          </w:tcPr>
          <w:p w14:paraId="332C987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Lack of resources (financial, material)</w:t>
            </w:r>
          </w:p>
        </w:tc>
        <w:tc>
          <w:tcPr>
            <w:tcW w:w="375" w:type="dxa"/>
            <w:tcBorders>
              <w:top w:val="single" w:sz="4" w:space="0" w:color="auto"/>
            </w:tcBorders>
            <w:tcMar>
              <w:top w:w="150" w:type="dxa"/>
              <w:left w:w="240" w:type="dxa"/>
              <w:bottom w:w="150" w:type="dxa"/>
              <w:right w:w="240" w:type="dxa"/>
            </w:tcMar>
            <w:vAlign w:val="center"/>
            <w:hideMark/>
          </w:tcPr>
          <w:p w14:paraId="50E1B698"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25</w:t>
            </w:r>
          </w:p>
        </w:tc>
        <w:tc>
          <w:tcPr>
            <w:tcW w:w="548" w:type="dxa"/>
            <w:tcBorders>
              <w:top w:val="single" w:sz="4" w:space="0" w:color="auto"/>
            </w:tcBorders>
            <w:tcMar>
              <w:top w:w="150" w:type="dxa"/>
              <w:left w:w="240" w:type="dxa"/>
              <w:bottom w:w="150" w:type="dxa"/>
              <w:right w:w="0" w:type="dxa"/>
            </w:tcMar>
            <w:vAlign w:val="center"/>
            <w:hideMark/>
          </w:tcPr>
          <w:p w14:paraId="7E26B9E2"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41.7</w:t>
            </w:r>
          </w:p>
        </w:tc>
      </w:tr>
      <w:tr w:rsidR="006049E3" w:rsidRPr="001833D6" w14:paraId="4678218D" w14:textId="77777777" w:rsidTr="001A589E">
        <w:tc>
          <w:tcPr>
            <w:tcW w:w="3664" w:type="dxa"/>
            <w:tcMar>
              <w:top w:w="150" w:type="dxa"/>
              <w:left w:w="0" w:type="dxa"/>
              <w:bottom w:w="150" w:type="dxa"/>
              <w:right w:w="240" w:type="dxa"/>
            </w:tcMar>
            <w:vAlign w:val="center"/>
            <w:hideMark/>
          </w:tcPr>
          <w:p w14:paraId="1B85184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Lack of information</w:t>
            </w:r>
          </w:p>
        </w:tc>
        <w:tc>
          <w:tcPr>
            <w:tcW w:w="375" w:type="dxa"/>
            <w:tcMar>
              <w:top w:w="150" w:type="dxa"/>
              <w:left w:w="240" w:type="dxa"/>
              <w:bottom w:w="150" w:type="dxa"/>
              <w:right w:w="240" w:type="dxa"/>
            </w:tcMar>
            <w:vAlign w:val="center"/>
            <w:hideMark/>
          </w:tcPr>
          <w:p w14:paraId="5C00F0C6"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18</w:t>
            </w:r>
          </w:p>
        </w:tc>
        <w:tc>
          <w:tcPr>
            <w:tcW w:w="548" w:type="dxa"/>
            <w:tcMar>
              <w:top w:w="150" w:type="dxa"/>
              <w:left w:w="240" w:type="dxa"/>
              <w:bottom w:w="150" w:type="dxa"/>
              <w:right w:w="0" w:type="dxa"/>
            </w:tcMar>
            <w:vAlign w:val="center"/>
            <w:hideMark/>
          </w:tcPr>
          <w:p w14:paraId="2B21B060"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30.0</w:t>
            </w:r>
          </w:p>
        </w:tc>
      </w:tr>
      <w:tr w:rsidR="006049E3" w:rsidRPr="001833D6" w14:paraId="4131171F" w14:textId="77777777" w:rsidTr="001A589E">
        <w:tc>
          <w:tcPr>
            <w:tcW w:w="3664" w:type="dxa"/>
            <w:tcMar>
              <w:top w:w="150" w:type="dxa"/>
              <w:left w:w="0" w:type="dxa"/>
              <w:bottom w:w="150" w:type="dxa"/>
              <w:right w:w="240" w:type="dxa"/>
            </w:tcMar>
            <w:vAlign w:val="center"/>
            <w:hideMark/>
          </w:tcPr>
          <w:p w14:paraId="09ABED6D"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Lack of motivation</w:t>
            </w:r>
          </w:p>
        </w:tc>
        <w:tc>
          <w:tcPr>
            <w:tcW w:w="375" w:type="dxa"/>
            <w:tcMar>
              <w:top w:w="150" w:type="dxa"/>
              <w:left w:w="240" w:type="dxa"/>
              <w:bottom w:w="150" w:type="dxa"/>
              <w:right w:w="240" w:type="dxa"/>
            </w:tcMar>
            <w:vAlign w:val="center"/>
            <w:hideMark/>
          </w:tcPr>
          <w:p w14:paraId="23C021DA"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17</w:t>
            </w:r>
          </w:p>
        </w:tc>
        <w:tc>
          <w:tcPr>
            <w:tcW w:w="548" w:type="dxa"/>
            <w:tcMar>
              <w:top w:w="150" w:type="dxa"/>
              <w:left w:w="240" w:type="dxa"/>
              <w:bottom w:w="150" w:type="dxa"/>
              <w:right w:w="0" w:type="dxa"/>
            </w:tcMar>
            <w:vAlign w:val="center"/>
            <w:hideMark/>
          </w:tcPr>
          <w:p w14:paraId="1CDF64F7"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28.3</w:t>
            </w:r>
          </w:p>
        </w:tc>
      </w:tr>
      <w:tr w:rsidR="006049E3" w:rsidRPr="001833D6" w14:paraId="2BE68BA4" w14:textId="77777777" w:rsidTr="001A589E">
        <w:tc>
          <w:tcPr>
            <w:tcW w:w="3664" w:type="dxa"/>
            <w:tcMar>
              <w:top w:w="150" w:type="dxa"/>
              <w:left w:w="0" w:type="dxa"/>
              <w:bottom w:w="150" w:type="dxa"/>
              <w:right w:w="240" w:type="dxa"/>
            </w:tcMar>
            <w:vAlign w:val="center"/>
            <w:hideMark/>
          </w:tcPr>
          <w:p w14:paraId="1350CD5E"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Other</w:t>
            </w:r>
          </w:p>
        </w:tc>
        <w:tc>
          <w:tcPr>
            <w:tcW w:w="375" w:type="dxa"/>
            <w:tcMar>
              <w:top w:w="150" w:type="dxa"/>
              <w:left w:w="240" w:type="dxa"/>
              <w:bottom w:w="150" w:type="dxa"/>
              <w:right w:w="240" w:type="dxa"/>
            </w:tcMar>
            <w:vAlign w:val="center"/>
            <w:hideMark/>
          </w:tcPr>
          <w:p w14:paraId="1DE33F1B"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0</w:t>
            </w:r>
          </w:p>
        </w:tc>
        <w:tc>
          <w:tcPr>
            <w:tcW w:w="548" w:type="dxa"/>
            <w:tcMar>
              <w:top w:w="150" w:type="dxa"/>
              <w:left w:w="240" w:type="dxa"/>
              <w:bottom w:w="150" w:type="dxa"/>
              <w:right w:w="0" w:type="dxa"/>
            </w:tcMar>
            <w:vAlign w:val="center"/>
            <w:hideMark/>
          </w:tcPr>
          <w:p w14:paraId="31F8ABE0" w14:textId="77777777" w:rsidR="006049E3" w:rsidRPr="001833D6" w:rsidRDefault="006049E3" w:rsidP="001A589E">
            <w:pPr>
              <w:spacing w:after="0" w:line="240" w:lineRule="auto"/>
              <w:rPr>
                <w:rFonts w:ascii="Times New Roman" w:eastAsia="Times New Roman" w:hAnsi="Times New Roman" w:cs="Times New Roman"/>
                <w:kern w:val="0"/>
                <w:sz w:val="23"/>
                <w:szCs w:val="23"/>
                <w14:ligatures w14:val="none"/>
              </w:rPr>
            </w:pPr>
            <w:r w:rsidRPr="001833D6">
              <w:rPr>
                <w:rFonts w:ascii="Times New Roman" w:eastAsia="Times New Roman" w:hAnsi="Times New Roman" w:cs="Times New Roman"/>
                <w:kern w:val="0"/>
                <w:sz w:val="23"/>
                <w:szCs w:val="23"/>
                <w14:ligatures w14:val="none"/>
              </w:rPr>
              <w:t>0</w:t>
            </w:r>
          </w:p>
        </w:tc>
      </w:tr>
    </w:tbl>
    <w:p w14:paraId="4687CF32"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Perceived Impact of Community Involvement</w:t>
      </w:r>
    </w:p>
    <w:p w14:paraId="632488F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Most participants (58.3%) perceived community actions as effective, while 30% rated them as moderately effective, and 11.7% as ineffective. Regarding the influence on malaria reduction, </w:t>
      </w:r>
      <w:r w:rsidRPr="001833D6">
        <w:rPr>
          <w:rFonts w:ascii="Times New Roman" w:eastAsia="Times New Roman" w:hAnsi="Times New Roman" w:cs="Times New Roman"/>
          <w:color w:val="0F1115"/>
          <w:kern w:val="0"/>
          <w14:ligatures w14:val="none"/>
        </w:rPr>
        <w:lastRenderedPageBreak/>
        <w:t>60% believed community involvement reduced cases, 26.7% reported little impact, and 13.3% reported no impact.</w:t>
      </w:r>
    </w:p>
    <w:p w14:paraId="0BA7DA88"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Table 5</w:t>
      </w:r>
      <w:r w:rsidRPr="001833D6">
        <w:rPr>
          <w:rFonts w:ascii="Times New Roman" w:eastAsia="Times New Roman" w:hAnsi="Times New Roman" w:cs="Times New Roman"/>
          <w:color w:val="0F1115"/>
          <w:kern w:val="0"/>
          <w14:ligatures w14:val="none"/>
        </w:rPr>
        <w:br/>
      </w:r>
      <w:r w:rsidRPr="001833D6">
        <w:rPr>
          <w:rFonts w:ascii="Times New Roman" w:eastAsia="Times New Roman" w:hAnsi="Times New Roman" w:cs="Times New Roman"/>
          <w:i/>
          <w:iCs/>
          <w:color w:val="0F1115"/>
          <w:kern w:val="0"/>
          <w14:ligatures w14:val="none"/>
        </w:rPr>
        <w:t>Perceived Effectiveness and Impact of Community Involvement</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27"/>
        <w:gridCol w:w="2319"/>
        <w:gridCol w:w="700"/>
        <w:gridCol w:w="664"/>
      </w:tblGrid>
      <w:tr w:rsidR="006049E3" w:rsidRPr="001A589E" w14:paraId="13AA272D" w14:textId="77777777" w:rsidTr="001A589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177429C"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7434526"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AC07A8E"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52A5276"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w:t>
            </w:r>
          </w:p>
        </w:tc>
      </w:tr>
      <w:tr w:rsidR="006049E3" w:rsidRPr="001A589E" w14:paraId="062A124E" w14:textId="77777777" w:rsidTr="001A589E">
        <w:tc>
          <w:tcPr>
            <w:tcW w:w="0" w:type="auto"/>
            <w:tcBorders>
              <w:top w:val="single" w:sz="4" w:space="0" w:color="auto"/>
            </w:tcBorders>
            <w:tcMar>
              <w:top w:w="150" w:type="dxa"/>
              <w:left w:w="0" w:type="dxa"/>
              <w:bottom w:w="150" w:type="dxa"/>
              <w:right w:w="240" w:type="dxa"/>
            </w:tcMar>
            <w:vAlign w:val="center"/>
            <w:hideMark/>
          </w:tcPr>
          <w:p w14:paraId="01ADA691"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Perceived effectiveness of actions</w:t>
            </w:r>
          </w:p>
        </w:tc>
        <w:tc>
          <w:tcPr>
            <w:tcW w:w="0" w:type="auto"/>
            <w:tcBorders>
              <w:top w:val="single" w:sz="4" w:space="0" w:color="auto"/>
            </w:tcBorders>
            <w:tcMar>
              <w:top w:w="150" w:type="dxa"/>
              <w:left w:w="240" w:type="dxa"/>
              <w:bottom w:w="150" w:type="dxa"/>
              <w:right w:w="240" w:type="dxa"/>
            </w:tcMar>
            <w:vAlign w:val="center"/>
            <w:hideMark/>
          </w:tcPr>
          <w:p w14:paraId="7DDBCB8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Effective</w:t>
            </w:r>
          </w:p>
        </w:tc>
        <w:tc>
          <w:tcPr>
            <w:tcW w:w="0" w:type="auto"/>
            <w:tcBorders>
              <w:top w:val="single" w:sz="4" w:space="0" w:color="auto"/>
            </w:tcBorders>
            <w:tcMar>
              <w:top w:w="150" w:type="dxa"/>
              <w:left w:w="240" w:type="dxa"/>
              <w:bottom w:w="150" w:type="dxa"/>
              <w:right w:w="240" w:type="dxa"/>
            </w:tcMar>
            <w:vAlign w:val="center"/>
            <w:hideMark/>
          </w:tcPr>
          <w:p w14:paraId="741B3B5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35</w:t>
            </w:r>
          </w:p>
        </w:tc>
        <w:tc>
          <w:tcPr>
            <w:tcW w:w="0" w:type="auto"/>
            <w:tcBorders>
              <w:top w:val="single" w:sz="4" w:space="0" w:color="auto"/>
            </w:tcBorders>
            <w:tcMar>
              <w:top w:w="150" w:type="dxa"/>
              <w:left w:w="240" w:type="dxa"/>
              <w:bottom w:w="150" w:type="dxa"/>
              <w:right w:w="0" w:type="dxa"/>
            </w:tcMar>
            <w:vAlign w:val="center"/>
            <w:hideMark/>
          </w:tcPr>
          <w:p w14:paraId="53BFF515"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58.3</w:t>
            </w:r>
          </w:p>
        </w:tc>
      </w:tr>
      <w:tr w:rsidR="006049E3" w:rsidRPr="001A589E" w14:paraId="0338B7D6" w14:textId="77777777" w:rsidTr="001A589E">
        <w:tc>
          <w:tcPr>
            <w:tcW w:w="0" w:type="auto"/>
            <w:tcMar>
              <w:top w:w="150" w:type="dxa"/>
              <w:left w:w="0" w:type="dxa"/>
              <w:bottom w:w="150" w:type="dxa"/>
              <w:right w:w="240" w:type="dxa"/>
            </w:tcMar>
            <w:vAlign w:val="center"/>
            <w:hideMark/>
          </w:tcPr>
          <w:p w14:paraId="170CEE7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625F512"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Moderately effective</w:t>
            </w:r>
          </w:p>
        </w:tc>
        <w:tc>
          <w:tcPr>
            <w:tcW w:w="0" w:type="auto"/>
            <w:tcMar>
              <w:top w:w="150" w:type="dxa"/>
              <w:left w:w="240" w:type="dxa"/>
              <w:bottom w:w="150" w:type="dxa"/>
              <w:right w:w="240" w:type="dxa"/>
            </w:tcMar>
            <w:vAlign w:val="center"/>
            <w:hideMark/>
          </w:tcPr>
          <w:p w14:paraId="59378E3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18</w:t>
            </w:r>
          </w:p>
        </w:tc>
        <w:tc>
          <w:tcPr>
            <w:tcW w:w="0" w:type="auto"/>
            <w:tcMar>
              <w:top w:w="150" w:type="dxa"/>
              <w:left w:w="240" w:type="dxa"/>
              <w:bottom w:w="150" w:type="dxa"/>
              <w:right w:w="0" w:type="dxa"/>
            </w:tcMar>
            <w:vAlign w:val="center"/>
            <w:hideMark/>
          </w:tcPr>
          <w:p w14:paraId="4357327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30.0</w:t>
            </w:r>
          </w:p>
        </w:tc>
      </w:tr>
      <w:tr w:rsidR="006049E3" w:rsidRPr="001A589E" w14:paraId="01BD1FF4" w14:textId="77777777" w:rsidTr="001A589E">
        <w:tc>
          <w:tcPr>
            <w:tcW w:w="0" w:type="auto"/>
            <w:tcMar>
              <w:top w:w="150" w:type="dxa"/>
              <w:left w:w="0" w:type="dxa"/>
              <w:bottom w:w="150" w:type="dxa"/>
              <w:right w:w="240" w:type="dxa"/>
            </w:tcMar>
            <w:vAlign w:val="center"/>
            <w:hideMark/>
          </w:tcPr>
          <w:p w14:paraId="31F138B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0E1A02F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Ineffective</w:t>
            </w:r>
          </w:p>
        </w:tc>
        <w:tc>
          <w:tcPr>
            <w:tcW w:w="0" w:type="auto"/>
            <w:tcMar>
              <w:top w:w="150" w:type="dxa"/>
              <w:left w:w="240" w:type="dxa"/>
              <w:bottom w:w="150" w:type="dxa"/>
              <w:right w:w="240" w:type="dxa"/>
            </w:tcMar>
            <w:vAlign w:val="center"/>
            <w:hideMark/>
          </w:tcPr>
          <w:p w14:paraId="16F00AC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7</w:t>
            </w:r>
          </w:p>
        </w:tc>
        <w:tc>
          <w:tcPr>
            <w:tcW w:w="0" w:type="auto"/>
            <w:tcMar>
              <w:top w:w="150" w:type="dxa"/>
              <w:left w:w="240" w:type="dxa"/>
              <w:bottom w:w="150" w:type="dxa"/>
              <w:right w:w="0" w:type="dxa"/>
            </w:tcMar>
            <w:vAlign w:val="center"/>
            <w:hideMark/>
          </w:tcPr>
          <w:p w14:paraId="11DA60B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11.7</w:t>
            </w:r>
          </w:p>
        </w:tc>
      </w:tr>
      <w:tr w:rsidR="006049E3" w:rsidRPr="001A589E" w14:paraId="73D56C60" w14:textId="77777777" w:rsidTr="001A589E">
        <w:tc>
          <w:tcPr>
            <w:tcW w:w="0" w:type="auto"/>
            <w:tcMar>
              <w:top w:w="150" w:type="dxa"/>
              <w:left w:w="0" w:type="dxa"/>
              <w:bottom w:w="150" w:type="dxa"/>
              <w:right w:w="240" w:type="dxa"/>
            </w:tcMar>
            <w:vAlign w:val="center"/>
            <w:hideMark/>
          </w:tcPr>
          <w:p w14:paraId="4F7F947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Influence on malaria reduction</w:t>
            </w:r>
          </w:p>
        </w:tc>
        <w:tc>
          <w:tcPr>
            <w:tcW w:w="0" w:type="auto"/>
            <w:tcMar>
              <w:top w:w="150" w:type="dxa"/>
              <w:left w:w="240" w:type="dxa"/>
              <w:bottom w:w="150" w:type="dxa"/>
              <w:right w:w="240" w:type="dxa"/>
            </w:tcMar>
            <w:vAlign w:val="center"/>
            <w:hideMark/>
          </w:tcPr>
          <w:p w14:paraId="6C6F048D"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Reduces cases</w:t>
            </w:r>
          </w:p>
        </w:tc>
        <w:tc>
          <w:tcPr>
            <w:tcW w:w="0" w:type="auto"/>
            <w:tcMar>
              <w:top w:w="150" w:type="dxa"/>
              <w:left w:w="240" w:type="dxa"/>
              <w:bottom w:w="150" w:type="dxa"/>
              <w:right w:w="240" w:type="dxa"/>
            </w:tcMar>
            <w:vAlign w:val="center"/>
            <w:hideMark/>
          </w:tcPr>
          <w:p w14:paraId="7A0E80F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36</w:t>
            </w:r>
          </w:p>
        </w:tc>
        <w:tc>
          <w:tcPr>
            <w:tcW w:w="0" w:type="auto"/>
            <w:tcMar>
              <w:top w:w="150" w:type="dxa"/>
              <w:left w:w="240" w:type="dxa"/>
              <w:bottom w:w="150" w:type="dxa"/>
              <w:right w:w="0" w:type="dxa"/>
            </w:tcMar>
            <w:vAlign w:val="center"/>
            <w:hideMark/>
          </w:tcPr>
          <w:p w14:paraId="19768B94"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60.0</w:t>
            </w:r>
          </w:p>
        </w:tc>
      </w:tr>
      <w:tr w:rsidR="006049E3" w:rsidRPr="001A589E" w14:paraId="456DED3F" w14:textId="77777777" w:rsidTr="001A589E">
        <w:tc>
          <w:tcPr>
            <w:tcW w:w="0" w:type="auto"/>
            <w:tcMar>
              <w:top w:w="150" w:type="dxa"/>
              <w:left w:w="0" w:type="dxa"/>
              <w:bottom w:w="150" w:type="dxa"/>
              <w:right w:w="240" w:type="dxa"/>
            </w:tcMar>
            <w:vAlign w:val="center"/>
            <w:hideMark/>
          </w:tcPr>
          <w:p w14:paraId="5DABA73E"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1D3BE5D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Little impact</w:t>
            </w:r>
          </w:p>
        </w:tc>
        <w:tc>
          <w:tcPr>
            <w:tcW w:w="0" w:type="auto"/>
            <w:tcMar>
              <w:top w:w="150" w:type="dxa"/>
              <w:left w:w="240" w:type="dxa"/>
              <w:bottom w:w="150" w:type="dxa"/>
              <w:right w:w="240" w:type="dxa"/>
            </w:tcMar>
            <w:vAlign w:val="center"/>
            <w:hideMark/>
          </w:tcPr>
          <w:p w14:paraId="1DED4DA9"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16</w:t>
            </w:r>
          </w:p>
        </w:tc>
        <w:tc>
          <w:tcPr>
            <w:tcW w:w="0" w:type="auto"/>
            <w:tcMar>
              <w:top w:w="150" w:type="dxa"/>
              <w:left w:w="240" w:type="dxa"/>
              <w:bottom w:w="150" w:type="dxa"/>
              <w:right w:w="0" w:type="dxa"/>
            </w:tcMar>
            <w:vAlign w:val="center"/>
            <w:hideMark/>
          </w:tcPr>
          <w:p w14:paraId="33C91D18"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26.7</w:t>
            </w:r>
          </w:p>
        </w:tc>
      </w:tr>
      <w:tr w:rsidR="006049E3" w:rsidRPr="001A589E" w14:paraId="2ED0F143" w14:textId="77777777" w:rsidTr="001A589E">
        <w:tc>
          <w:tcPr>
            <w:tcW w:w="0" w:type="auto"/>
            <w:tcMar>
              <w:top w:w="150" w:type="dxa"/>
              <w:left w:w="0" w:type="dxa"/>
              <w:bottom w:w="150" w:type="dxa"/>
              <w:right w:w="240" w:type="dxa"/>
            </w:tcMar>
            <w:vAlign w:val="center"/>
            <w:hideMark/>
          </w:tcPr>
          <w:p w14:paraId="25336753"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00FA209"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No impact</w:t>
            </w:r>
          </w:p>
        </w:tc>
        <w:tc>
          <w:tcPr>
            <w:tcW w:w="0" w:type="auto"/>
            <w:tcMar>
              <w:top w:w="150" w:type="dxa"/>
              <w:left w:w="240" w:type="dxa"/>
              <w:bottom w:w="150" w:type="dxa"/>
              <w:right w:w="240" w:type="dxa"/>
            </w:tcMar>
            <w:vAlign w:val="center"/>
            <w:hideMark/>
          </w:tcPr>
          <w:p w14:paraId="32C806AA"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0" w:type="dxa"/>
            </w:tcMar>
            <w:vAlign w:val="center"/>
            <w:hideMark/>
          </w:tcPr>
          <w:p w14:paraId="3EB487F7" w14:textId="77777777" w:rsidR="006049E3" w:rsidRPr="001A589E" w:rsidRDefault="006049E3" w:rsidP="001A589E">
            <w:pPr>
              <w:spacing w:after="0" w:line="240" w:lineRule="auto"/>
              <w:rPr>
                <w:rFonts w:ascii="Times New Roman" w:eastAsia="Times New Roman" w:hAnsi="Times New Roman" w:cs="Times New Roman"/>
                <w:kern w:val="0"/>
                <w:sz w:val="22"/>
                <w:szCs w:val="22"/>
                <w14:ligatures w14:val="none"/>
              </w:rPr>
            </w:pPr>
            <w:r w:rsidRPr="001A589E">
              <w:rPr>
                <w:rFonts w:ascii="Times New Roman" w:eastAsia="Times New Roman" w:hAnsi="Times New Roman" w:cs="Times New Roman"/>
                <w:kern w:val="0"/>
                <w:sz w:val="22"/>
                <w:szCs w:val="22"/>
                <w14:ligatures w14:val="none"/>
              </w:rPr>
              <w:t>13.3</w:t>
            </w:r>
          </w:p>
        </w:tc>
      </w:tr>
    </w:tbl>
    <w:p w14:paraId="20C46BB6"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t>Suggestions for Improvement</w:t>
      </w:r>
    </w:p>
    <w:p w14:paraId="2A64ECD3"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Participants suggested reinforcing sensitization (36.7%), increasing ITN distribution (30%), and securing greater support from authorities (20%) as key strategies to improve malaria control.</w:t>
      </w:r>
    </w:p>
    <w:p w14:paraId="729682B2"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Discussion</w:t>
      </w:r>
    </w:p>
    <w:p w14:paraId="1320CD65"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This study provides empirical evidence that community involvement significantly enhances malaria control activities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The high level of malaria knowledge (86.7%) and ITN use (75%) among participants is consistent with findings from previous studies in sub-Saharan Africa, which have demonstrated that community-based sensitization improves both awareness and preventive behaviors (Tiono et al., 2018; WHO, 2023).</w:t>
      </w:r>
    </w:p>
    <w:p w14:paraId="6C74505D"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The fact that 63.3% of participants actively engaged in malaria control activities—particularly sensitization, sanitation, and ITN distribution—aligns with the theoretical framework of Arnstein (1969), which posits that participation beyond tokenism leads to better health outcomes. The </w:t>
      </w:r>
      <w:r w:rsidRPr="001833D6">
        <w:rPr>
          <w:rFonts w:ascii="Times New Roman" w:eastAsia="Times New Roman" w:hAnsi="Times New Roman" w:cs="Times New Roman"/>
          <w:color w:val="0F1115"/>
          <w:kern w:val="0"/>
          <w14:ligatures w14:val="none"/>
        </w:rPr>
        <w:lastRenderedPageBreak/>
        <w:t>involvement of community leaders (66.7%) further supports the socio-ecological model (Bronfenbrenner, 1979), where multi-level influences (individual, interpersonal, community, institutional) interact to shape health behaviors.</w:t>
      </w:r>
    </w:p>
    <w:p w14:paraId="453BF439"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Environmental sanitation participation (56.7%) is particularly noteworthy, as vector control through larval source management is a core WHO-recommended strategy. However, the fact that 43.3% did not participate indicates room for improvement. The main barriers—lack of resources (41.7%), information (30%), and motivation (28.3%)—mirror findings from other studies in resource-limited settings (Roll Back Malaria Partnership, 2018).</w:t>
      </w:r>
    </w:p>
    <w:p w14:paraId="281512E3"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The perceived effectiveness of community actions (58.3% rating as effective) and the belief that involvement reduces malaria cases (60%) are encouraging. These perceptions are likely rooted in observable reductions in household mosquito densities and fewer febrile episodes, as reported in qualitative interviews. However, the 13.3% who reported no impact suggest that in some areas, interventions may not have reached sufficient intensity or coverage.</w:t>
      </w:r>
    </w:p>
    <w:p w14:paraId="4B8262AF"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Collaboration with health structures was rated as good by only 50% of participants, indicating a need for stronger coordination. The PNLP's strategic plan emphasizes community engagement, but implementation at the local level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appears inconsistent (Ministère de la Santé, 2016). Strengthening the roles and capacities of community health workers (Relais </w:t>
      </w:r>
      <w:proofErr w:type="spellStart"/>
      <w:r w:rsidRPr="001833D6">
        <w:rPr>
          <w:rFonts w:ascii="Times New Roman" w:eastAsia="Times New Roman" w:hAnsi="Times New Roman" w:cs="Times New Roman"/>
          <w:color w:val="0F1115"/>
          <w:kern w:val="0"/>
          <w14:ligatures w14:val="none"/>
        </w:rPr>
        <w:t>Communautaires</w:t>
      </w:r>
      <w:proofErr w:type="spellEnd"/>
      <w:r w:rsidRPr="001833D6">
        <w:rPr>
          <w:rFonts w:ascii="Times New Roman" w:eastAsia="Times New Roman" w:hAnsi="Times New Roman" w:cs="Times New Roman"/>
          <w:color w:val="0F1115"/>
          <w:kern w:val="0"/>
          <w14:ligatures w14:val="none"/>
        </w:rPr>
        <w:t>) through regular training, supervision, and motivation (including incentives) is essential (Tiono et al., 2018).</w:t>
      </w:r>
    </w:p>
    <w:p w14:paraId="6410B3B5"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The study has limitations. The relatively small sample size (n=60) limits generalizability to </w:t>
      </w:r>
      <w:proofErr w:type="gramStart"/>
      <w:r w:rsidRPr="001833D6">
        <w:rPr>
          <w:rFonts w:ascii="Times New Roman" w:eastAsia="Times New Roman" w:hAnsi="Times New Roman" w:cs="Times New Roman"/>
          <w:color w:val="0F1115"/>
          <w:kern w:val="0"/>
          <w14:ligatures w14:val="none"/>
        </w:rPr>
        <w:t>all of</w:t>
      </w:r>
      <w:proofErr w:type="gramEnd"/>
      <w:r w:rsidRPr="001833D6">
        <w:rPr>
          <w:rFonts w:ascii="Times New Roman" w:eastAsia="Times New Roman" w:hAnsi="Times New Roman" w:cs="Times New Roman"/>
          <w:color w:val="0F1115"/>
          <w:kern w:val="0"/>
          <w14:ligatures w14:val="none"/>
        </w:rPr>
        <w:t xml:space="preserve">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or Équateur Province. The cross-sectional design precludes causal inference. Self-reported behaviors may be subject to social desirability bias. Nevertheless, the mixed-methods approach and triangulation of data sources strengthen the validity of findings.</w:t>
      </w:r>
    </w:p>
    <w:p w14:paraId="6FCB0250"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Comparison with national data is instructive. The 75% ITN use in this study exceeds the national average of approximately 50–60% reported in recent Demographic and Health Surveys, suggesting that community involvement may be particularly effective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However, this could also reflect sampling bias toward more engaged households.</w:t>
      </w:r>
    </w:p>
    <w:p w14:paraId="5A24B5EA" w14:textId="77777777" w:rsidR="006049E3" w:rsidRPr="001833D6" w:rsidRDefault="006049E3" w:rsidP="006049E3">
      <w:pPr>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833D6">
        <w:rPr>
          <w:rFonts w:ascii="Times New Roman" w:eastAsia="Times New Roman" w:hAnsi="Times New Roman" w:cs="Times New Roman"/>
          <w:b/>
          <w:bCs/>
          <w:color w:val="0F1115"/>
          <w:kern w:val="0"/>
          <w:sz w:val="30"/>
          <w:szCs w:val="30"/>
          <w14:ligatures w14:val="none"/>
        </w:rPr>
        <w:lastRenderedPageBreak/>
        <w:t>Implications for Policy and Practice</w:t>
      </w:r>
    </w:p>
    <w:p w14:paraId="4D63BFC7"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Based on these findings, several actionable recommendations emerge:</w:t>
      </w:r>
    </w:p>
    <w:p w14:paraId="06C1131B" w14:textId="77777777" w:rsidR="006049E3" w:rsidRPr="001833D6" w:rsidRDefault="006049E3" w:rsidP="006049E3">
      <w:pPr>
        <w:numPr>
          <w:ilvl w:val="0"/>
          <w:numId w:val="4"/>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For health authorities (PNLP, Provincial Health Division):</w:t>
      </w:r>
      <w:r w:rsidRPr="001833D6">
        <w:rPr>
          <w:rFonts w:ascii="Times New Roman" w:eastAsia="Times New Roman" w:hAnsi="Times New Roman" w:cs="Times New Roman"/>
          <w:color w:val="0F1115"/>
          <w:kern w:val="0"/>
          <w14:ligatures w14:val="none"/>
        </w:rPr>
        <w:t> Allocate dedicated funding for community mobilization, including incentives for community health workers. Ensure regular, sufficient ITN distribution cycles.</w:t>
      </w:r>
    </w:p>
    <w:p w14:paraId="3806B62C" w14:textId="77777777" w:rsidR="006049E3" w:rsidRPr="001833D6" w:rsidRDefault="006049E3" w:rsidP="006049E3">
      <w:pPr>
        <w:numPr>
          <w:ilvl w:val="0"/>
          <w:numId w:val="4"/>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For health facilities:</w:t>
      </w:r>
      <w:r w:rsidRPr="001833D6">
        <w:rPr>
          <w:rFonts w:ascii="Times New Roman" w:eastAsia="Times New Roman" w:hAnsi="Times New Roman" w:cs="Times New Roman"/>
          <w:color w:val="0F1115"/>
          <w:kern w:val="0"/>
          <w14:ligatures w14:val="none"/>
        </w:rPr>
        <w:t> Establish formal collaboration frameworks with neighborhood health committees. Train staff in youth- and community-friendly communication.</w:t>
      </w:r>
    </w:p>
    <w:p w14:paraId="748774C5" w14:textId="77777777" w:rsidR="006049E3" w:rsidRPr="001833D6" w:rsidRDefault="006049E3" w:rsidP="006049E3">
      <w:pPr>
        <w:numPr>
          <w:ilvl w:val="0"/>
          <w:numId w:val="4"/>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For communities:</w:t>
      </w:r>
      <w:r w:rsidRPr="001833D6">
        <w:rPr>
          <w:rFonts w:ascii="Times New Roman" w:eastAsia="Times New Roman" w:hAnsi="Times New Roman" w:cs="Times New Roman"/>
          <w:color w:val="0F1115"/>
          <w:kern w:val="0"/>
          <w14:ligatures w14:val="none"/>
        </w:rPr>
        <w:t> Strengthen existing sanitation committees. Integrate malaria sensitization into regular community meetings.</w:t>
      </w:r>
    </w:p>
    <w:p w14:paraId="0B97B204" w14:textId="77777777" w:rsidR="006049E3" w:rsidRPr="001833D6" w:rsidRDefault="006049E3" w:rsidP="006049E3">
      <w:pPr>
        <w:numPr>
          <w:ilvl w:val="0"/>
          <w:numId w:val="4"/>
        </w:numPr>
        <w:spacing w:after="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b/>
          <w:bCs/>
          <w:color w:val="0F1115"/>
          <w:kern w:val="0"/>
          <w14:ligatures w14:val="none"/>
        </w:rPr>
        <w:t>For future research:</w:t>
      </w:r>
      <w:r w:rsidRPr="001833D6">
        <w:rPr>
          <w:rFonts w:ascii="Times New Roman" w:eastAsia="Times New Roman" w:hAnsi="Times New Roman" w:cs="Times New Roman"/>
          <w:color w:val="0F1115"/>
          <w:kern w:val="0"/>
          <w14:ligatures w14:val="none"/>
        </w:rPr>
        <w:t> Conduct larger-scale, longitudinal studies to measure the causal impact of community involvement on malaria incidence using clinical and parasitological endpoints.</w:t>
      </w:r>
    </w:p>
    <w:p w14:paraId="4D7EA965"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Conclusion</w:t>
      </w:r>
    </w:p>
    <w:p w14:paraId="0F3554A5"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 xml:space="preserve">Community involvement in malaria control activities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has a positive and measurable impact on knowledge, preventive behaviors (ITN use, sanitation), and perceived reduction in malaria cases. However, barriers related to resource limitations, information gaps, and insufficient motivation persist. Strengthening community-based sensitization, improving logistical support, enhancing collaboration with health structures, and empowering community health workers are essential strategies to achieve sustainable malaria control in </w:t>
      </w:r>
      <w:proofErr w:type="spellStart"/>
      <w:r w:rsidRPr="001833D6">
        <w:rPr>
          <w:rFonts w:ascii="Times New Roman" w:eastAsia="Times New Roman" w:hAnsi="Times New Roman" w:cs="Times New Roman"/>
          <w:color w:val="0F1115"/>
          <w:kern w:val="0"/>
          <w14:ligatures w14:val="none"/>
        </w:rPr>
        <w:t>Mbandaka</w:t>
      </w:r>
      <w:proofErr w:type="spellEnd"/>
      <w:r w:rsidRPr="001833D6">
        <w:rPr>
          <w:rFonts w:ascii="Times New Roman" w:eastAsia="Times New Roman" w:hAnsi="Times New Roman" w:cs="Times New Roman"/>
          <w:color w:val="0F1115"/>
          <w:kern w:val="0"/>
          <w14:ligatures w14:val="none"/>
        </w:rPr>
        <w:t xml:space="preserve"> and similar high-transmission settings in the DRC.</w:t>
      </w:r>
    </w:p>
    <w:p w14:paraId="04E86377" w14:textId="77777777" w:rsidR="006049E3" w:rsidRPr="001833D6" w:rsidRDefault="006049E3" w:rsidP="006049E3">
      <w:pPr>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833D6">
        <w:rPr>
          <w:rFonts w:ascii="Times New Roman" w:eastAsia="Times New Roman" w:hAnsi="Times New Roman" w:cs="Times New Roman"/>
          <w:b/>
          <w:bCs/>
          <w:color w:val="0F1115"/>
          <w:kern w:val="0"/>
          <w:sz w:val="33"/>
          <w:szCs w:val="33"/>
          <w14:ligatures w14:val="none"/>
        </w:rPr>
        <w:t>References</w:t>
      </w:r>
    </w:p>
    <w:p w14:paraId="623C8061"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Arnstein, S. R. (1969). A ladder of citizen participation. </w:t>
      </w:r>
      <w:r w:rsidRPr="001833D6">
        <w:rPr>
          <w:rFonts w:ascii="Times New Roman" w:eastAsia="Times New Roman" w:hAnsi="Times New Roman" w:cs="Times New Roman"/>
          <w:i/>
          <w:iCs/>
          <w:color w:val="0F1115"/>
          <w:kern w:val="0"/>
          <w14:ligatures w14:val="none"/>
        </w:rPr>
        <w:t>Journal of the American Institute of Planners, 35</w:t>
      </w:r>
      <w:r w:rsidRPr="001833D6">
        <w:rPr>
          <w:rFonts w:ascii="Times New Roman" w:eastAsia="Times New Roman" w:hAnsi="Times New Roman" w:cs="Times New Roman"/>
          <w:color w:val="0F1115"/>
          <w:kern w:val="0"/>
          <w14:ligatures w14:val="none"/>
        </w:rPr>
        <w:t>(4), 216–224.</w:t>
      </w:r>
    </w:p>
    <w:p w14:paraId="4615F343"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Bronfenbrenner, U. (1979). </w:t>
      </w:r>
      <w:r w:rsidRPr="001833D6">
        <w:rPr>
          <w:rFonts w:ascii="Times New Roman" w:eastAsia="Times New Roman" w:hAnsi="Times New Roman" w:cs="Times New Roman"/>
          <w:i/>
          <w:iCs/>
          <w:color w:val="0F1115"/>
          <w:kern w:val="0"/>
          <w14:ligatures w14:val="none"/>
        </w:rPr>
        <w:t>The ecology of human development: Experiments by nature and design</w:t>
      </w:r>
      <w:r w:rsidRPr="001833D6">
        <w:rPr>
          <w:rFonts w:ascii="Times New Roman" w:eastAsia="Times New Roman" w:hAnsi="Times New Roman" w:cs="Times New Roman"/>
          <w:color w:val="0F1115"/>
          <w:kern w:val="0"/>
          <w14:ligatures w14:val="none"/>
        </w:rPr>
        <w:t>. Harvard University Press.</w:t>
      </w:r>
    </w:p>
    <w:p w14:paraId="53222C01"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lastRenderedPageBreak/>
        <w:t xml:space="preserve">Ministère de la Santé de la République Démocratique du Congo. (2016). *Plan </w:t>
      </w:r>
      <w:proofErr w:type="spellStart"/>
      <w:r w:rsidRPr="001833D6">
        <w:rPr>
          <w:rFonts w:ascii="Times New Roman" w:eastAsia="Times New Roman" w:hAnsi="Times New Roman" w:cs="Times New Roman"/>
          <w:color w:val="0F1115"/>
          <w:kern w:val="0"/>
          <w14:ligatures w14:val="none"/>
        </w:rPr>
        <w:t>stratégique</w:t>
      </w:r>
      <w:proofErr w:type="spellEnd"/>
      <w:r w:rsidRPr="001833D6">
        <w:rPr>
          <w:rFonts w:ascii="Times New Roman" w:eastAsia="Times New Roman" w:hAnsi="Times New Roman" w:cs="Times New Roman"/>
          <w:color w:val="0F1115"/>
          <w:kern w:val="0"/>
          <w14:ligatures w14:val="none"/>
        </w:rPr>
        <w:t xml:space="preserve"> national de </w:t>
      </w:r>
      <w:proofErr w:type="spellStart"/>
      <w:r w:rsidRPr="001833D6">
        <w:rPr>
          <w:rFonts w:ascii="Times New Roman" w:eastAsia="Times New Roman" w:hAnsi="Times New Roman" w:cs="Times New Roman"/>
          <w:color w:val="0F1115"/>
          <w:kern w:val="0"/>
          <w14:ligatures w14:val="none"/>
        </w:rPr>
        <w:t>lutte</w:t>
      </w:r>
      <w:proofErr w:type="spellEnd"/>
      <w:r w:rsidRPr="001833D6">
        <w:rPr>
          <w:rFonts w:ascii="Times New Roman" w:eastAsia="Times New Roman" w:hAnsi="Times New Roman" w:cs="Times New Roman"/>
          <w:color w:val="0F1115"/>
          <w:kern w:val="0"/>
          <w14:ligatures w14:val="none"/>
        </w:rPr>
        <w:t xml:space="preserve"> </w:t>
      </w:r>
      <w:proofErr w:type="spellStart"/>
      <w:r w:rsidRPr="001833D6">
        <w:rPr>
          <w:rFonts w:ascii="Times New Roman" w:eastAsia="Times New Roman" w:hAnsi="Times New Roman" w:cs="Times New Roman"/>
          <w:color w:val="0F1115"/>
          <w:kern w:val="0"/>
          <w14:ligatures w14:val="none"/>
        </w:rPr>
        <w:t>contre</w:t>
      </w:r>
      <w:proofErr w:type="spellEnd"/>
      <w:r w:rsidRPr="001833D6">
        <w:rPr>
          <w:rFonts w:ascii="Times New Roman" w:eastAsia="Times New Roman" w:hAnsi="Times New Roman" w:cs="Times New Roman"/>
          <w:color w:val="0F1115"/>
          <w:kern w:val="0"/>
          <w14:ligatures w14:val="none"/>
        </w:rPr>
        <w:t xml:space="preserve"> le </w:t>
      </w:r>
      <w:proofErr w:type="spellStart"/>
      <w:r w:rsidRPr="001833D6">
        <w:rPr>
          <w:rFonts w:ascii="Times New Roman" w:eastAsia="Times New Roman" w:hAnsi="Times New Roman" w:cs="Times New Roman"/>
          <w:color w:val="0F1115"/>
          <w:kern w:val="0"/>
          <w14:ligatures w14:val="none"/>
        </w:rPr>
        <w:t>paludisme</w:t>
      </w:r>
      <w:proofErr w:type="spellEnd"/>
      <w:r w:rsidRPr="001833D6">
        <w:rPr>
          <w:rFonts w:ascii="Times New Roman" w:eastAsia="Times New Roman" w:hAnsi="Times New Roman" w:cs="Times New Roman"/>
          <w:color w:val="0F1115"/>
          <w:kern w:val="0"/>
          <w14:ligatures w14:val="none"/>
        </w:rPr>
        <w:t xml:space="preserve"> 2016-2020*. </w:t>
      </w:r>
      <w:proofErr w:type="spellStart"/>
      <w:r w:rsidRPr="001833D6">
        <w:rPr>
          <w:rFonts w:ascii="Times New Roman" w:eastAsia="Times New Roman" w:hAnsi="Times New Roman" w:cs="Times New Roman"/>
          <w:color w:val="0F1115"/>
          <w:kern w:val="0"/>
          <w14:ligatures w14:val="none"/>
        </w:rPr>
        <w:t>Programme</w:t>
      </w:r>
      <w:proofErr w:type="spellEnd"/>
      <w:r w:rsidRPr="001833D6">
        <w:rPr>
          <w:rFonts w:ascii="Times New Roman" w:eastAsia="Times New Roman" w:hAnsi="Times New Roman" w:cs="Times New Roman"/>
          <w:color w:val="0F1115"/>
          <w:kern w:val="0"/>
          <w14:ligatures w14:val="none"/>
        </w:rPr>
        <w:t xml:space="preserve"> National de Lutte </w:t>
      </w:r>
      <w:proofErr w:type="spellStart"/>
      <w:r w:rsidRPr="001833D6">
        <w:rPr>
          <w:rFonts w:ascii="Times New Roman" w:eastAsia="Times New Roman" w:hAnsi="Times New Roman" w:cs="Times New Roman"/>
          <w:color w:val="0F1115"/>
          <w:kern w:val="0"/>
          <w14:ligatures w14:val="none"/>
        </w:rPr>
        <w:t>contre</w:t>
      </w:r>
      <w:proofErr w:type="spellEnd"/>
      <w:r w:rsidRPr="001833D6">
        <w:rPr>
          <w:rFonts w:ascii="Times New Roman" w:eastAsia="Times New Roman" w:hAnsi="Times New Roman" w:cs="Times New Roman"/>
          <w:color w:val="0F1115"/>
          <w:kern w:val="0"/>
          <w14:ligatures w14:val="none"/>
        </w:rPr>
        <w:t xml:space="preserve"> le </w:t>
      </w:r>
      <w:proofErr w:type="spellStart"/>
      <w:r w:rsidRPr="001833D6">
        <w:rPr>
          <w:rFonts w:ascii="Times New Roman" w:eastAsia="Times New Roman" w:hAnsi="Times New Roman" w:cs="Times New Roman"/>
          <w:color w:val="0F1115"/>
          <w:kern w:val="0"/>
          <w14:ligatures w14:val="none"/>
        </w:rPr>
        <w:t>Paludisme</w:t>
      </w:r>
      <w:proofErr w:type="spellEnd"/>
      <w:r w:rsidRPr="001833D6">
        <w:rPr>
          <w:rFonts w:ascii="Times New Roman" w:eastAsia="Times New Roman" w:hAnsi="Times New Roman" w:cs="Times New Roman"/>
          <w:color w:val="0F1115"/>
          <w:kern w:val="0"/>
          <w14:ligatures w14:val="none"/>
        </w:rPr>
        <w:t>.</w:t>
      </w:r>
    </w:p>
    <w:p w14:paraId="60FEF3F5"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Roll Back Malaria Partnership. (2018). </w:t>
      </w:r>
      <w:r w:rsidRPr="001833D6">
        <w:rPr>
          <w:rFonts w:ascii="Times New Roman" w:eastAsia="Times New Roman" w:hAnsi="Times New Roman" w:cs="Times New Roman"/>
          <w:i/>
          <w:iCs/>
          <w:color w:val="0F1115"/>
          <w:kern w:val="0"/>
          <w14:ligatures w14:val="none"/>
        </w:rPr>
        <w:t>Community engagement for malaria control and elimination: A guide for implementers</w:t>
      </w:r>
      <w:r w:rsidRPr="001833D6">
        <w:rPr>
          <w:rFonts w:ascii="Times New Roman" w:eastAsia="Times New Roman" w:hAnsi="Times New Roman" w:cs="Times New Roman"/>
          <w:color w:val="0F1115"/>
          <w:kern w:val="0"/>
          <w14:ligatures w14:val="none"/>
        </w:rPr>
        <w:t>. RBM Partnership.</w:t>
      </w:r>
    </w:p>
    <w:p w14:paraId="2FE1F6CA"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Tiono, A. B., Ouédraogo, A., &amp; Ouattara, D. (2018). Impact of community health worker involvement in malaria control in sub-Saharan Africa: A systematic review. </w:t>
      </w:r>
      <w:r w:rsidRPr="001833D6">
        <w:rPr>
          <w:rFonts w:ascii="Times New Roman" w:eastAsia="Times New Roman" w:hAnsi="Times New Roman" w:cs="Times New Roman"/>
          <w:i/>
          <w:iCs/>
          <w:color w:val="0F1115"/>
          <w:kern w:val="0"/>
          <w14:ligatures w14:val="none"/>
        </w:rPr>
        <w:t>Malaria Journal, 17</w:t>
      </w:r>
      <w:r w:rsidRPr="001833D6">
        <w:rPr>
          <w:rFonts w:ascii="Times New Roman" w:eastAsia="Times New Roman" w:hAnsi="Times New Roman" w:cs="Times New Roman"/>
          <w:color w:val="0F1115"/>
          <w:kern w:val="0"/>
          <w14:ligatures w14:val="none"/>
        </w:rPr>
        <w:t>, Article 201. </w:t>
      </w:r>
      <w:hyperlink r:id="rId7" w:tgtFrame="_blank" w:history="1">
        <w:r w:rsidRPr="001833D6">
          <w:rPr>
            <w:rFonts w:ascii="Times New Roman" w:eastAsia="Times New Roman" w:hAnsi="Times New Roman" w:cs="Times New Roman"/>
            <w:color w:val="3964FE"/>
            <w:kern w:val="0"/>
            <w:bdr w:val="single" w:sz="12" w:space="0" w:color="auto" w:frame="1"/>
            <w14:ligatures w14:val="none"/>
          </w:rPr>
          <w:t>https://doi.org/10.1186/s12936-018-2347-2</w:t>
        </w:r>
      </w:hyperlink>
    </w:p>
    <w:p w14:paraId="0AC575BC"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World Health Organization. (2023). </w:t>
      </w:r>
      <w:r w:rsidRPr="001833D6">
        <w:rPr>
          <w:rFonts w:ascii="Times New Roman" w:eastAsia="Times New Roman" w:hAnsi="Times New Roman" w:cs="Times New Roman"/>
          <w:i/>
          <w:iCs/>
          <w:color w:val="0F1115"/>
          <w:kern w:val="0"/>
          <w14:ligatures w14:val="none"/>
        </w:rPr>
        <w:t>World malaria report 2023</w:t>
      </w:r>
      <w:r w:rsidRPr="001833D6">
        <w:rPr>
          <w:rFonts w:ascii="Times New Roman" w:eastAsia="Times New Roman" w:hAnsi="Times New Roman" w:cs="Times New Roman"/>
          <w:color w:val="0F1115"/>
          <w:kern w:val="0"/>
          <w14:ligatures w14:val="none"/>
        </w:rPr>
        <w:t>. </w:t>
      </w:r>
      <w:hyperlink r:id="rId8" w:tgtFrame="_blank" w:history="1">
        <w:r w:rsidRPr="001833D6">
          <w:rPr>
            <w:rFonts w:ascii="Times New Roman" w:eastAsia="Times New Roman" w:hAnsi="Times New Roman" w:cs="Times New Roman"/>
            <w:color w:val="3964FE"/>
            <w:kern w:val="0"/>
            <w:bdr w:val="single" w:sz="12" w:space="0" w:color="auto" w:frame="1"/>
            <w14:ligatures w14:val="none"/>
          </w:rPr>
          <w:t>https://www.who.int/publications/i/item/9789240064898</w:t>
        </w:r>
      </w:hyperlink>
    </w:p>
    <w:p w14:paraId="5442524F" w14:textId="77777777" w:rsidR="006049E3" w:rsidRPr="001833D6" w:rsidRDefault="006049E3" w:rsidP="006049E3">
      <w:pPr>
        <w:spacing w:before="240" w:after="240" w:line="420" w:lineRule="atLeast"/>
        <w:rPr>
          <w:rFonts w:ascii="Times New Roman" w:eastAsia="Times New Roman" w:hAnsi="Times New Roman" w:cs="Times New Roman"/>
          <w:color w:val="0F1115"/>
          <w:kern w:val="0"/>
          <w14:ligatures w14:val="none"/>
        </w:rPr>
      </w:pPr>
      <w:r w:rsidRPr="001833D6">
        <w:rPr>
          <w:rFonts w:ascii="Times New Roman" w:eastAsia="Times New Roman" w:hAnsi="Times New Roman" w:cs="Times New Roman"/>
          <w:color w:val="0F1115"/>
          <w:kern w:val="0"/>
          <w14:ligatures w14:val="none"/>
        </w:rPr>
        <w:t>World Health Organization Regional Office for Africa. (2015). </w:t>
      </w:r>
      <w:r w:rsidRPr="001833D6">
        <w:rPr>
          <w:rFonts w:ascii="Times New Roman" w:eastAsia="Times New Roman" w:hAnsi="Times New Roman" w:cs="Times New Roman"/>
          <w:i/>
          <w:iCs/>
          <w:color w:val="0F1115"/>
          <w:kern w:val="0"/>
          <w14:ligatures w14:val="none"/>
        </w:rPr>
        <w:t xml:space="preserve">Guide pratique </w:t>
      </w:r>
      <w:proofErr w:type="gramStart"/>
      <w:r w:rsidRPr="001833D6">
        <w:rPr>
          <w:rFonts w:ascii="Times New Roman" w:eastAsia="Times New Roman" w:hAnsi="Times New Roman" w:cs="Times New Roman"/>
          <w:i/>
          <w:iCs/>
          <w:color w:val="0F1115"/>
          <w:kern w:val="0"/>
          <w14:ligatures w14:val="none"/>
        </w:rPr>
        <w:t>pour</w:t>
      </w:r>
      <w:proofErr w:type="gramEnd"/>
      <w:r w:rsidRPr="001833D6">
        <w:rPr>
          <w:rFonts w:ascii="Times New Roman" w:eastAsia="Times New Roman" w:hAnsi="Times New Roman" w:cs="Times New Roman"/>
          <w:i/>
          <w:iCs/>
          <w:color w:val="0F1115"/>
          <w:kern w:val="0"/>
          <w14:ligatures w14:val="none"/>
        </w:rPr>
        <w:t xml:space="preserve"> la </w:t>
      </w:r>
      <w:proofErr w:type="spellStart"/>
      <w:r w:rsidRPr="001833D6">
        <w:rPr>
          <w:rFonts w:ascii="Times New Roman" w:eastAsia="Times New Roman" w:hAnsi="Times New Roman" w:cs="Times New Roman"/>
          <w:i/>
          <w:iCs/>
          <w:color w:val="0F1115"/>
          <w:kern w:val="0"/>
          <w14:ligatures w14:val="none"/>
        </w:rPr>
        <w:t>lutte</w:t>
      </w:r>
      <w:proofErr w:type="spellEnd"/>
      <w:r w:rsidRPr="001833D6">
        <w:rPr>
          <w:rFonts w:ascii="Times New Roman" w:eastAsia="Times New Roman" w:hAnsi="Times New Roman" w:cs="Times New Roman"/>
          <w:i/>
          <w:iCs/>
          <w:color w:val="0F1115"/>
          <w:kern w:val="0"/>
          <w14:ligatures w14:val="none"/>
        </w:rPr>
        <w:t xml:space="preserve"> </w:t>
      </w:r>
      <w:proofErr w:type="spellStart"/>
      <w:r w:rsidRPr="001833D6">
        <w:rPr>
          <w:rFonts w:ascii="Times New Roman" w:eastAsia="Times New Roman" w:hAnsi="Times New Roman" w:cs="Times New Roman"/>
          <w:i/>
          <w:iCs/>
          <w:color w:val="0F1115"/>
          <w:kern w:val="0"/>
          <w14:ligatures w14:val="none"/>
        </w:rPr>
        <w:t>contre</w:t>
      </w:r>
      <w:proofErr w:type="spellEnd"/>
      <w:r w:rsidRPr="001833D6">
        <w:rPr>
          <w:rFonts w:ascii="Times New Roman" w:eastAsia="Times New Roman" w:hAnsi="Times New Roman" w:cs="Times New Roman"/>
          <w:i/>
          <w:iCs/>
          <w:color w:val="0F1115"/>
          <w:kern w:val="0"/>
          <w14:ligatures w14:val="none"/>
        </w:rPr>
        <w:t xml:space="preserve"> le </w:t>
      </w:r>
      <w:proofErr w:type="spellStart"/>
      <w:r w:rsidRPr="001833D6">
        <w:rPr>
          <w:rFonts w:ascii="Times New Roman" w:eastAsia="Times New Roman" w:hAnsi="Times New Roman" w:cs="Times New Roman"/>
          <w:i/>
          <w:iCs/>
          <w:color w:val="0F1115"/>
          <w:kern w:val="0"/>
          <w14:ligatures w14:val="none"/>
        </w:rPr>
        <w:t>paludisme</w:t>
      </w:r>
      <w:proofErr w:type="spellEnd"/>
      <w:r w:rsidRPr="001833D6">
        <w:rPr>
          <w:rFonts w:ascii="Times New Roman" w:eastAsia="Times New Roman" w:hAnsi="Times New Roman" w:cs="Times New Roman"/>
          <w:i/>
          <w:iCs/>
          <w:color w:val="0F1115"/>
          <w:kern w:val="0"/>
          <w14:ligatures w14:val="none"/>
        </w:rPr>
        <w:t xml:space="preserve"> </w:t>
      </w:r>
      <w:proofErr w:type="spellStart"/>
      <w:r w:rsidRPr="001833D6">
        <w:rPr>
          <w:rFonts w:ascii="Times New Roman" w:eastAsia="Times New Roman" w:hAnsi="Times New Roman" w:cs="Times New Roman"/>
          <w:i/>
          <w:iCs/>
          <w:color w:val="0F1115"/>
          <w:kern w:val="0"/>
          <w14:ligatures w14:val="none"/>
        </w:rPr>
        <w:t>en</w:t>
      </w:r>
      <w:proofErr w:type="spellEnd"/>
      <w:r w:rsidRPr="001833D6">
        <w:rPr>
          <w:rFonts w:ascii="Times New Roman" w:eastAsia="Times New Roman" w:hAnsi="Times New Roman" w:cs="Times New Roman"/>
          <w:i/>
          <w:iCs/>
          <w:color w:val="0F1115"/>
          <w:kern w:val="0"/>
          <w14:ligatures w14:val="none"/>
        </w:rPr>
        <w:t xml:space="preserve"> Afrique</w:t>
      </w:r>
      <w:r w:rsidRPr="001833D6">
        <w:rPr>
          <w:rFonts w:ascii="Times New Roman" w:eastAsia="Times New Roman" w:hAnsi="Times New Roman" w:cs="Times New Roman"/>
          <w:color w:val="0F1115"/>
          <w:kern w:val="0"/>
          <w14:ligatures w14:val="none"/>
        </w:rPr>
        <w:t>.</w:t>
      </w:r>
    </w:p>
    <w:p w14:paraId="65BD5855" w14:textId="77777777" w:rsidR="006049E3" w:rsidRPr="001833D6" w:rsidRDefault="006049E3" w:rsidP="006049E3">
      <w:pPr>
        <w:spacing w:after="0" w:line="240" w:lineRule="auto"/>
        <w:rPr>
          <w:rFonts w:ascii="Times New Roman" w:eastAsia="Times New Roman" w:hAnsi="Times New Roman" w:cs="Times New Roman"/>
          <w:kern w:val="0"/>
          <w14:ligatures w14:val="none"/>
        </w:rPr>
      </w:pPr>
    </w:p>
    <w:p w14:paraId="6E3D48EC" w14:textId="77777777" w:rsidR="00B41904" w:rsidRPr="001833D6" w:rsidRDefault="00B41904">
      <w:pPr>
        <w:rPr>
          <w:rFonts w:ascii="Times New Roman" w:hAnsi="Times New Roman" w:cs="Times New Roman"/>
        </w:rPr>
      </w:pPr>
    </w:p>
    <w:sectPr w:rsidR="00B41904" w:rsidRPr="001833D6">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BAC8D" w14:textId="77777777" w:rsidR="007E443A" w:rsidRDefault="007E443A" w:rsidP="001833D6">
      <w:pPr>
        <w:spacing w:after="0" w:line="240" w:lineRule="auto"/>
      </w:pPr>
      <w:r>
        <w:separator/>
      </w:r>
    </w:p>
  </w:endnote>
  <w:endnote w:type="continuationSeparator" w:id="0">
    <w:p w14:paraId="7C643977" w14:textId="77777777" w:rsidR="007E443A" w:rsidRDefault="007E443A" w:rsidP="00183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6812515"/>
      <w:docPartObj>
        <w:docPartGallery w:val="Page Numbers (Bottom of Page)"/>
        <w:docPartUnique/>
      </w:docPartObj>
    </w:sdtPr>
    <w:sdtContent>
      <w:p w14:paraId="6ED43702" w14:textId="1E2BF963" w:rsidR="001833D6" w:rsidRDefault="001833D6"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07A1B9" w14:textId="77777777" w:rsidR="001833D6" w:rsidRDefault="001833D6" w:rsidP="001833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3354736"/>
      <w:docPartObj>
        <w:docPartGallery w:val="Page Numbers (Bottom of Page)"/>
        <w:docPartUnique/>
      </w:docPartObj>
    </w:sdtPr>
    <w:sdtContent>
      <w:p w14:paraId="0F9B7578" w14:textId="422B4AE8" w:rsidR="001833D6" w:rsidRDefault="001833D6" w:rsidP="00B14A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FBC404" w14:textId="77777777" w:rsidR="001833D6" w:rsidRDefault="001833D6" w:rsidP="001833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4A01" w14:textId="77777777" w:rsidR="007E443A" w:rsidRDefault="007E443A" w:rsidP="001833D6">
      <w:pPr>
        <w:spacing w:after="0" w:line="240" w:lineRule="auto"/>
      </w:pPr>
      <w:r>
        <w:separator/>
      </w:r>
    </w:p>
  </w:footnote>
  <w:footnote w:type="continuationSeparator" w:id="0">
    <w:p w14:paraId="504A446A" w14:textId="77777777" w:rsidR="007E443A" w:rsidRDefault="007E443A" w:rsidP="00183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305B8"/>
    <w:multiLevelType w:val="multilevel"/>
    <w:tmpl w:val="44E2F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E86015"/>
    <w:multiLevelType w:val="multilevel"/>
    <w:tmpl w:val="923ED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9C7B3A"/>
    <w:multiLevelType w:val="multilevel"/>
    <w:tmpl w:val="45A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B0624C"/>
    <w:multiLevelType w:val="multilevel"/>
    <w:tmpl w:val="8910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183720">
    <w:abstractNumId w:val="1"/>
  </w:num>
  <w:num w:numId="2" w16cid:durableId="621808879">
    <w:abstractNumId w:val="2"/>
  </w:num>
  <w:num w:numId="3" w16cid:durableId="2020816568">
    <w:abstractNumId w:val="3"/>
  </w:num>
  <w:num w:numId="4" w16cid:durableId="150424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E3"/>
    <w:rsid w:val="001833D6"/>
    <w:rsid w:val="001A589E"/>
    <w:rsid w:val="00253457"/>
    <w:rsid w:val="002C4B73"/>
    <w:rsid w:val="003F70DD"/>
    <w:rsid w:val="006049E3"/>
    <w:rsid w:val="007E443A"/>
    <w:rsid w:val="008F6EA0"/>
    <w:rsid w:val="00AC0C13"/>
    <w:rsid w:val="00B4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B1F88"/>
  <w15:chartTrackingRefBased/>
  <w15:docId w15:val="{D8994A51-DBD5-4247-92B5-21F202D8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4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049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9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9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9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9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9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9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9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49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049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9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9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9E3"/>
    <w:rPr>
      <w:rFonts w:eastAsiaTheme="majorEastAsia" w:cstheme="majorBidi"/>
      <w:color w:val="272727" w:themeColor="text1" w:themeTint="D8"/>
    </w:rPr>
  </w:style>
  <w:style w:type="paragraph" w:styleId="Title">
    <w:name w:val="Title"/>
    <w:basedOn w:val="Normal"/>
    <w:next w:val="Normal"/>
    <w:link w:val="TitleChar"/>
    <w:uiPriority w:val="10"/>
    <w:qFormat/>
    <w:rsid w:val="00604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9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9E3"/>
    <w:pPr>
      <w:spacing w:before="160"/>
      <w:jc w:val="center"/>
    </w:pPr>
    <w:rPr>
      <w:i/>
      <w:iCs/>
      <w:color w:val="404040" w:themeColor="text1" w:themeTint="BF"/>
    </w:rPr>
  </w:style>
  <w:style w:type="character" w:customStyle="1" w:styleId="QuoteChar">
    <w:name w:val="Quote Char"/>
    <w:basedOn w:val="DefaultParagraphFont"/>
    <w:link w:val="Quote"/>
    <w:uiPriority w:val="29"/>
    <w:rsid w:val="006049E3"/>
    <w:rPr>
      <w:i/>
      <w:iCs/>
      <w:color w:val="404040" w:themeColor="text1" w:themeTint="BF"/>
    </w:rPr>
  </w:style>
  <w:style w:type="paragraph" w:styleId="ListParagraph">
    <w:name w:val="List Paragraph"/>
    <w:basedOn w:val="Normal"/>
    <w:uiPriority w:val="34"/>
    <w:qFormat/>
    <w:rsid w:val="006049E3"/>
    <w:pPr>
      <w:ind w:left="720"/>
      <w:contextualSpacing/>
    </w:pPr>
  </w:style>
  <w:style w:type="character" w:styleId="IntenseEmphasis">
    <w:name w:val="Intense Emphasis"/>
    <w:basedOn w:val="DefaultParagraphFont"/>
    <w:uiPriority w:val="21"/>
    <w:qFormat/>
    <w:rsid w:val="006049E3"/>
    <w:rPr>
      <w:i/>
      <w:iCs/>
      <w:color w:val="0F4761" w:themeColor="accent1" w:themeShade="BF"/>
    </w:rPr>
  </w:style>
  <w:style w:type="paragraph" w:styleId="IntenseQuote">
    <w:name w:val="Intense Quote"/>
    <w:basedOn w:val="Normal"/>
    <w:next w:val="Normal"/>
    <w:link w:val="IntenseQuoteChar"/>
    <w:uiPriority w:val="30"/>
    <w:qFormat/>
    <w:rsid w:val="00604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9E3"/>
    <w:rPr>
      <w:i/>
      <w:iCs/>
      <w:color w:val="0F4761" w:themeColor="accent1" w:themeShade="BF"/>
    </w:rPr>
  </w:style>
  <w:style w:type="character" w:styleId="IntenseReference">
    <w:name w:val="Intense Reference"/>
    <w:basedOn w:val="DefaultParagraphFont"/>
    <w:uiPriority w:val="32"/>
    <w:qFormat/>
    <w:rsid w:val="006049E3"/>
    <w:rPr>
      <w:b/>
      <w:bCs/>
      <w:smallCaps/>
      <w:color w:val="0F4761" w:themeColor="accent1" w:themeShade="BF"/>
      <w:spacing w:val="5"/>
    </w:rPr>
  </w:style>
  <w:style w:type="paragraph" w:customStyle="1" w:styleId="ds-markdown-paragraph">
    <w:name w:val="ds-markdown-paragraph"/>
    <w:basedOn w:val="Normal"/>
    <w:rsid w:val="006049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49E3"/>
    <w:rPr>
      <w:b/>
      <w:bCs/>
    </w:rPr>
  </w:style>
  <w:style w:type="character" w:styleId="Emphasis">
    <w:name w:val="Emphasis"/>
    <w:basedOn w:val="DefaultParagraphFont"/>
    <w:uiPriority w:val="20"/>
    <w:qFormat/>
    <w:rsid w:val="006049E3"/>
    <w:rPr>
      <w:i/>
      <w:iCs/>
    </w:rPr>
  </w:style>
  <w:style w:type="character" w:styleId="Hyperlink">
    <w:name w:val="Hyperlink"/>
    <w:basedOn w:val="DefaultParagraphFont"/>
    <w:uiPriority w:val="99"/>
    <w:semiHidden/>
    <w:unhideWhenUsed/>
    <w:rsid w:val="006049E3"/>
    <w:rPr>
      <w:color w:val="0000FF"/>
      <w:u w:val="single"/>
    </w:rPr>
  </w:style>
  <w:style w:type="paragraph" w:styleId="Footer">
    <w:name w:val="footer"/>
    <w:basedOn w:val="Normal"/>
    <w:link w:val="FooterChar"/>
    <w:uiPriority w:val="99"/>
    <w:unhideWhenUsed/>
    <w:rsid w:val="00183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3D6"/>
  </w:style>
  <w:style w:type="character" w:styleId="PageNumber">
    <w:name w:val="page number"/>
    <w:basedOn w:val="DefaultParagraphFont"/>
    <w:uiPriority w:val="99"/>
    <w:semiHidden/>
    <w:unhideWhenUsed/>
    <w:rsid w:val="00183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publications/i/item/9789240064898" TargetMode="External"/><Relationship Id="rId3" Type="http://schemas.openxmlformats.org/officeDocument/2006/relationships/settings" Target="settings.xml"/><Relationship Id="rId7" Type="http://schemas.openxmlformats.org/officeDocument/2006/relationships/hyperlink" Target="https://doi.org/10.1186/s12936-018-2347-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2570</Words>
  <Characters>14651</Characters>
  <Application>Microsoft Office Word</Application>
  <DocSecurity>0</DocSecurity>
  <Lines>122</Lines>
  <Paragraphs>34</Paragraphs>
  <ScaleCrop>false</ScaleCrop>
  <Company/>
  <LinksUpToDate>false</LinksUpToDate>
  <CharactersWithSpaces>17187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3</cp:revision>
  <dcterms:created xsi:type="dcterms:W3CDTF">2026-05-16T12:22:00Z</dcterms:created>
  <dcterms:modified xsi:type="dcterms:W3CDTF">2026-05-16T12:32:00Z</dcterms:modified>
</cp:coreProperties>
</file>