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426F" w14:textId="61CBAA9B" w:rsidR="00AA4664" w:rsidRPr="00BD73B7" w:rsidRDefault="00AA4664" w:rsidP="00AA4664">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BD73B7">
        <w:rPr>
          <w:rFonts w:ascii="Times New Roman" w:eastAsia="Times New Roman" w:hAnsi="Times New Roman" w:cs="Times New Roman"/>
          <w:b/>
          <w:bCs/>
          <w:color w:val="0F1115"/>
          <w:kern w:val="36"/>
          <w:sz w:val="36"/>
          <w:szCs w:val="36"/>
          <w14:ligatures w14:val="none"/>
        </w:rPr>
        <w:t xml:space="preserve">Prevalence, Attitudes, and Practices Regarding Non-Marital Pregnancy among Adolescents in </w:t>
      </w:r>
      <w:proofErr w:type="spellStart"/>
      <w:r w:rsidRPr="00BD73B7">
        <w:rPr>
          <w:rFonts w:ascii="Times New Roman" w:eastAsia="Times New Roman" w:hAnsi="Times New Roman" w:cs="Times New Roman"/>
          <w:b/>
          <w:bCs/>
          <w:color w:val="0F1115"/>
          <w:kern w:val="36"/>
          <w:sz w:val="36"/>
          <w:szCs w:val="36"/>
          <w14:ligatures w14:val="none"/>
        </w:rPr>
        <w:t>Mbandaka</w:t>
      </w:r>
      <w:proofErr w:type="spellEnd"/>
      <w:r w:rsidRPr="00BD73B7">
        <w:rPr>
          <w:rFonts w:ascii="Times New Roman" w:eastAsia="Times New Roman" w:hAnsi="Times New Roman" w:cs="Times New Roman"/>
          <w:b/>
          <w:bCs/>
          <w:color w:val="0F1115"/>
          <w:kern w:val="36"/>
          <w:sz w:val="36"/>
          <w:szCs w:val="36"/>
          <w14:ligatures w14:val="none"/>
        </w:rPr>
        <w:t xml:space="preserve">, Democratic Republic of </w:t>
      </w:r>
      <w:r w:rsidR="00BD73B7" w:rsidRPr="00BD73B7">
        <w:rPr>
          <w:rFonts w:ascii="Times New Roman" w:eastAsia="Times New Roman" w:hAnsi="Times New Roman" w:cs="Times New Roman"/>
          <w:b/>
          <w:bCs/>
          <w:color w:val="0F1115"/>
          <w:kern w:val="36"/>
          <w:sz w:val="36"/>
          <w:szCs w:val="36"/>
          <w14:ligatures w14:val="none"/>
        </w:rPr>
        <w:t>Congo</w:t>
      </w:r>
      <w:r w:rsidRPr="00BD73B7">
        <w:rPr>
          <w:rFonts w:ascii="Times New Roman" w:eastAsia="Times New Roman" w:hAnsi="Times New Roman" w:cs="Times New Roman"/>
          <w:b/>
          <w:bCs/>
          <w:color w:val="0F1115"/>
          <w:kern w:val="36"/>
          <w:sz w:val="36"/>
          <w:szCs w:val="36"/>
          <w14:ligatures w14:val="none"/>
        </w:rPr>
        <w:t>: A 2024 Cross-Sectional Study</w:t>
      </w:r>
    </w:p>
    <w:p w14:paraId="700EC18F" w14:textId="77777777" w:rsidR="00BD73B7" w:rsidRDefault="00AA4664" w:rsidP="00BD73B7">
      <w:p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Authors:</w:t>
      </w:r>
      <w:r w:rsidRPr="00BD73B7">
        <w:rPr>
          <w:rFonts w:ascii="Times New Roman" w:eastAsia="Times New Roman" w:hAnsi="Times New Roman" w:cs="Times New Roman"/>
          <w:color w:val="0F1115"/>
          <w:kern w:val="0"/>
          <w14:ligatures w14:val="none"/>
        </w:rPr>
        <w:t> EAMBELA</w:t>
      </w:r>
      <w:r w:rsidR="00BD73B7" w:rsidRPr="00BD73B7">
        <w:rPr>
          <w:rFonts w:ascii="Times New Roman" w:eastAsia="Times New Roman" w:hAnsi="Times New Roman" w:cs="Times New Roman"/>
          <w:color w:val="0F1115"/>
          <w:kern w:val="0"/>
          <w14:ligatures w14:val="none"/>
        </w:rPr>
        <w:t xml:space="preserve"> NZALOKA Miriam</w:t>
      </w:r>
      <w:r w:rsidRPr="00BD73B7">
        <w:rPr>
          <w:rFonts w:ascii="Times New Roman" w:eastAsia="Times New Roman" w:hAnsi="Times New Roman" w:cs="Times New Roman"/>
          <w:color w:val="0F1115"/>
          <w:kern w:val="0"/>
          <w14:ligatures w14:val="none"/>
        </w:rPr>
        <w:br/>
      </w:r>
      <w:r w:rsidRPr="00BD73B7">
        <w:rPr>
          <w:rFonts w:ascii="Times New Roman" w:eastAsia="Times New Roman" w:hAnsi="Times New Roman" w:cs="Times New Roman"/>
          <w:b/>
          <w:bCs/>
          <w:color w:val="0F1115"/>
          <w:kern w:val="0"/>
          <w14:ligatures w14:val="none"/>
        </w:rPr>
        <w:t>Affiliation:</w:t>
      </w:r>
      <w:r w:rsidRPr="00BD73B7">
        <w:rPr>
          <w:rFonts w:ascii="Times New Roman" w:eastAsia="Times New Roman" w:hAnsi="Times New Roman" w:cs="Times New Roman"/>
          <w:color w:val="0F1115"/>
          <w:kern w:val="0"/>
          <w14:ligatures w14:val="none"/>
        </w:rPr>
        <w:t> </w:t>
      </w:r>
      <w:proofErr w:type="spellStart"/>
      <w:r w:rsidR="00BD73B7" w:rsidRPr="00BD73B7">
        <w:rPr>
          <w:rFonts w:ascii="Times New Roman" w:eastAsia="Times New Roman" w:hAnsi="Times New Roman" w:cs="Times New Roman"/>
          <w:color w:val="0F1115"/>
          <w:kern w:val="0"/>
          <w14:ligatures w14:val="none"/>
        </w:rPr>
        <w:t>Institut</w:t>
      </w:r>
      <w:proofErr w:type="spellEnd"/>
      <w:r w:rsidR="00BD73B7" w:rsidRPr="00BD73B7">
        <w:rPr>
          <w:rFonts w:ascii="Times New Roman" w:eastAsia="Times New Roman" w:hAnsi="Times New Roman" w:cs="Times New Roman"/>
          <w:color w:val="0F1115"/>
          <w:kern w:val="0"/>
          <w14:ligatures w14:val="none"/>
        </w:rPr>
        <w:t xml:space="preserve"> Supérieur des Techniques </w:t>
      </w:r>
      <w:proofErr w:type="spellStart"/>
      <w:r w:rsidR="00BD73B7" w:rsidRPr="00BD73B7">
        <w:rPr>
          <w:rFonts w:ascii="Times New Roman" w:eastAsia="Times New Roman" w:hAnsi="Times New Roman" w:cs="Times New Roman"/>
          <w:color w:val="0F1115"/>
          <w:kern w:val="0"/>
          <w14:ligatures w14:val="none"/>
        </w:rPr>
        <w:t>Médicales</w:t>
      </w:r>
      <w:proofErr w:type="spellEnd"/>
      <w:r w:rsidR="00BD73B7" w:rsidRPr="00BD73B7">
        <w:rPr>
          <w:rFonts w:ascii="Times New Roman" w:eastAsia="Times New Roman" w:hAnsi="Times New Roman" w:cs="Times New Roman"/>
          <w:color w:val="0F1115"/>
          <w:kern w:val="0"/>
          <w14:ligatures w14:val="none"/>
        </w:rPr>
        <w:t xml:space="preserve"> de </w:t>
      </w:r>
      <w:proofErr w:type="spellStart"/>
      <w:r w:rsidR="00BD73B7" w:rsidRPr="00BD73B7">
        <w:rPr>
          <w:rFonts w:ascii="Times New Roman" w:eastAsia="Times New Roman" w:hAnsi="Times New Roman" w:cs="Times New Roman"/>
          <w:color w:val="0F1115"/>
          <w:kern w:val="0"/>
          <w14:ligatures w14:val="none"/>
        </w:rPr>
        <w:t>Mbandaka</w:t>
      </w:r>
      <w:proofErr w:type="spellEnd"/>
      <w:r w:rsidR="00BD73B7">
        <w:rPr>
          <w:rFonts w:ascii="Times New Roman" w:eastAsia="Times New Roman" w:hAnsi="Times New Roman" w:cs="Times New Roman"/>
          <w:color w:val="0F1115"/>
          <w:kern w:val="0"/>
          <w14:ligatures w14:val="none"/>
        </w:rPr>
        <w:t xml:space="preserve"> </w:t>
      </w:r>
    </w:p>
    <w:p w14:paraId="3B177364" w14:textId="6B106C11" w:rsidR="00AA4664" w:rsidRPr="00BD73B7" w:rsidRDefault="00BD73B7" w:rsidP="00BD73B7">
      <w:p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Email</w:t>
      </w:r>
      <w:r>
        <w:rPr>
          <w:rFonts w:ascii="Times New Roman" w:eastAsia="Times New Roman" w:hAnsi="Times New Roman" w:cs="Times New Roman"/>
          <w:color w:val="0F1115"/>
          <w:kern w:val="0"/>
          <w14:ligatures w14:val="none"/>
        </w:rPr>
        <w:t xml:space="preserve">: </w:t>
      </w:r>
      <w:hyperlink r:id="rId7" w:history="1">
        <w:r w:rsidRPr="00B14A08">
          <w:rPr>
            <w:rStyle w:val="Hyperlink"/>
            <w:rFonts w:ascii="Times New Roman" w:eastAsia="Times New Roman" w:hAnsi="Times New Roman" w:cs="Times New Roman"/>
            <w:kern w:val="0"/>
            <w14:ligatures w14:val="none"/>
          </w:rPr>
          <w:t>maxebg@yahoo.fr</w:t>
        </w:r>
      </w:hyperlink>
      <w:r>
        <w:rPr>
          <w:rFonts w:ascii="Times New Roman" w:eastAsia="Times New Roman" w:hAnsi="Times New Roman" w:cs="Times New Roman"/>
          <w:color w:val="0F1115"/>
          <w:kern w:val="0"/>
          <w14:ligatures w14:val="none"/>
        </w:rPr>
        <w:t xml:space="preserve">  </w:t>
      </w:r>
      <w:r w:rsidR="00AA4664" w:rsidRPr="00BD73B7">
        <w:rPr>
          <w:rFonts w:ascii="Times New Roman" w:eastAsia="Times New Roman" w:hAnsi="Times New Roman" w:cs="Times New Roman"/>
          <w:color w:val="0F1115"/>
          <w:kern w:val="0"/>
          <w14:ligatures w14:val="none"/>
        </w:rPr>
        <w:br/>
      </w:r>
      <w:r w:rsidR="00AA4664" w:rsidRPr="00BD73B7">
        <w:rPr>
          <w:rFonts w:ascii="Times New Roman" w:eastAsia="Times New Roman" w:hAnsi="Times New Roman" w:cs="Times New Roman"/>
          <w:b/>
          <w:bCs/>
          <w:color w:val="0F1115"/>
          <w:kern w:val="0"/>
          <w14:ligatures w14:val="none"/>
        </w:rPr>
        <w:t>Journal:</w:t>
      </w:r>
      <w:r w:rsidR="00AA4664" w:rsidRPr="00BD73B7">
        <w:rPr>
          <w:rFonts w:ascii="Times New Roman" w:eastAsia="Times New Roman" w:hAnsi="Times New Roman" w:cs="Times New Roman"/>
          <w:color w:val="0F1115"/>
          <w:kern w:val="0"/>
          <w14:ligatures w14:val="none"/>
        </w:rPr>
        <w:t> </w:t>
      </w:r>
      <w:r w:rsidRPr="00BD73B7">
        <w:rPr>
          <w:rFonts w:ascii="Times New Roman" w:eastAsia="Times New Roman" w:hAnsi="Times New Roman" w:cs="Times New Roman"/>
          <w:i/>
          <w:iCs/>
          <w:color w:val="0F1115"/>
          <w:kern w:val="0"/>
          <w14:ligatures w14:val="none"/>
        </w:rPr>
        <w:t>Study Design Foundation Journals (SDF), Tacoma, Washington 98404, USA</w:t>
      </w:r>
      <w:r w:rsidR="00AA4664" w:rsidRPr="00BD73B7">
        <w:rPr>
          <w:rFonts w:ascii="Times New Roman" w:eastAsia="Times New Roman" w:hAnsi="Times New Roman" w:cs="Times New Roman"/>
          <w:color w:val="0F1115"/>
          <w:kern w:val="0"/>
          <w14:ligatures w14:val="none"/>
        </w:rPr>
        <w:br/>
      </w:r>
      <w:r w:rsidR="00AA4664" w:rsidRPr="00BD73B7">
        <w:rPr>
          <w:rFonts w:ascii="Times New Roman" w:eastAsia="Times New Roman" w:hAnsi="Times New Roman" w:cs="Times New Roman"/>
          <w:b/>
          <w:bCs/>
          <w:color w:val="0F1115"/>
          <w:kern w:val="0"/>
          <w14:ligatures w14:val="none"/>
        </w:rPr>
        <w:t>Publication Date:</w:t>
      </w:r>
      <w:r w:rsidR="00AA4664" w:rsidRPr="00BD73B7">
        <w:rPr>
          <w:rFonts w:ascii="Times New Roman" w:eastAsia="Times New Roman" w:hAnsi="Times New Roman" w:cs="Times New Roman"/>
          <w:color w:val="0F1115"/>
          <w:kern w:val="0"/>
          <w14:ligatures w14:val="none"/>
        </w:rPr>
        <w:t> </w:t>
      </w:r>
      <w:r w:rsidRPr="00BD73B7">
        <w:rPr>
          <w:rFonts w:ascii="Times New Roman" w:eastAsia="Times New Roman" w:hAnsi="Times New Roman" w:cs="Times New Roman"/>
          <w:color w:val="0F1115"/>
          <w:kern w:val="0"/>
          <w14:ligatures w14:val="none"/>
        </w:rPr>
        <w:t xml:space="preserve">May </w:t>
      </w:r>
      <w:r w:rsidR="00AA4664" w:rsidRPr="00BD73B7">
        <w:rPr>
          <w:rFonts w:ascii="Times New Roman" w:eastAsia="Times New Roman" w:hAnsi="Times New Roman" w:cs="Times New Roman"/>
          <w:color w:val="0F1115"/>
          <w:kern w:val="0"/>
          <w14:ligatures w14:val="none"/>
        </w:rPr>
        <w:t>2026</w:t>
      </w:r>
    </w:p>
    <w:p w14:paraId="3F2D825D"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Abstract</w:t>
      </w:r>
    </w:p>
    <w:p w14:paraId="4FEEED5F"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Background:</w:t>
      </w:r>
      <w:r w:rsidRPr="00BD73B7">
        <w:rPr>
          <w:rFonts w:ascii="Times New Roman" w:eastAsia="Times New Roman" w:hAnsi="Times New Roman" w:cs="Times New Roman"/>
          <w:color w:val="0F1115"/>
          <w:kern w:val="0"/>
          <w14:ligatures w14:val="none"/>
        </w:rPr>
        <w:t xml:space="preserve"> Non-marital pregnancy among adolescents is a critical public health issue in sub-Saharan Africa, yet localized data remain scarce for many urban areas in the Democratic Republic of the Congo (DRC). This study aimed to determine the prevalence, associated factors, attitudes, and practices regarding non-marital pregnancies among adolescents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Équateur Province, in 2024.</w:t>
      </w:r>
    </w:p>
    <w:p w14:paraId="1C154036"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Methods:</w:t>
      </w:r>
      <w:r w:rsidRPr="00BD73B7">
        <w:rPr>
          <w:rFonts w:ascii="Times New Roman" w:eastAsia="Times New Roman" w:hAnsi="Times New Roman" w:cs="Times New Roman"/>
          <w:color w:val="0F1115"/>
          <w:kern w:val="0"/>
          <w14:ligatures w14:val="none"/>
        </w:rPr>
        <w:t xml:space="preserve"> A community-based cross-sectional study was conducted among 271 participants (151 adolescents aged 15–19 years, 60 mothers of adolescents, and 60 health workers) selected via stratified two-stage random sampling across three health zones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Data were collected using structured questionnaires and semi-structured interviews. Quantitative data were analyzed using descriptive statistics, chi-square tests, and logistic regression.</w:t>
      </w:r>
    </w:p>
    <w:p w14:paraId="764D2444"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Results:</w:t>
      </w:r>
      <w:r w:rsidRPr="00BD73B7">
        <w:rPr>
          <w:rFonts w:ascii="Times New Roman" w:eastAsia="Times New Roman" w:hAnsi="Times New Roman" w:cs="Times New Roman"/>
          <w:color w:val="0F1115"/>
          <w:kern w:val="0"/>
          <w14:ligatures w14:val="none"/>
        </w:rPr>
        <w:t xml:space="preserve"> Among adolescents, 41% had experienced a pregnancy, all of which were non-marital. While 82% reported being sexually active, only 23% used any contraceptive method. Knowledge of contraceptive methods was low (18%), despite 73% reporting having received some form of sex education. The majority (62%) were students, yet 46% of those pregnant had dropped out of school. Poverty (48%), lack of sex education, and limited access to reproductive health services were cited by health workers as primary drivers. Parental dialogue on sexuality (64%) was </w:t>
      </w:r>
      <w:r w:rsidRPr="00BD73B7">
        <w:rPr>
          <w:rFonts w:ascii="Times New Roman" w:eastAsia="Times New Roman" w:hAnsi="Times New Roman" w:cs="Times New Roman"/>
          <w:color w:val="0F1115"/>
          <w:kern w:val="0"/>
          <w14:ligatures w14:val="none"/>
        </w:rPr>
        <w:lastRenderedPageBreak/>
        <w:t>associated with better knowledge (OR=2.1, p&lt;0.001). Stigmatization was reported by 22% of adolescents, while 41% were unsure. Most adolescents (60%) desired a dedicated sexual education center.</w:t>
      </w:r>
    </w:p>
    <w:p w14:paraId="08753DF1"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Conclusion:</w:t>
      </w:r>
      <w:r w:rsidRPr="00BD73B7">
        <w:rPr>
          <w:rFonts w:ascii="Times New Roman" w:eastAsia="Times New Roman" w:hAnsi="Times New Roman" w:cs="Times New Roman"/>
          <w:color w:val="0F1115"/>
          <w:kern w:val="0"/>
          <w14:ligatures w14:val="none"/>
        </w:rPr>
        <w:t xml:space="preserve"> Non-marital pregnancy among adolescents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is highly prevalent and driven by early sexual debut, extremely low contraceptive use, inadequate practical sex education, and socioeconomic vulnerability. Multisectoral interventions including comprehensive sexuality education, youth-friendly reproductive health services, and family dialogue are urgently needed.</w:t>
      </w:r>
    </w:p>
    <w:p w14:paraId="14D5F5FC" w14:textId="5F6258DC"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Keywords:</w:t>
      </w:r>
      <w:r w:rsidRPr="00BD73B7">
        <w:rPr>
          <w:rFonts w:ascii="Times New Roman" w:eastAsia="Times New Roman" w:hAnsi="Times New Roman" w:cs="Times New Roman"/>
          <w:color w:val="0F1115"/>
          <w:kern w:val="0"/>
          <w14:ligatures w14:val="none"/>
        </w:rPr>
        <w:t xml:space="preserve"> Adolescent pregnancy; non-marital pregnancy; contraception; sexual health;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Democratic Republic of </w:t>
      </w:r>
      <w:r w:rsidR="000C5059" w:rsidRPr="00BD73B7">
        <w:rPr>
          <w:rFonts w:ascii="Times New Roman" w:eastAsia="Times New Roman" w:hAnsi="Times New Roman" w:cs="Times New Roman"/>
          <w:color w:val="0F1115"/>
          <w:kern w:val="0"/>
          <w14:ligatures w14:val="none"/>
        </w:rPr>
        <w:t>Congo</w:t>
      </w:r>
      <w:r w:rsidRPr="00BD73B7">
        <w:rPr>
          <w:rFonts w:ascii="Times New Roman" w:eastAsia="Times New Roman" w:hAnsi="Times New Roman" w:cs="Times New Roman"/>
          <w:color w:val="0F1115"/>
          <w:kern w:val="0"/>
          <w14:ligatures w14:val="none"/>
        </w:rPr>
        <w:t>.</w:t>
      </w:r>
    </w:p>
    <w:p w14:paraId="16CBB147"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1. Introduction</w:t>
      </w:r>
    </w:p>
    <w:p w14:paraId="1F5CAADD"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Adolescent pregnancy remains a major public health challenge in low- and middle-income countries, particularly in sub-Saharan Africa. The World Health Organization (WHO, 2022) estimates approximately 16 million births occur annually to adolescent girls aged 15–19 years, with the highest rates concentrated in sub-Saharan Africa. In the Democratic Republic of the Congo (DRC), early and non-marital pregnancies expose adolescent girls to significant health risks (eclampsia, obstructed labor, maternal mortality), social consequences (stigmatization, family rejection, school dropout), and psychological distress (depression, loss of self-esteem).</w:t>
      </w:r>
    </w:p>
    <w:p w14:paraId="4113B15C"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the capital of Équateur Province with an estimated population of 300,000, is a rapidly urbanizing city characterized by high poverty rates, limited access to reproductive health services, persistent cultural taboos surrounding adolescent sexuality, and weak health infrastructure. Despite national programs such as the National Adolescent Health Program (PNSA) and the National Reproductive Health Program (PNSR), local epidemiological data to guide context-specific interventions are virtually non-existent. Most existing studies have focused on Kinshasa or Lubumbashi, leaving cities like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underrepresented in the scientific literature.</w:t>
      </w:r>
    </w:p>
    <w:p w14:paraId="2B87DE6E"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lastRenderedPageBreak/>
        <w:t xml:space="preserve">This study therefore sought to answer the following research question: *What is the situation of non-marital pregnancies among adolescents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in 2024, and what are their attitudes and practices regarding this phenomenon?* Specifically, we aimed to: (1) determine the prevalence of non-marital pregnancy among adolescents aged 15–19 years; (2) identify associated socio-economic, cultural, and educational factors; (3) describe attitudes and practices of affected adolescents; and (4) formulate evidence-based recommendations.</w:t>
      </w:r>
    </w:p>
    <w:p w14:paraId="6B783680"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2. Methods</w:t>
      </w:r>
    </w:p>
    <w:p w14:paraId="7DCFB4A6"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2.1. Study Design and Setting</w:t>
      </w:r>
    </w:p>
    <w:p w14:paraId="24523094"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A community-based cross-sectional study was conducted from January to December 2024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city, DRC.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is located on the north bank of the Congo River and serves as the administrative and commercial hub of Équateur Province. The city comprises three health zones: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(460 km²), </w:t>
      </w:r>
      <w:proofErr w:type="spellStart"/>
      <w:r w:rsidRPr="00BD73B7">
        <w:rPr>
          <w:rFonts w:ascii="Times New Roman" w:eastAsia="Times New Roman" w:hAnsi="Times New Roman" w:cs="Times New Roman"/>
          <w:color w:val="0F1115"/>
          <w:kern w:val="0"/>
          <w14:ligatures w14:val="none"/>
        </w:rPr>
        <w:t>Wangata</w:t>
      </w:r>
      <w:proofErr w:type="spellEnd"/>
      <w:r w:rsidRPr="00BD73B7">
        <w:rPr>
          <w:rFonts w:ascii="Times New Roman" w:eastAsia="Times New Roman" w:hAnsi="Times New Roman" w:cs="Times New Roman"/>
          <w:color w:val="0F1115"/>
          <w:kern w:val="0"/>
          <w14:ligatures w14:val="none"/>
        </w:rPr>
        <w:t xml:space="preserve"> (1,318 km²), and </w:t>
      </w:r>
      <w:proofErr w:type="spellStart"/>
      <w:r w:rsidRPr="00BD73B7">
        <w:rPr>
          <w:rFonts w:ascii="Times New Roman" w:eastAsia="Times New Roman" w:hAnsi="Times New Roman" w:cs="Times New Roman"/>
          <w:color w:val="0F1115"/>
          <w:kern w:val="0"/>
          <w14:ligatures w14:val="none"/>
        </w:rPr>
        <w:t>Bolenge</w:t>
      </w:r>
      <w:proofErr w:type="spellEnd"/>
      <w:r w:rsidRPr="00BD73B7">
        <w:rPr>
          <w:rFonts w:ascii="Times New Roman" w:eastAsia="Times New Roman" w:hAnsi="Times New Roman" w:cs="Times New Roman"/>
          <w:color w:val="0F1115"/>
          <w:kern w:val="0"/>
          <w14:ligatures w14:val="none"/>
        </w:rPr>
        <w:t>. The population is predominantly Mongo, Ngombe, and other Bantu groups, with subsistence trade and fishing as main economic activities. The study adhered to STROBE guidelines for cross-sectional research.</w:t>
      </w:r>
    </w:p>
    <w:p w14:paraId="001E6361"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2.2. Target Population and Sampling</w:t>
      </w:r>
    </w:p>
    <w:p w14:paraId="28D729E6"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The target population comprised: (a) adolescent girls aged 15–19 years residing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(b) mothers of adolescents; and (c) health workers employed in the three health zones. Inclusion criteria for adolescents: age 15–19 years, residence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for ≥6 months, and willingness to provide informed consent (parental/guardian consent for minors). Exclusion criteria: severe acute illness preventing participation or refusal to participate.</w:t>
      </w:r>
    </w:p>
    <w:p w14:paraId="616F3618"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A stratified two-stage random sampling method was used:</w:t>
      </w:r>
    </w:p>
    <w:p w14:paraId="027B2145" w14:textId="77777777" w:rsidR="00BD73B7" w:rsidRPr="00BD73B7" w:rsidRDefault="00BD73B7" w:rsidP="00BD73B7">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First stage:</w:t>
      </w:r>
      <w:r w:rsidRPr="00BD73B7">
        <w:rPr>
          <w:rFonts w:ascii="Times New Roman" w:eastAsia="Times New Roman" w:hAnsi="Times New Roman" w:cs="Times New Roman"/>
          <w:color w:val="0F1115"/>
          <w:kern w:val="0"/>
          <w14:ligatures w14:val="none"/>
        </w:rPr>
        <w:t> Four neighborhoods were randomly selected from the three health zones proportionally to population size.</w:t>
      </w:r>
    </w:p>
    <w:p w14:paraId="48B812C8" w14:textId="77777777" w:rsidR="00BD73B7" w:rsidRPr="00BD73B7" w:rsidRDefault="00BD73B7" w:rsidP="00BD73B7">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lastRenderedPageBreak/>
        <w:t>Second stage:</w:t>
      </w:r>
      <w:r w:rsidRPr="00BD73B7">
        <w:rPr>
          <w:rFonts w:ascii="Times New Roman" w:eastAsia="Times New Roman" w:hAnsi="Times New Roman" w:cs="Times New Roman"/>
          <w:color w:val="0F1115"/>
          <w:kern w:val="0"/>
          <w14:ligatures w14:val="none"/>
        </w:rPr>
        <w:t> Households with eligible adolescents were randomly selected using community health worker registers.</w:t>
      </w:r>
    </w:p>
    <w:p w14:paraId="58B55DC5"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Using a conservative prevalence estimate of 41% (from pilot data), a 95% confidence interval, 5% margin of error, and a design effect of 1.5, the minimum sample size was calculated as 151 adolescents. Additionally, 60 mothers and 60 health workers were purposively sampled for complementary perspectives, yielding a total N of 271.</w:t>
      </w:r>
    </w:p>
    <w:p w14:paraId="40DB3A9D"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2.3. Data Collection Instruments and Procedures</w:t>
      </w:r>
    </w:p>
    <w:p w14:paraId="35647007"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Three instruments were developed and pretested:</w:t>
      </w:r>
    </w:p>
    <w:p w14:paraId="692A91F6" w14:textId="77777777" w:rsidR="00BD73B7" w:rsidRPr="00BD73B7" w:rsidRDefault="00BD73B7" w:rsidP="00BD73B7">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Adolescent structured questionnaire:</w:t>
      </w:r>
      <w:r w:rsidRPr="00BD73B7">
        <w:rPr>
          <w:rFonts w:ascii="Times New Roman" w:eastAsia="Times New Roman" w:hAnsi="Times New Roman" w:cs="Times New Roman"/>
          <w:color w:val="0F1115"/>
          <w:kern w:val="0"/>
          <w14:ligatures w14:val="none"/>
        </w:rPr>
        <w:t> 25 items covering socio-demographics (age, education, occupation, marital status), sexual health knowledge, attitudes toward non-marital pregnancy, contraceptive practices, pregnancy history, and service needs.</w:t>
      </w:r>
    </w:p>
    <w:p w14:paraId="212E66E8" w14:textId="77777777" w:rsidR="00BD73B7" w:rsidRPr="00BD73B7" w:rsidRDefault="00BD73B7" w:rsidP="00BD73B7">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Mother interview guide:</w:t>
      </w:r>
      <w:r w:rsidRPr="00BD73B7">
        <w:rPr>
          <w:rFonts w:ascii="Times New Roman" w:eastAsia="Times New Roman" w:hAnsi="Times New Roman" w:cs="Times New Roman"/>
          <w:color w:val="0F1115"/>
          <w:kern w:val="0"/>
          <w14:ligatures w14:val="none"/>
        </w:rPr>
        <w:t> 12 open-ended questions on perceptions of adolescent pregnancy, family support, and prevention strategies.</w:t>
      </w:r>
    </w:p>
    <w:p w14:paraId="0C2E9246" w14:textId="77777777" w:rsidR="00BD73B7" w:rsidRPr="00BD73B7" w:rsidRDefault="00BD73B7" w:rsidP="00BD73B7">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Health worker questionnaire:</w:t>
      </w:r>
      <w:r w:rsidRPr="00BD73B7">
        <w:rPr>
          <w:rFonts w:ascii="Times New Roman" w:eastAsia="Times New Roman" w:hAnsi="Times New Roman" w:cs="Times New Roman"/>
          <w:color w:val="0F1115"/>
          <w:kern w:val="0"/>
          <w14:ligatures w14:val="none"/>
        </w:rPr>
        <w:t> 15 items on observed frequency of adolescent pregnancy, barriers to contraceptive access, and health system readiness.</w:t>
      </w:r>
    </w:p>
    <w:p w14:paraId="71AE3F8C"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Five local research assistants were trained for three days on ethical conduct, confidentiality, and interview techniques. Data collection occurred at participants' homes or community health centers. Each interview lasted 25–35 minutes. Anonymity was ensured by using unique participant codes.</w:t>
      </w:r>
    </w:p>
    <w:p w14:paraId="44C8DFEF"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2.4. Variables and Measurements</w:t>
      </w:r>
    </w:p>
    <w:p w14:paraId="6943BA40"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Primary outcome variables:</w:t>
      </w:r>
    </w:p>
    <w:p w14:paraId="664D0EB3" w14:textId="77777777" w:rsidR="00BD73B7" w:rsidRPr="00BD73B7" w:rsidRDefault="00BD73B7" w:rsidP="00BD73B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Prevalence of non-marital pregnancy (self-reported, "Have you ever been pregnant outside marriage?")</w:t>
      </w:r>
    </w:p>
    <w:p w14:paraId="3539E6FC" w14:textId="77777777" w:rsidR="00BD73B7" w:rsidRPr="00BD73B7" w:rsidRDefault="00BD73B7" w:rsidP="00BD73B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Attitudes (measured on a 3-point Likert scale: acceptable/unacceptable/indifferent)</w:t>
      </w:r>
    </w:p>
    <w:p w14:paraId="095F11FD" w14:textId="77777777" w:rsidR="00BD73B7" w:rsidRPr="00BD73B7" w:rsidRDefault="00BD73B7" w:rsidP="00BD73B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Practices (contraceptive use, school continuation, abortion seeking)</w:t>
      </w:r>
    </w:p>
    <w:p w14:paraId="1F41D27B"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lastRenderedPageBreak/>
        <w:t>Independent variables:</w:t>
      </w:r>
    </w:p>
    <w:p w14:paraId="3B347BAC" w14:textId="77777777" w:rsidR="00BD73B7" w:rsidRPr="00BD73B7" w:rsidRDefault="00BD73B7" w:rsidP="00BD73B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Age group (&lt;15 years vs. ≥15 years)</w:t>
      </w:r>
    </w:p>
    <w:p w14:paraId="677937CB" w14:textId="77777777" w:rsidR="00BD73B7" w:rsidRPr="00BD73B7" w:rsidRDefault="00BD73B7" w:rsidP="00BD73B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Education level (none, primary, secondary, higher)</w:t>
      </w:r>
    </w:p>
    <w:p w14:paraId="305E5D6F" w14:textId="77777777" w:rsidR="00BD73B7" w:rsidRPr="00BD73B7" w:rsidRDefault="00BD73B7" w:rsidP="00BD73B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Marital status (single, married, divorced, widowed)</w:t>
      </w:r>
    </w:p>
    <w:p w14:paraId="2F333A60" w14:textId="77777777" w:rsidR="00BD73B7" w:rsidRPr="00BD73B7" w:rsidRDefault="00BD73B7" w:rsidP="00BD73B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Occupation (student, pupil, homemaker)</w:t>
      </w:r>
    </w:p>
    <w:p w14:paraId="5B53408D" w14:textId="77777777" w:rsidR="00BD73B7" w:rsidRPr="00BD73B7" w:rsidRDefault="00BD73B7" w:rsidP="00BD73B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Health zone (</w:t>
      </w:r>
      <w:proofErr w:type="spellStart"/>
      <w:r w:rsidRPr="00BD73B7">
        <w:rPr>
          <w:rFonts w:ascii="Times New Roman" w:eastAsia="Times New Roman" w:hAnsi="Times New Roman" w:cs="Times New Roman"/>
          <w:color w:val="0F1115"/>
          <w:kern w:val="0"/>
          <w14:ligatures w14:val="none"/>
        </w:rPr>
        <w:t>Bolenge</w:t>
      </w:r>
      <w:proofErr w:type="spellEnd"/>
      <w:r w:rsidRPr="00BD73B7">
        <w:rPr>
          <w:rFonts w:ascii="Times New Roman" w:eastAsia="Times New Roman" w:hAnsi="Times New Roman" w:cs="Times New Roman"/>
          <w:color w:val="0F1115"/>
          <w:kern w:val="0"/>
          <w14:ligatures w14:val="none"/>
        </w:rPr>
        <w:t xml:space="preserve">,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w:t>
      </w:r>
      <w:proofErr w:type="spellStart"/>
      <w:r w:rsidRPr="00BD73B7">
        <w:rPr>
          <w:rFonts w:ascii="Times New Roman" w:eastAsia="Times New Roman" w:hAnsi="Times New Roman" w:cs="Times New Roman"/>
          <w:color w:val="0F1115"/>
          <w:kern w:val="0"/>
          <w14:ligatures w14:val="none"/>
        </w:rPr>
        <w:t>Wangata</w:t>
      </w:r>
      <w:proofErr w:type="spellEnd"/>
      <w:r w:rsidRPr="00BD73B7">
        <w:rPr>
          <w:rFonts w:ascii="Times New Roman" w:eastAsia="Times New Roman" w:hAnsi="Times New Roman" w:cs="Times New Roman"/>
          <w:color w:val="0F1115"/>
          <w:kern w:val="0"/>
          <w14:ligatures w14:val="none"/>
        </w:rPr>
        <w:t>)</w:t>
      </w:r>
    </w:p>
    <w:p w14:paraId="23E04C99" w14:textId="77777777" w:rsidR="00BD73B7" w:rsidRPr="00BD73B7" w:rsidRDefault="00BD73B7" w:rsidP="00BD73B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Parental communication about sexuality (yes/no)</w:t>
      </w:r>
    </w:p>
    <w:p w14:paraId="6EE74838"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2.5. Data Analysis</w:t>
      </w:r>
    </w:p>
    <w:p w14:paraId="39CA86DA"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Quantitative data were </w:t>
      </w:r>
      <w:proofErr w:type="gramStart"/>
      <w:r w:rsidRPr="00BD73B7">
        <w:rPr>
          <w:rFonts w:ascii="Times New Roman" w:eastAsia="Times New Roman" w:hAnsi="Times New Roman" w:cs="Times New Roman"/>
          <w:color w:val="0F1115"/>
          <w:kern w:val="0"/>
          <w14:ligatures w14:val="none"/>
        </w:rPr>
        <w:t>double-entered</w:t>
      </w:r>
      <w:proofErr w:type="gramEnd"/>
      <w:r w:rsidRPr="00BD73B7">
        <w:rPr>
          <w:rFonts w:ascii="Times New Roman" w:eastAsia="Times New Roman" w:hAnsi="Times New Roman" w:cs="Times New Roman"/>
          <w:color w:val="0F1115"/>
          <w:kern w:val="0"/>
          <w14:ligatures w14:val="none"/>
        </w:rPr>
        <w:t xml:space="preserve"> into </w:t>
      </w:r>
      <w:proofErr w:type="spellStart"/>
      <w:r w:rsidRPr="00BD73B7">
        <w:rPr>
          <w:rFonts w:ascii="Times New Roman" w:eastAsia="Times New Roman" w:hAnsi="Times New Roman" w:cs="Times New Roman"/>
          <w:color w:val="0F1115"/>
          <w:kern w:val="0"/>
          <w14:ligatures w14:val="none"/>
        </w:rPr>
        <w:t>EpiData</w:t>
      </w:r>
      <w:proofErr w:type="spellEnd"/>
      <w:r w:rsidRPr="00BD73B7">
        <w:rPr>
          <w:rFonts w:ascii="Times New Roman" w:eastAsia="Times New Roman" w:hAnsi="Times New Roman" w:cs="Times New Roman"/>
          <w:color w:val="0F1115"/>
          <w:kern w:val="0"/>
          <w14:ligatures w14:val="none"/>
        </w:rPr>
        <w:t xml:space="preserve"> v.3.1 and exported to SPSS v.25 for analysis. Descriptive statistics (frequencies, percentages, means, standard deviations) were computed for all variables. Bivariate associations were assessed using Pearson's chi-square test (or Fisher's exact test when expected cell counts &lt;5). Variables with p&lt;0.20 in bivariate analysis were entered into multivariate logistic regression to identify independent predictors of non-marital pregnancy. Adjusted odds ratios (</w:t>
      </w:r>
      <w:proofErr w:type="spellStart"/>
      <w:r w:rsidRPr="00BD73B7">
        <w:rPr>
          <w:rFonts w:ascii="Times New Roman" w:eastAsia="Times New Roman" w:hAnsi="Times New Roman" w:cs="Times New Roman"/>
          <w:color w:val="0F1115"/>
          <w:kern w:val="0"/>
          <w14:ligatures w14:val="none"/>
        </w:rPr>
        <w:t>aOR</w:t>
      </w:r>
      <w:proofErr w:type="spellEnd"/>
      <w:r w:rsidRPr="00BD73B7">
        <w:rPr>
          <w:rFonts w:ascii="Times New Roman" w:eastAsia="Times New Roman" w:hAnsi="Times New Roman" w:cs="Times New Roman"/>
          <w:color w:val="0F1115"/>
          <w:kern w:val="0"/>
          <w14:ligatures w14:val="none"/>
        </w:rPr>
        <w:t>) with 95% confidence intervals were reported. Statistical significance was set at p&lt;0.05. Qualitative data from open-ended questions were analyzed using thematic content analysis with NVivo v.12.</w:t>
      </w:r>
    </w:p>
    <w:p w14:paraId="29A43270"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2.6. Ethical Considerations</w:t>
      </w:r>
    </w:p>
    <w:p w14:paraId="1B2FB2FB"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Ethical approval was obtained from the DRC National Health Ethics Committee (Reference #004/2024). Written informed consent was obtained from all participants aged ≥18 years. For minors (15–17 years), written parental/guardian consent was obtained, followed by adolescent assent. Participants were informed of their right to withdraw at any time without consequence. All data were anonymized. Participants reporting psychological distress were referred to a study-provided psychosocial counselor.</w:t>
      </w:r>
    </w:p>
    <w:p w14:paraId="5049C127"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3. Results</w:t>
      </w:r>
    </w:p>
    <w:p w14:paraId="3883DD18"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lastRenderedPageBreak/>
        <w:t>3.1. Socio-Demographic Profile of Adolescent Participants</w:t>
      </w:r>
    </w:p>
    <w:p w14:paraId="35C5B916"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A total of 151 adolescents participated (response rate: 94.4%). The mean age was 16.8 years (SD=1.4). Table 1 presents the socio-demographic characteristics. The majority (54%) were aged ≥15 years, 62% had secondary education, and 56% were single. Notably, 19% had no formal schooling. Most adolescents (62%) were students, and 46% resided in the </w:t>
      </w:r>
      <w:proofErr w:type="spellStart"/>
      <w:r w:rsidRPr="00BD73B7">
        <w:rPr>
          <w:rFonts w:ascii="Times New Roman" w:eastAsia="Times New Roman" w:hAnsi="Times New Roman" w:cs="Times New Roman"/>
          <w:color w:val="0F1115"/>
          <w:kern w:val="0"/>
          <w14:ligatures w14:val="none"/>
        </w:rPr>
        <w:t>Wangata</w:t>
      </w:r>
      <w:proofErr w:type="spellEnd"/>
      <w:r w:rsidRPr="00BD73B7">
        <w:rPr>
          <w:rFonts w:ascii="Times New Roman" w:eastAsia="Times New Roman" w:hAnsi="Times New Roman" w:cs="Times New Roman"/>
          <w:color w:val="0F1115"/>
          <w:kern w:val="0"/>
          <w14:ligatures w14:val="none"/>
        </w:rPr>
        <w:t xml:space="preserve"> health zone.</w:t>
      </w:r>
    </w:p>
    <w:p w14:paraId="7D5A52E3"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Unschooled adolescents had significantly lower odds of knowing contraceptive methods compared to those with secondary or higher education (OR=0.1, 95% CI: 0.0–0.3, p&lt;0.001). Single adolescents were at higher risk of non-marital pregnancy (OR=2.5, 95% CI: 1.3–4.8, p=0.006). No significant age-related differences in pregnancy risk were observed (p=0.20).</w:t>
      </w:r>
    </w:p>
    <w:p w14:paraId="0D2ABCC3"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Table 1. Socio-Demographic Characteristics of Adolescent Participants (N=151)</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89"/>
        <w:gridCol w:w="1568"/>
        <w:gridCol w:w="700"/>
        <w:gridCol w:w="700"/>
        <w:gridCol w:w="2194"/>
        <w:gridCol w:w="2356"/>
      </w:tblGrid>
      <w:tr w:rsidR="00BD73B7" w:rsidRPr="000C5059" w14:paraId="491775D0" w14:textId="77777777" w:rsidTr="000C505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B9846B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BDD344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02AFC7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C24C41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98466A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763C20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Odds Ratio (95% CI)</w:t>
            </w:r>
          </w:p>
        </w:tc>
      </w:tr>
      <w:tr w:rsidR="00BD73B7" w:rsidRPr="000C5059" w14:paraId="6869C1D3" w14:textId="77777777" w:rsidTr="000C5059">
        <w:tc>
          <w:tcPr>
            <w:tcW w:w="0" w:type="auto"/>
            <w:tcBorders>
              <w:top w:val="single" w:sz="4" w:space="0" w:color="auto"/>
            </w:tcBorders>
            <w:tcMar>
              <w:top w:w="150" w:type="dxa"/>
              <w:left w:w="0" w:type="dxa"/>
              <w:bottom w:w="150" w:type="dxa"/>
              <w:right w:w="240" w:type="dxa"/>
            </w:tcMar>
            <w:vAlign w:val="center"/>
            <w:hideMark/>
          </w:tcPr>
          <w:p w14:paraId="240F7C5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0122C06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&lt;15 years</w:t>
            </w:r>
          </w:p>
        </w:tc>
        <w:tc>
          <w:tcPr>
            <w:tcW w:w="0" w:type="auto"/>
            <w:tcBorders>
              <w:top w:val="single" w:sz="4" w:space="0" w:color="auto"/>
            </w:tcBorders>
            <w:tcMar>
              <w:top w:w="150" w:type="dxa"/>
              <w:left w:w="240" w:type="dxa"/>
              <w:bottom w:w="150" w:type="dxa"/>
              <w:right w:w="240" w:type="dxa"/>
            </w:tcMar>
            <w:vAlign w:val="center"/>
            <w:hideMark/>
          </w:tcPr>
          <w:p w14:paraId="2D3CB16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69</w:t>
            </w:r>
          </w:p>
        </w:tc>
        <w:tc>
          <w:tcPr>
            <w:tcW w:w="0" w:type="auto"/>
            <w:tcBorders>
              <w:top w:val="single" w:sz="4" w:space="0" w:color="auto"/>
            </w:tcBorders>
            <w:tcMar>
              <w:top w:w="150" w:type="dxa"/>
              <w:left w:w="240" w:type="dxa"/>
              <w:bottom w:w="150" w:type="dxa"/>
              <w:right w:w="240" w:type="dxa"/>
            </w:tcMar>
            <w:vAlign w:val="center"/>
            <w:hideMark/>
          </w:tcPr>
          <w:p w14:paraId="0C6E587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46</w:t>
            </w:r>
          </w:p>
        </w:tc>
        <w:tc>
          <w:tcPr>
            <w:tcW w:w="0" w:type="auto"/>
            <w:tcBorders>
              <w:top w:val="single" w:sz="4" w:space="0" w:color="auto"/>
            </w:tcBorders>
            <w:tcMar>
              <w:top w:w="150" w:type="dxa"/>
              <w:left w:w="240" w:type="dxa"/>
              <w:bottom w:w="150" w:type="dxa"/>
              <w:right w:w="240" w:type="dxa"/>
            </w:tcMar>
            <w:vAlign w:val="center"/>
            <w:hideMark/>
          </w:tcPr>
          <w:p w14:paraId="0043C9D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1.6 (p=0.20)</w:t>
            </w:r>
          </w:p>
        </w:tc>
        <w:tc>
          <w:tcPr>
            <w:tcW w:w="0" w:type="auto"/>
            <w:tcBorders>
              <w:top w:val="single" w:sz="4" w:space="0" w:color="auto"/>
            </w:tcBorders>
            <w:tcMar>
              <w:top w:w="150" w:type="dxa"/>
              <w:left w:w="240" w:type="dxa"/>
              <w:bottom w:w="150" w:type="dxa"/>
              <w:right w:w="0" w:type="dxa"/>
            </w:tcMar>
            <w:vAlign w:val="center"/>
            <w:hideMark/>
          </w:tcPr>
          <w:p w14:paraId="43A33D0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0.8 (0.5–1.3)</w:t>
            </w:r>
          </w:p>
        </w:tc>
      </w:tr>
      <w:tr w:rsidR="00BD73B7" w:rsidRPr="000C5059" w14:paraId="51A69465" w14:textId="77777777" w:rsidTr="000C5059">
        <w:tc>
          <w:tcPr>
            <w:tcW w:w="0" w:type="auto"/>
            <w:tcMar>
              <w:top w:w="150" w:type="dxa"/>
              <w:left w:w="0" w:type="dxa"/>
              <w:bottom w:w="150" w:type="dxa"/>
              <w:right w:w="240" w:type="dxa"/>
            </w:tcMar>
            <w:vAlign w:val="center"/>
            <w:hideMark/>
          </w:tcPr>
          <w:p w14:paraId="3C3D9EA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2FB84A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≥15 years</w:t>
            </w:r>
          </w:p>
        </w:tc>
        <w:tc>
          <w:tcPr>
            <w:tcW w:w="0" w:type="auto"/>
            <w:tcMar>
              <w:top w:w="150" w:type="dxa"/>
              <w:left w:w="240" w:type="dxa"/>
              <w:bottom w:w="150" w:type="dxa"/>
              <w:right w:w="240" w:type="dxa"/>
            </w:tcMar>
            <w:vAlign w:val="center"/>
            <w:hideMark/>
          </w:tcPr>
          <w:p w14:paraId="261D697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82</w:t>
            </w:r>
          </w:p>
        </w:tc>
        <w:tc>
          <w:tcPr>
            <w:tcW w:w="0" w:type="auto"/>
            <w:tcMar>
              <w:top w:w="150" w:type="dxa"/>
              <w:left w:w="240" w:type="dxa"/>
              <w:bottom w:w="150" w:type="dxa"/>
              <w:right w:w="240" w:type="dxa"/>
            </w:tcMar>
            <w:vAlign w:val="center"/>
            <w:hideMark/>
          </w:tcPr>
          <w:p w14:paraId="5163CFC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54</w:t>
            </w:r>
          </w:p>
        </w:tc>
        <w:tc>
          <w:tcPr>
            <w:tcW w:w="0" w:type="auto"/>
            <w:tcMar>
              <w:top w:w="150" w:type="dxa"/>
              <w:left w:w="240" w:type="dxa"/>
              <w:bottom w:w="150" w:type="dxa"/>
              <w:right w:w="240" w:type="dxa"/>
            </w:tcMar>
            <w:vAlign w:val="center"/>
            <w:hideMark/>
          </w:tcPr>
          <w:p w14:paraId="7D27AF9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7687C53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0A384B07" w14:textId="77777777" w:rsidTr="000C5059">
        <w:tc>
          <w:tcPr>
            <w:tcW w:w="0" w:type="auto"/>
            <w:tcMar>
              <w:top w:w="150" w:type="dxa"/>
              <w:left w:w="0" w:type="dxa"/>
              <w:bottom w:w="150" w:type="dxa"/>
              <w:right w:w="240" w:type="dxa"/>
            </w:tcMar>
            <w:vAlign w:val="center"/>
            <w:hideMark/>
          </w:tcPr>
          <w:p w14:paraId="7E97BB6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Education level</w:t>
            </w:r>
          </w:p>
        </w:tc>
        <w:tc>
          <w:tcPr>
            <w:tcW w:w="0" w:type="auto"/>
            <w:tcMar>
              <w:top w:w="150" w:type="dxa"/>
              <w:left w:w="240" w:type="dxa"/>
              <w:bottom w:w="150" w:type="dxa"/>
              <w:right w:w="240" w:type="dxa"/>
            </w:tcMar>
            <w:vAlign w:val="center"/>
            <w:hideMark/>
          </w:tcPr>
          <w:p w14:paraId="1DFE7BE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None</w:t>
            </w:r>
          </w:p>
        </w:tc>
        <w:tc>
          <w:tcPr>
            <w:tcW w:w="0" w:type="auto"/>
            <w:tcMar>
              <w:top w:w="150" w:type="dxa"/>
              <w:left w:w="240" w:type="dxa"/>
              <w:bottom w:w="150" w:type="dxa"/>
              <w:right w:w="240" w:type="dxa"/>
            </w:tcMar>
            <w:vAlign w:val="center"/>
            <w:hideMark/>
          </w:tcPr>
          <w:p w14:paraId="46E2FF1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c>
          <w:tcPr>
            <w:tcW w:w="0" w:type="auto"/>
            <w:tcMar>
              <w:top w:w="150" w:type="dxa"/>
              <w:left w:w="240" w:type="dxa"/>
              <w:bottom w:w="150" w:type="dxa"/>
              <w:right w:w="240" w:type="dxa"/>
            </w:tcMar>
            <w:vAlign w:val="center"/>
            <w:hideMark/>
          </w:tcPr>
          <w:p w14:paraId="0D60F07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240" w:type="dxa"/>
            </w:tcMar>
            <w:vAlign w:val="center"/>
            <w:hideMark/>
          </w:tcPr>
          <w:p w14:paraId="5AF600A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45.6 (p&lt;0.001)</w:t>
            </w:r>
          </w:p>
        </w:tc>
        <w:tc>
          <w:tcPr>
            <w:tcW w:w="0" w:type="auto"/>
            <w:tcMar>
              <w:top w:w="150" w:type="dxa"/>
              <w:left w:w="240" w:type="dxa"/>
              <w:bottom w:w="150" w:type="dxa"/>
              <w:right w:w="0" w:type="dxa"/>
            </w:tcMar>
            <w:vAlign w:val="center"/>
            <w:hideMark/>
          </w:tcPr>
          <w:p w14:paraId="2A834D4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0.1 (0.0–0.3)</w:t>
            </w:r>
          </w:p>
        </w:tc>
      </w:tr>
      <w:tr w:rsidR="00BD73B7" w:rsidRPr="000C5059" w14:paraId="3A8AC586" w14:textId="77777777" w:rsidTr="000C5059">
        <w:tc>
          <w:tcPr>
            <w:tcW w:w="0" w:type="auto"/>
            <w:tcMar>
              <w:top w:w="150" w:type="dxa"/>
              <w:left w:w="0" w:type="dxa"/>
              <w:bottom w:w="150" w:type="dxa"/>
              <w:right w:w="240" w:type="dxa"/>
            </w:tcMar>
            <w:vAlign w:val="center"/>
            <w:hideMark/>
          </w:tcPr>
          <w:p w14:paraId="2CA301C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4888FB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Primary</w:t>
            </w:r>
          </w:p>
        </w:tc>
        <w:tc>
          <w:tcPr>
            <w:tcW w:w="0" w:type="auto"/>
            <w:tcMar>
              <w:top w:w="150" w:type="dxa"/>
              <w:left w:w="240" w:type="dxa"/>
              <w:bottom w:w="150" w:type="dxa"/>
              <w:right w:w="240" w:type="dxa"/>
            </w:tcMar>
            <w:vAlign w:val="center"/>
            <w:hideMark/>
          </w:tcPr>
          <w:p w14:paraId="05FDC6C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240" w:type="dxa"/>
            </w:tcMar>
            <w:vAlign w:val="center"/>
            <w:hideMark/>
          </w:tcPr>
          <w:p w14:paraId="73BEB63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w:t>
            </w:r>
          </w:p>
        </w:tc>
        <w:tc>
          <w:tcPr>
            <w:tcW w:w="0" w:type="auto"/>
            <w:tcMar>
              <w:top w:w="150" w:type="dxa"/>
              <w:left w:w="240" w:type="dxa"/>
              <w:bottom w:w="150" w:type="dxa"/>
              <w:right w:w="240" w:type="dxa"/>
            </w:tcMar>
            <w:vAlign w:val="center"/>
            <w:hideMark/>
          </w:tcPr>
          <w:p w14:paraId="7660A56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74B7642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7DB4912C" w14:textId="77777777" w:rsidTr="000C5059">
        <w:tc>
          <w:tcPr>
            <w:tcW w:w="0" w:type="auto"/>
            <w:tcMar>
              <w:top w:w="150" w:type="dxa"/>
              <w:left w:w="0" w:type="dxa"/>
              <w:bottom w:w="150" w:type="dxa"/>
              <w:right w:w="240" w:type="dxa"/>
            </w:tcMar>
            <w:vAlign w:val="center"/>
            <w:hideMark/>
          </w:tcPr>
          <w:p w14:paraId="78C881E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F2CDED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240" w:type="dxa"/>
            </w:tcMar>
            <w:vAlign w:val="center"/>
            <w:hideMark/>
          </w:tcPr>
          <w:p w14:paraId="376E19C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93</w:t>
            </w:r>
          </w:p>
        </w:tc>
        <w:tc>
          <w:tcPr>
            <w:tcW w:w="0" w:type="auto"/>
            <w:tcMar>
              <w:top w:w="150" w:type="dxa"/>
              <w:left w:w="240" w:type="dxa"/>
              <w:bottom w:w="150" w:type="dxa"/>
              <w:right w:w="240" w:type="dxa"/>
            </w:tcMar>
            <w:vAlign w:val="center"/>
            <w:hideMark/>
          </w:tcPr>
          <w:p w14:paraId="15E0A7B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62</w:t>
            </w:r>
          </w:p>
        </w:tc>
        <w:tc>
          <w:tcPr>
            <w:tcW w:w="0" w:type="auto"/>
            <w:tcMar>
              <w:top w:w="150" w:type="dxa"/>
              <w:left w:w="240" w:type="dxa"/>
              <w:bottom w:w="150" w:type="dxa"/>
              <w:right w:w="240" w:type="dxa"/>
            </w:tcMar>
            <w:vAlign w:val="center"/>
            <w:hideMark/>
          </w:tcPr>
          <w:p w14:paraId="668DD91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ACE0C2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23949ABE" w14:textId="77777777" w:rsidTr="000C5059">
        <w:tc>
          <w:tcPr>
            <w:tcW w:w="0" w:type="auto"/>
            <w:tcMar>
              <w:top w:w="150" w:type="dxa"/>
              <w:left w:w="0" w:type="dxa"/>
              <w:bottom w:w="150" w:type="dxa"/>
              <w:right w:w="240" w:type="dxa"/>
            </w:tcMar>
            <w:vAlign w:val="center"/>
            <w:hideMark/>
          </w:tcPr>
          <w:p w14:paraId="13324BE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B97C88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Higher</w:t>
            </w:r>
          </w:p>
        </w:tc>
        <w:tc>
          <w:tcPr>
            <w:tcW w:w="0" w:type="auto"/>
            <w:tcMar>
              <w:top w:w="150" w:type="dxa"/>
              <w:left w:w="240" w:type="dxa"/>
              <w:bottom w:w="150" w:type="dxa"/>
              <w:right w:w="240" w:type="dxa"/>
            </w:tcMar>
            <w:vAlign w:val="center"/>
            <w:hideMark/>
          </w:tcPr>
          <w:p w14:paraId="58F5699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59E0B1A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240" w:type="dxa"/>
            </w:tcMar>
            <w:vAlign w:val="center"/>
            <w:hideMark/>
          </w:tcPr>
          <w:p w14:paraId="1C0D224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3EE99F6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412E3252" w14:textId="77777777" w:rsidTr="000C5059">
        <w:tc>
          <w:tcPr>
            <w:tcW w:w="0" w:type="auto"/>
            <w:tcMar>
              <w:top w:w="150" w:type="dxa"/>
              <w:left w:w="0" w:type="dxa"/>
              <w:bottom w:w="150" w:type="dxa"/>
              <w:right w:w="240" w:type="dxa"/>
            </w:tcMar>
            <w:vAlign w:val="center"/>
            <w:hideMark/>
          </w:tcPr>
          <w:p w14:paraId="1701359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Marital status</w:t>
            </w:r>
          </w:p>
        </w:tc>
        <w:tc>
          <w:tcPr>
            <w:tcW w:w="0" w:type="auto"/>
            <w:tcMar>
              <w:top w:w="150" w:type="dxa"/>
              <w:left w:w="240" w:type="dxa"/>
              <w:bottom w:w="150" w:type="dxa"/>
              <w:right w:w="240" w:type="dxa"/>
            </w:tcMar>
            <w:vAlign w:val="center"/>
            <w:hideMark/>
          </w:tcPr>
          <w:p w14:paraId="24713E5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Single</w:t>
            </w:r>
          </w:p>
        </w:tc>
        <w:tc>
          <w:tcPr>
            <w:tcW w:w="0" w:type="auto"/>
            <w:tcMar>
              <w:top w:w="150" w:type="dxa"/>
              <w:left w:w="240" w:type="dxa"/>
              <w:bottom w:w="150" w:type="dxa"/>
              <w:right w:w="240" w:type="dxa"/>
            </w:tcMar>
            <w:vAlign w:val="center"/>
            <w:hideMark/>
          </w:tcPr>
          <w:p w14:paraId="277165B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85</w:t>
            </w:r>
          </w:p>
        </w:tc>
        <w:tc>
          <w:tcPr>
            <w:tcW w:w="0" w:type="auto"/>
            <w:tcMar>
              <w:top w:w="150" w:type="dxa"/>
              <w:left w:w="240" w:type="dxa"/>
              <w:bottom w:w="150" w:type="dxa"/>
              <w:right w:w="240" w:type="dxa"/>
            </w:tcMar>
            <w:vAlign w:val="center"/>
            <w:hideMark/>
          </w:tcPr>
          <w:p w14:paraId="4457528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56</w:t>
            </w:r>
          </w:p>
        </w:tc>
        <w:tc>
          <w:tcPr>
            <w:tcW w:w="0" w:type="auto"/>
            <w:tcMar>
              <w:top w:w="150" w:type="dxa"/>
              <w:left w:w="240" w:type="dxa"/>
              <w:bottom w:w="150" w:type="dxa"/>
              <w:right w:w="240" w:type="dxa"/>
            </w:tcMar>
            <w:vAlign w:val="center"/>
            <w:hideMark/>
          </w:tcPr>
          <w:p w14:paraId="6506D2D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12.5 (p=0.006)</w:t>
            </w:r>
          </w:p>
        </w:tc>
        <w:tc>
          <w:tcPr>
            <w:tcW w:w="0" w:type="auto"/>
            <w:tcMar>
              <w:top w:w="150" w:type="dxa"/>
              <w:left w:w="240" w:type="dxa"/>
              <w:bottom w:w="150" w:type="dxa"/>
              <w:right w:w="0" w:type="dxa"/>
            </w:tcMar>
            <w:vAlign w:val="center"/>
            <w:hideMark/>
          </w:tcPr>
          <w:p w14:paraId="51D3B0B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2.5 (1.3–4.8)</w:t>
            </w:r>
          </w:p>
        </w:tc>
      </w:tr>
      <w:tr w:rsidR="00BD73B7" w:rsidRPr="000C5059" w14:paraId="211904F7" w14:textId="77777777" w:rsidTr="000C5059">
        <w:tc>
          <w:tcPr>
            <w:tcW w:w="0" w:type="auto"/>
            <w:tcMar>
              <w:top w:w="150" w:type="dxa"/>
              <w:left w:w="0" w:type="dxa"/>
              <w:bottom w:w="150" w:type="dxa"/>
              <w:right w:w="240" w:type="dxa"/>
            </w:tcMar>
            <w:vAlign w:val="center"/>
            <w:hideMark/>
          </w:tcPr>
          <w:p w14:paraId="244D3A3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1BF6CA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Married</w:t>
            </w:r>
          </w:p>
        </w:tc>
        <w:tc>
          <w:tcPr>
            <w:tcW w:w="0" w:type="auto"/>
            <w:tcMar>
              <w:top w:w="150" w:type="dxa"/>
              <w:left w:w="240" w:type="dxa"/>
              <w:bottom w:w="150" w:type="dxa"/>
              <w:right w:w="240" w:type="dxa"/>
            </w:tcMar>
            <w:vAlign w:val="center"/>
            <w:hideMark/>
          </w:tcPr>
          <w:p w14:paraId="67B83B9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39</w:t>
            </w:r>
          </w:p>
        </w:tc>
        <w:tc>
          <w:tcPr>
            <w:tcW w:w="0" w:type="auto"/>
            <w:tcMar>
              <w:top w:w="150" w:type="dxa"/>
              <w:left w:w="240" w:type="dxa"/>
              <w:bottom w:w="150" w:type="dxa"/>
              <w:right w:w="240" w:type="dxa"/>
            </w:tcMar>
            <w:vAlign w:val="center"/>
            <w:hideMark/>
          </w:tcPr>
          <w:p w14:paraId="21D3633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240" w:type="dxa"/>
            </w:tcMar>
            <w:vAlign w:val="center"/>
            <w:hideMark/>
          </w:tcPr>
          <w:p w14:paraId="4592919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22E75E4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4EFF0ACE" w14:textId="77777777" w:rsidTr="000C5059">
        <w:tc>
          <w:tcPr>
            <w:tcW w:w="0" w:type="auto"/>
            <w:tcMar>
              <w:top w:w="150" w:type="dxa"/>
              <w:left w:w="0" w:type="dxa"/>
              <w:bottom w:w="150" w:type="dxa"/>
              <w:right w:w="240" w:type="dxa"/>
            </w:tcMar>
            <w:vAlign w:val="center"/>
            <w:hideMark/>
          </w:tcPr>
          <w:p w14:paraId="57E0478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224F10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Divorced</w:t>
            </w:r>
          </w:p>
        </w:tc>
        <w:tc>
          <w:tcPr>
            <w:tcW w:w="0" w:type="auto"/>
            <w:tcMar>
              <w:top w:w="150" w:type="dxa"/>
              <w:left w:w="240" w:type="dxa"/>
              <w:bottom w:w="150" w:type="dxa"/>
              <w:right w:w="240" w:type="dxa"/>
            </w:tcMar>
            <w:vAlign w:val="center"/>
            <w:hideMark/>
          </w:tcPr>
          <w:p w14:paraId="6E3FF52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240" w:type="dxa"/>
            </w:tcMar>
            <w:vAlign w:val="center"/>
            <w:hideMark/>
          </w:tcPr>
          <w:p w14:paraId="26ACE84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16</w:t>
            </w:r>
          </w:p>
        </w:tc>
        <w:tc>
          <w:tcPr>
            <w:tcW w:w="0" w:type="auto"/>
            <w:tcMar>
              <w:top w:w="150" w:type="dxa"/>
              <w:left w:w="240" w:type="dxa"/>
              <w:bottom w:w="150" w:type="dxa"/>
              <w:right w:w="240" w:type="dxa"/>
            </w:tcMar>
            <w:vAlign w:val="center"/>
            <w:hideMark/>
          </w:tcPr>
          <w:p w14:paraId="5257E97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1A3ABB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3E2FD006" w14:textId="77777777" w:rsidTr="000C5059">
        <w:tc>
          <w:tcPr>
            <w:tcW w:w="0" w:type="auto"/>
            <w:tcMar>
              <w:top w:w="150" w:type="dxa"/>
              <w:left w:w="0" w:type="dxa"/>
              <w:bottom w:w="150" w:type="dxa"/>
              <w:right w:w="240" w:type="dxa"/>
            </w:tcMar>
            <w:vAlign w:val="center"/>
            <w:hideMark/>
          </w:tcPr>
          <w:p w14:paraId="294E68B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012F85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Widowed</w:t>
            </w:r>
          </w:p>
        </w:tc>
        <w:tc>
          <w:tcPr>
            <w:tcW w:w="0" w:type="auto"/>
            <w:tcMar>
              <w:top w:w="150" w:type="dxa"/>
              <w:left w:w="240" w:type="dxa"/>
              <w:bottom w:w="150" w:type="dxa"/>
              <w:right w:w="240" w:type="dxa"/>
            </w:tcMar>
            <w:vAlign w:val="center"/>
            <w:hideMark/>
          </w:tcPr>
          <w:p w14:paraId="32CDD14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240" w:type="dxa"/>
            </w:tcMar>
            <w:vAlign w:val="center"/>
            <w:hideMark/>
          </w:tcPr>
          <w:p w14:paraId="1CE1BEE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w:t>
            </w:r>
          </w:p>
        </w:tc>
        <w:tc>
          <w:tcPr>
            <w:tcW w:w="0" w:type="auto"/>
            <w:tcMar>
              <w:top w:w="150" w:type="dxa"/>
              <w:left w:w="240" w:type="dxa"/>
              <w:bottom w:w="150" w:type="dxa"/>
              <w:right w:w="240" w:type="dxa"/>
            </w:tcMar>
            <w:vAlign w:val="center"/>
            <w:hideMark/>
          </w:tcPr>
          <w:p w14:paraId="1B6542F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6C5D2A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472FEB34" w14:textId="77777777" w:rsidTr="000C5059">
        <w:tc>
          <w:tcPr>
            <w:tcW w:w="0" w:type="auto"/>
            <w:tcMar>
              <w:top w:w="150" w:type="dxa"/>
              <w:left w:w="0" w:type="dxa"/>
              <w:bottom w:w="150" w:type="dxa"/>
              <w:right w:w="240" w:type="dxa"/>
            </w:tcMar>
            <w:vAlign w:val="center"/>
            <w:hideMark/>
          </w:tcPr>
          <w:p w14:paraId="4B4C513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Occupation</w:t>
            </w:r>
          </w:p>
        </w:tc>
        <w:tc>
          <w:tcPr>
            <w:tcW w:w="0" w:type="auto"/>
            <w:tcMar>
              <w:top w:w="150" w:type="dxa"/>
              <w:left w:w="240" w:type="dxa"/>
              <w:bottom w:w="150" w:type="dxa"/>
              <w:right w:w="240" w:type="dxa"/>
            </w:tcMar>
            <w:vAlign w:val="center"/>
            <w:hideMark/>
          </w:tcPr>
          <w:p w14:paraId="49D49F6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Student</w:t>
            </w:r>
          </w:p>
        </w:tc>
        <w:tc>
          <w:tcPr>
            <w:tcW w:w="0" w:type="auto"/>
            <w:tcMar>
              <w:top w:w="150" w:type="dxa"/>
              <w:left w:w="240" w:type="dxa"/>
              <w:bottom w:w="150" w:type="dxa"/>
              <w:right w:w="240" w:type="dxa"/>
            </w:tcMar>
            <w:vAlign w:val="center"/>
            <w:hideMark/>
          </w:tcPr>
          <w:p w14:paraId="7CF4B00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93</w:t>
            </w:r>
          </w:p>
        </w:tc>
        <w:tc>
          <w:tcPr>
            <w:tcW w:w="0" w:type="auto"/>
            <w:tcMar>
              <w:top w:w="150" w:type="dxa"/>
              <w:left w:w="240" w:type="dxa"/>
              <w:bottom w:w="150" w:type="dxa"/>
              <w:right w:w="240" w:type="dxa"/>
            </w:tcMar>
            <w:vAlign w:val="center"/>
            <w:hideMark/>
          </w:tcPr>
          <w:p w14:paraId="5212B6F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62</w:t>
            </w:r>
          </w:p>
        </w:tc>
        <w:tc>
          <w:tcPr>
            <w:tcW w:w="0" w:type="auto"/>
            <w:tcMar>
              <w:top w:w="150" w:type="dxa"/>
              <w:left w:w="240" w:type="dxa"/>
              <w:bottom w:w="150" w:type="dxa"/>
              <w:right w:w="240" w:type="dxa"/>
            </w:tcMar>
            <w:vAlign w:val="center"/>
            <w:hideMark/>
          </w:tcPr>
          <w:p w14:paraId="33011BA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36.9 (p&lt;0.001)</w:t>
            </w:r>
          </w:p>
        </w:tc>
        <w:tc>
          <w:tcPr>
            <w:tcW w:w="0" w:type="auto"/>
            <w:tcMar>
              <w:top w:w="150" w:type="dxa"/>
              <w:left w:w="240" w:type="dxa"/>
              <w:bottom w:w="150" w:type="dxa"/>
              <w:right w:w="0" w:type="dxa"/>
            </w:tcMar>
            <w:vAlign w:val="center"/>
            <w:hideMark/>
          </w:tcPr>
          <w:p w14:paraId="4C8FE42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3.3 (1.8–6.0)</w:t>
            </w:r>
          </w:p>
        </w:tc>
      </w:tr>
      <w:tr w:rsidR="00BD73B7" w:rsidRPr="000C5059" w14:paraId="38C43E70" w14:textId="77777777" w:rsidTr="000C5059">
        <w:tc>
          <w:tcPr>
            <w:tcW w:w="0" w:type="auto"/>
            <w:tcMar>
              <w:top w:w="150" w:type="dxa"/>
              <w:left w:w="0" w:type="dxa"/>
              <w:bottom w:w="150" w:type="dxa"/>
              <w:right w:w="240" w:type="dxa"/>
            </w:tcMar>
            <w:vAlign w:val="center"/>
            <w:hideMark/>
          </w:tcPr>
          <w:p w14:paraId="145F179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F18AC5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Pupil</w:t>
            </w:r>
          </w:p>
        </w:tc>
        <w:tc>
          <w:tcPr>
            <w:tcW w:w="0" w:type="auto"/>
            <w:tcMar>
              <w:top w:w="150" w:type="dxa"/>
              <w:left w:w="240" w:type="dxa"/>
              <w:bottom w:w="150" w:type="dxa"/>
              <w:right w:w="240" w:type="dxa"/>
            </w:tcMar>
            <w:vAlign w:val="center"/>
            <w:hideMark/>
          </w:tcPr>
          <w:p w14:paraId="109826B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240" w:type="dxa"/>
            </w:tcMar>
            <w:vAlign w:val="center"/>
            <w:hideMark/>
          </w:tcPr>
          <w:p w14:paraId="38126BF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w:t>
            </w:r>
          </w:p>
        </w:tc>
        <w:tc>
          <w:tcPr>
            <w:tcW w:w="0" w:type="auto"/>
            <w:tcMar>
              <w:top w:w="150" w:type="dxa"/>
              <w:left w:w="240" w:type="dxa"/>
              <w:bottom w:w="150" w:type="dxa"/>
              <w:right w:w="240" w:type="dxa"/>
            </w:tcMar>
            <w:vAlign w:val="center"/>
            <w:hideMark/>
          </w:tcPr>
          <w:p w14:paraId="35C5882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7604FF5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5CB43FA7" w14:textId="77777777" w:rsidTr="000C5059">
        <w:tc>
          <w:tcPr>
            <w:tcW w:w="0" w:type="auto"/>
            <w:tcMar>
              <w:top w:w="150" w:type="dxa"/>
              <w:left w:w="0" w:type="dxa"/>
              <w:bottom w:w="150" w:type="dxa"/>
              <w:right w:w="240" w:type="dxa"/>
            </w:tcMar>
            <w:vAlign w:val="center"/>
            <w:hideMark/>
          </w:tcPr>
          <w:p w14:paraId="5B9C315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21EC57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Homemaker</w:t>
            </w:r>
          </w:p>
        </w:tc>
        <w:tc>
          <w:tcPr>
            <w:tcW w:w="0" w:type="auto"/>
            <w:tcMar>
              <w:top w:w="150" w:type="dxa"/>
              <w:left w:w="240" w:type="dxa"/>
              <w:bottom w:w="150" w:type="dxa"/>
              <w:right w:w="240" w:type="dxa"/>
            </w:tcMar>
            <w:vAlign w:val="center"/>
            <w:hideMark/>
          </w:tcPr>
          <w:p w14:paraId="4189D8F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c>
          <w:tcPr>
            <w:tcW w:w="0" w:type="auto"/>
            <w:tcMar>
              <w:top w:w="150" w:type="dxa"/>
              <w:left w:w="240" w:type="dxa"/>
              <w:bottom w:w="150" w:type="dxa"/>
              <w:right w:w="240" w:type="dxa"/>
            </w:tcMar>
            <w:vAlign w:val="center"/>
            <w:hideMark/>
          </w:tcPr>
          <w:p w14:paraId="6055762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240" w:type="dxa"/>
            </w:tcMar>
            <w:vAlign w:val="center"/>
            <w:hideMark/>
          </w:tcPr>
          <w:p w14:paraId="49A2FB7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C9574F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28CD3765" w14:textId="77777777" w:rsidTr="000C5059">
        <w:tc>
          <w:tcPr>
            <w:tcW w:w="0" w:type="auto"/>
            <w:tcMar>
              <w:top w:w="150" w:type="dxa"/>
              <w:left w:w="0" w:type="dxa"/>
              <w:bottom w:w="150" w:type="dxa"/>
              <w:right w:w="240" w:type="dxa"/>
            </w:tcMar>
            <w:vAlign w:val="center"/>
            <w:hideMark/>
          </w:tcPr>
          <w:p w14:paraId="09FADE6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833157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Other</w:t>
            </w:r>
          </w:p>
        </w:tc>
        <w:tc>
          <w:tcPr>
            <w:tcW w:w="0" w:type="auto"/>
            <w:tcMar>
              <w:top w:w="150" w:type="dxa"/>
              <w:left w:w="240" w:type="dxa"/>
              <w:bottom w:w="150" w:type="dxa"/>
              <w:right w:w="240" w:type="dxa"/>
            </w:tcMar>
            <w:vAlign w:val="center"/>
            <w:hideMark/>
          </w:tcPr>
          <w:p w14:paraId="5ACB86B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4CFB15E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240" w:type="dxa"/>
            </w:tcMar>
            <w:vAlign w:val="center"/>
            <w:hideMark/>
          </w:tcPr>
          <w:p w14:paraId="57853F4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2DDA3FC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4C474C1C" w14:textId="77777777" w:rsidTr="000C5059">
        <w:tc>
          <w:tcPr>
            <w:tcW w:w="0" w:type="auto"/>
            <w:tcMar>
              <w:top w:w="150" w:type="dxa"/>
              <w:left w:w="0" w:type="dxa"/>
              <w:bottom w:w="150" w:type="dxa"/>
              <w:right w:w="240" w:type="dxa"/>
            </w:tcMar>
            <w:vAlign w:val="center"/>
            <w:hideMark/>
          </w:tcPr>
          <w:p w14:paraId="63D2D47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Health zone</w:t>
            </w:r>
          </w:p>
        </w:tc>
        <w:tc>
          <w:tcPr>
            <w:tcW w:w="0" w:type="auto"/>
            <w:tcMar>
              <w:top w:w="150" w:type="dxa"/>
              <w:left w:w="240" w:type="dxa"/>
              <w:bottom w:w="150" w:type="dxa"/>
              <w:right w:w="240" w:type="dxa"/>
            </w:tcMar>
            <w:vAlign w:val="center"/>
            <w:hideMark/>
          </w:tcPr>
          <w:p w14:paraId="2A2DAA9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roofErr w:type="spellStart"/>
            <w:r w:rsidRPr="000C5059">
              <w:rPr>
                <w:rFonts w:ascii="Times New Roman" w:eastAsia="Times New Roman" w:hAnsi="Times New Roman" w:cs="Times New Roman"/>
                <w:kern w:val="0"/>
                <w:sz w:val="22"/>
                <w:szCs w:val="22"/>
                <w14:ligatures w14:val="none"/>
              </w:rPr>
              <w:t>Bolenge</w:t>
            </w:r>
            <w:proofErr w:type="spellEnd"/>
          </w:p>
        </w:tc>
        <w:tc>
          <w:tcPr>
            <w:tcW w:w="0" w:type="auto"/>
            <w:tcMar>
              <w:top w:w="150" w:type="dxa"/>
              <w:left w:w="240" w:type="dxa"/>
              <w:bottom w:w="150" w:type="dxa"/>
              <w:right w:w="240" w:type="dxa"/>
            </w:tcMar>
            <w:vAlign w:val="center"/>
            <w:hideMark/>
          </w:tcPr>
          <w:p w14:paraId="34F6B9D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32</w:t>
            </w:r>
          </w:p>
        </w:tc>
        <w:tc>
          <w:tcPr>
            <w:tcW w:w="0" w:type="auto"/>
            <w:tcMar>
              <w:top w:w="150" w:type="dxa"/>
              <w:left w:w="240" w:type="dxa"/>
              <w:bottom w:w="150" w:type="dxa"/>
              <w:right w:w="240" w:type="dxa"/>
            </w:tcMar>
            <w:vAlign w:val="center"/>
            <w:hideMark/>
          </w:tcPr>
          <w:p w14:paraId="7843B25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21</w:t>
            </w:r>
          </w:p>
        </w:tc>
        <w:tc>
          <w:tcPr>
            <w:tcW w:w="0" w:type="auto"/>
            <w:tcMar>
              <w:top w:w="150" w:type="dxa"/>
              <w:left w:w="240" w:type="dxa"/>
              <w:bottom w:w="150" w:type="dxa"/>
              <w:right w:w="240" w:type="dxa"/>
            </w:tcMar>
            <w:vAlign w:val="center"/>
            <w:hideMark/>
          </w:tcPr>
          <w:p w14:paraId="581E640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6.4 (p=0.04)</w:t>
            </w:r>
          </w:p>
        </w:tc>
        <w:tc>
          <w:tcPr>
            <w:tcW w:w="0" w:type="auto"/>
            <w:tcMar>
              <w:top w:w="150" w:type="dxa"/>
              <w:left w:w="240" w:type="dxa"/>
              <w:bottom w:w="150" w:type="dxa"/>
              <w:right w:w="0" w:type="dxa"/>
            </w:tcMar>
            <w:vAlign w:val="center"/>
            <w:hideMark/>
          </w:tcPr>
          <w:p w14:paraId="20F0ADC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0.5 (0.3–0.9)</w:t>
            </w:r>
          </w:p>
        </w:tc>
      </w:tr>
      <w:tr w:rsidR="00BD73B7" w:rsidRPr="000C5059" w14:paraId="0F4A8CB7" w14:textId="77777777" w:rsidTr="000C5059">
        <w:tc>
          <w:tcPr>
            <w:tcW w:w="0" w:type="auto"/>
            <w:tcMar>
              <w:top w:w="150" w:type="dxa"/>
              <w:left w:w="0" w:type="dxa"/>
              <w:bottom w:w="150" w:type="dxa"/>
              <w:right w:w="240" w:type="dxa"/>
            </w:tcMar>
            <w:vAlign w:val="center"/>
            <w:hideMark/>
          </w:tcPr>
          <w:p w14:paraId="663FBD7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65367C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roofErr w:type="spellStart"/>
            <w:r w:rsidRPr="000C5059">
              <w:rPr>
                <w:rFonts w:ascii="Times New Roman" w:eastAsia="Times New Roman" w:hAnsi="Times New Roman" w:cs="Times New Roman"/>
                <w:kern w:val="0"/>
                <w:sz w:val="22"/>
                <w:szCs w:val="22"/>
                <w14:ligatures w14:val="none"/>
              </w:rPr>
              <w:t>Mbandaka</w:t>
            </w:r>
            <w:proofErr w:type="spellEnd"/>
          </w:p>
        </w:tc>
        <w:tc>
          <w:tcPr>
            <w:tcW w:w="0" w:type="auto"/>
            <w:tcMar>
              <w:top w:w="150" w:type="dxa"/>
              <w:left w:w="240" w:type="dxa"/>
              <w:bottom w:w="150" w:type="dxa"/>
              <w:right w:w="240" w:type="dxa"/>
            </w:tcMar>
            <w:vAlign w:val="center"/>
            <w:hideMark/>
          </w:tcPr>
          <w:p w14:paraId="38C0FAF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50</w:t>
            </w:r>
          </w:p>
        </w:tc>
        <w:tc>
          <w:tcPr>
            <w:tcW w:w="0" w:type="auto"/>
            <w:tcMar>
              <w:top w:w="150" w:type="dxa"/>
              <w:left w:w="240" w:type="dxa"/>
              <w:bottom w:w="150" w:type="dxa"/>
              <w:right w:w="240" w:type="dxa"/>
            </w:tcMar>
            <w:vAlign w:val="center"/>
            <w:hideMark/>
          </w:tcPr>
          <w:p w14:paraId="5E6875A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240" w:type="dxa"/>
            </w:tcMar>
            <w:vAlign w:val="center"/>
            <w:hideMark/>
          </w:tcPr>
          <w:p w14:paraId="687649A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CF5730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32DF21F9" w14:textId="77777777" w:rsidTr="000C5059">
        <w:tc>
          <w:tcPr>
            <w:tcW w:w="0" w:type="auto"/>
            <w:tcMar>
              <w:top w:w="150" w:type="dxa"/>
              <w:left w:w="0" w:type="dxa"/>
              <w:bottom w:w="150" w:type="dxa"/>
              <w:right w:w="240" w:type="dxa"/>
            </w:tcMar>
            <w:vAlign w:val="center"/>
            <w:hideMark/>
          </w:tcPr>
          <w:p w14:paraId="3A0512A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FA9B07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roofErr w:type="spellStart"/>
            <w:r w:rsidRPr="000C5059">
              <w:rPr>
                <w:rFonts w:ascii="Times New Roman" w:eastAsia="Times New Roman" w:hAnsi="Times New Roman" w:cs="Times New Roman"/>
                <w:kern w:val="0"/>
                <w:sz w:val="22"/>
                <w:szCs w:val="22"/>
                <w14:ligatures w14:val="none"/>
              </w:rPr>
              <w:t>Wangata</w:t>
            </w:r>
            <w:proofErr w:type="spellEnd"/>
          </w:p>
        </w:tc>
        <w:tc>
          <w:tcPr>
            <w:tcW w:w="0" w:type="auto"/>
            <w:tcMar>
              <w:top w:w="150" w:type="dxa"/>
              <w:left w:w="240" w:type="dxa"/>
              <w:bottom w:w="150" w:type="dxa"/>
              <w:right w:w="240" w:type="dxa"/>
            </w:tcMar>
            <w:vAlign w:val="center"/>
            <w:hideMark/>
          </w:tcPr>
          <w:p w14:paraId="5BE4961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69</w:t>
            </w:r>
          </w:p>
        </w:tc>
        <w:tc>
          <w:tcPr>
            <w:tcW w:w="0" w:type="auto"/>
            <w:tcMar>
              <w:top w:w="150" w:type="dxa"/>
              <w:left w:w="240" w:type="dxa"/>
              <w:bottom w:w="150" w:type="dxa"/>
              <w:right w:w="240" w:type="dxa"/>
            </w:tcMar>
            <w:vAlign w:val="center"/>
            <w:hideMark/>
          </w:tcPr>
          <w:p w14:paraId="6B5F7CD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46</w:t>
            </w:r>
          </w:p>
        </w:tc>
        <w:tc>
          <w:tcPr>
            <w:tcW w:w="0" w:type="auto"/>
            <w:tcMar>
              <w:top w:w="150" w:type="dxa"/>
              <w:left w:w="240" w:type="dxa"/>
              <w:bottom w:w="150" w:type="dxa"/>
              <w:right w:w="240" w:type="dxa"/>
            </w:tcMar>
            <w:vAlign w:val="center"/>
            <w:hideMark/>
          </w:tcPr>
          <w:p w14:paraId="49447D8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390537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bl>
    <w:p w14:paraId="35271F34"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i/>
          <w:iCs/>
          <w:color w:val="0F1115"/>
          <w:kern w:val="0"/>
          <w14:ligatures w14:val="none"/>
        </w:rPr>
        <w:t>Note: OR = unadjusted odds ratio for ever-pregnancy or contraceptive knowledge as indicated in text; CI = confidence interval.</w:t>
      </w:r>
    </w:p>
    <w:p w14:paraId="38E4EE40"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3.2. Knowledge and Attitudes Toward Sexual and Reproductive Health</w:t>
      </w:r>
    </w:p>
    <w:p w14:paraId="4194D75B"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Table 2 summarizes knowledge and attitude variables. While 73% of adolescents reported having received some form of sex education (at school, church, or community), only 18% could correctly name at least one modern contraceptive method (condoms, pills, injectables, implants). This knowledge gap was most pronounced among unschooled adolescents (0% knew any method). The association between sex education receipt and contraceptive knowledge was strong (OR=3.3, 95% CI: 1.9–5.7, p&lt;0.001).</w:t>
      </w:r>
    </w:p>
    <w:p w14:paraId="06168A31"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Regarding attitudes toward non-marital pregnancy, 44% found it unacceptable, 28% acceptable, and 28% were indifferent. Stigmatization was perceived as a reality by 22% of adolescents, while 41% were uncertain whether they would face stigma if pregnant. Parental communication about sexuality was reported by 64% of adolescents, which was significantly associated with better knowledge of sexual risks (OR=2.1, 95% CI: 1.3–3.4, p&lt;0.001).</w:t>
      </w:r>
    </w:p>
    <w:p w14:paraId="29C01BE5"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Table 2. Knowledge and Attitudes Regarding Sexual and Reproductive Health (N=151)</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70"/>
        <w:gridCol w:w="1678"/>
        <w:gridCol w:w="810"/>
        <w:gridCol w:w="700"/>
        <w:gridCol w:w="1764"/>
        <w:gridCol w:w="1638"/>
      </w:tblGrid>
      <w:tr w:rsidR="00BD73B7" w:rsidRPr="000C5059" w14:paraId="7F4160D4" w14:textId="77777777" w:rsidTr="000C505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9FAEC7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A4E8DF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2A9E6F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B0DA90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61B618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378E04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Odds Ratio (95% CI)</w:t>
            </w:r>
          </w:p>
        </w:tc>
      </w:tr>
      <w:tr w:rsidR="00BD73B7" w:rsidRPr="000C5059" w14:paraId="424560F5" w14:textId="77777777" w:rsidTr="000C5059">
        <w:tc>
          <w:tcPr>
            <w:tcW w:w="0" w:type="auto"/>
            <w:tcBorders>
              <w:top w:val="single" w:sz="4" w:space="0" w:color="auto"/>
            </w:tcBorders>
            <w:tcMar>
              <w:top w:w="150" w:type="dxa"/>
              <w:left w:w="0" w:type="dxa"/>
              <w:bottom w:w="150" w:type="dxa"/>
              <w:right w:w="240" w:type="dxa"/>
            </w:tcMar>
            <w:vAlign w:val="center"/>
            <w:hideMark/>
          </w:tcPr>
          <w:p w14:paraId="0A2C9F1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Received sex education</w:t>
            </w:r>
          </w:p>
        </w:tc>
        <w:tc>
          <w:tcPr>
            <w:tcW w:w="0" w:type="auto"/>
            <w:tcBorders>
              <w:top w:val="single" w:sz="4" w:space="0" w:color="auto"/>
            </w:tcBorders>
            <w:tcMar>
              <w:top w:w="150" w:type="dxa"/>
              <w:left w:w="240" w:type="dxa"/>
              <w:bottom w:w="150" w:type="dxa"/>
              <w:right w:w="240" w:type="dxa"/>
            </w:tcMar>
            <w:vAlign w:val="center"/>
            <w:hideMark/>
          </w:tcPr>
          <w:p w14:paraId="6CDF71B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531992A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110</w:t>
            </w:r>
          </w:p>
        </w:tc>
        <w:tc>
          <w:tcPr>
            <w:tcW w:w="0" w:type="auto"/>
            <w:tcBorders>
              <w:top w:val="single" w:sz="4" w:space="0" w:color="auto"/>
            </w:tcBorders>
            <w:tcMar>
              <w:top w:w="150" w:type="dxa"/>
              <w:left w:w="240" w:type="dxa"/>
              <w:bottom w:w="150" w:type="dxa"/>
              <w:right w:w="240" w:type="dxa"/>
            </w:tcMar>
            <w:vAlign w:val="center"/>
            <w:hideMark/>
          </w:tcPr>
          <w:p w14:paraId="171CEEF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73</w:t>
            </w:r>
          </w:p>
        </w:tc>
        <w:tc>
          <w:tcPr>
            <w:tcW w:w="0" w:type="auto"/>
            <w:tcBorders>
              <w:top w:val="single" w:sz="4" w:space="0" w:color="auto"/>
            </w:tcBorders>
            <w:tcMar>
              <w:top w:w="150" w:type="dxa"/>
              <w:left w:w="240" w:type="dxa"/>
              <w:bottom w:w="150" w:type="dxa"/>
              <w:right w:w="240" w:type="dxa"/>
            </w:tcMar>
            <w:vAlign w:val="center"/>
            <w:hideMark/>
          </w:tcPr>
          <w:p w14:paraId="4C080D5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25.6 (p&lt;0.001)</w:t>
            </w:r>
          </w:p>
        </w:tc>
        <w:tc>
          <w:tcPr>
            <w:tcW w:w="0" w:type="auto"/>
            <w:tcBorders>
              <w:top w:val="single" w:sz="4" w:space="0" w:color="auto"/>
            </w:tcBorders>
            <w:tcMar>
              <w:top w:w="150" w:type="dxa"/>
              <w:left w:w="240" w:type="dxa"/>
              <w:bottom w:w="150" w:type="dxa"/>
              <w:right w:w="0" w:type="dxa"/>
            </w:tcMar>
            <w:vAlign w:val="center"/>
            <w:hideMark/>
          </w:tcPr>
          <w:p w14:paraId="6BF572E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3.3 (1.9–5.7)</w:t>
            </w:r>
          </w:p>
        </w:tc>
      </w:tr>
      <w:tr w:rsidR="00BD73B7" w:rsidRPr="000C5059" w14:paraId="47146981" w14:textId="77777777" w:rsidTr="000C5059">
        <w:tc>
          <w:tcPr>
            <w:tcW w:w="0" w:type="auto"/>
            <w:tcMar>
              <w:top w:w="150" w:type="dxa"/>
              <w:left w:w="0" w:type="dxa"/>
              <w:bottom w:w="150" w:type="dxa"/>
              <w:right w:w="240" w:type="dxa"/>
            </w:tcMar>
            <w:vAlign w:val="center"/>
            <w:hideMark/>
          </w:tcPr>
          <w:p w14:paraId="7AA55F7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54BFE2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3F61A7D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41</w:t>
            </w:r>
          </w:p>
        </w:tc>
        <w:tc>
          <w:tcPr>
            <w:tcW w:w="0" w:type="auto"/>
            <w:tcMar>
              <w:top w:w="150" w:type="dxa"/>
              <w:left w:w="240" w:type="dxa"/>
              <w:bottom w:w="150" w:type="dxa"/>
              <w:right w:w="240" w:type="dxa"/>
            </w:tcMar>
            <w:vAlign w:val="center"/>
            <w:hideMark/>
          </w:tcPr>
          <w:p w14:paraId="207080C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240" w:type="dxa"/>
            </w:tcMar>
            <w:vAlign w:val="center"/>
            <w:hideMark/>
          </w:tcPr>
          <w:p w14:paraId="1709297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55876AA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6FC777CF" w14:textId="77777777" w:rsidTr="000C5059">
        <w:tc>
          <w:tcPr>
            <w:tcW w:w="0" w:type="auto"/>
            <w:tcMar>
              <w:top w:w="150" w:type="dxa"/>
              <w:left w:w="0" w:type="dxa"/>
              <w:bottom w:w="150" w:type="dxa"/>
              <w:right w:w="240" w:type="dxa"/>
            </w:tcMar>
            <w:vAlign w:val="center"/>
            <w:hideMark/>
          </w:tcPr>
          <w:p w14:paraId="752060F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Knows contraceptive methods</w:t>
            </w:r>
          </w:p>
        </w:tc>
        <w:tc>
          <w:tcPr>
            <w:tcW w:w="0" w:type="auto"/>
            <w:tcMar>
              <w:top w:w="150" w:type="dxa"/>
              <w:left w:w="240" w:type="dxa"/>
              <w:bottom w:w="150" w:type="dxa"/>
              <w:right w:w="240" w:type="dxa"/>
            </w:tcMar>
            <w:vAlign w:val="center"/>
            <w:hideMark/>
          </w:tcPr>
          <w:p w14:paraId="7634BB2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5FFD5FE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240" w:type="dxa"/>
            </w:tcMar>
            <w:vAlign w:val="center"/>
            <w:hideMark/>
          </w:tcPr>
          <w:p w14:paraId="1655D1F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240" w:type="dxa"/>
            </w:tcMar>
            <w:vAlign w:val="center"/>
            <w:hideMark/>
          </w:tcPr>
          <w:p w14:paraId="756442B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64.0 (p&lt;0.001)</w:t>
            </w:r>
          </w:p>
        </w:tc>
        <w:tc>
          <w:tcPr>
            <w:tcW w:w="0" w:type="auto"/>
            <w:tcMar>
              <w:top w:w="150" w:type="dxa"/>
              <w:left w:w="240" w:type="dxa"/>
              <w:bottom w:w="150" w:type="dxa"/>
              <w:right w:w="0" w:type="dxa"/>
            </w:tcMar>
            <w:vAlign w:val="center"/>
            <w:hideMark/>
          </w:tcPr>
          <w:p w14:paraId="22609F2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0.1 (0.0–0.2)</w:t>
            </w:r>
          </w:p>
        </w:tc>
      </w:tr>
      <w:tr w:rsidR="00BD73B7" w:rsidRPr="000C5059" w14:paraId="53D2810B" w14:textId="77777777" w:rsidTr="000C5059">
        <w:tc>
          <w:tcPr>
            <w:tcW w:w="0" w:type="auto"/>
            <w:tcMar>
              <w:top w:w="150" w:type="dxa"/>
              <w:left w:w="0" w:type="dxa"/>
              <w:bottom w:w="150" w:type="dxa"/>
              <w:right w:w="240" w:type="dxa"/>
            </w:tcMar>
            <w:vAlign w:val="center"/>
            <w:hideMark/>
          </w:tcPr>
          <w:p w14:paraId="524C20B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D8F97C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18BF30F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124</w:t>
            </w:r>
          </w:p>
        </w:tc>
        <w:tc>
          <w:tcPr>
            <w:tcW w:w="0" w:type="auto"/>
            <w:tcMar>
              <w:top w:w="150" w:type="dxa"/>
              <w:left w:w="240" w:type="dxa"/>
              <w:bottom w:w="150" w:type="dxa"/>
              <w:right w:w="240" w:type="dxa"/>
            </w:tcMar>
            <w:vAlign w:val="center"/>
            <w:hideMark/>
          </w:tcPr>
          <w:p w14:paraId="79C76FD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82</w:t>
            </w:r>
          </w:p>
        </w:tc>
        <w:tc>
          <w:tcPr>
            <w:tcW w:w="0" w:type="auto"/>
            <w:tcMar>
              <w:top w:w="150" w:type="dxa"/>
              <w:left w:w="240" w:type="dxa"/>
              <w:bottom w:w="150" w:type="dxa"/>
              <w:right w:w="240" w:type="dxa"/>
            </w:tcMar>
            <w:vAlign w:val="center"/>
            <w:hideMark/>
          </w:tcPr>
          <w:p w14:paraId="731A76B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5948AAE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79634882" w14:textId="77777777" w:rsidTr="000C5059">
        <w:tc>
          <w:tcPr>
            <w:tcW w:w="0" w:type="auto"/>
            <w:tcMar>
              <w:top w:w="150" w:type="dxa"/>
              <w:left w:w="0" w:type="dxa"/>
              <w:bottom w:w="150" w:type="dxa"/>
              <w:right w:w="240" w:type="dxa"/>
            </w:tcMar>
            <w:vAlign w:val="center"/>
            <w:hideMark/>
          </w:tcPr>
          <w:p w14:paraId="4DAD644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Perception of non-marital pregnancy</w:t>
            </w:r>
          </w:p>
        </w:tc>
        <w:tc>
          <w:tcPr>
            <w:tcW w:w="0" w:type="auto"/>
            <w:tcMar>
              <w:top w:w="150" w:type="dxa"/>
              <w:left w:w="240" w:type="dxa"/>
              <w:bottom w:w="150" w:type="dxa"/>
              <w:right w:w="240" w:type="dxa"/>
            </w:tcMar>
            <w:vAlign w:val="center"/>
            <w:hideMark/>
          </w:tcPr>
          <w:p w14:paraId="0FEBE29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Acceptable</w:t>
            </w:r>
          </w:p>
        </w:tc>
        <w:tc>
          <w:tcPr>
            <w:tcW w:w="0" w:type="auto"/>
            <w:tcMar>
              <w:top w:w="150" w:type="dxa"/>
              <w:left w:w="240" w:type="dxa"/>
              <w:bottom w:w="150" w:type="dxa"/>
              <w:right w:w="240" w:type="dxa"/>
            </w:tcMar>
            <w:vAlign w:val="center"/>
            <w:hideMark/>
          </w:tcPr>
          <w:p w14:paraId="6761621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42</w:t>
            </w:r>
          </w:p>
        </w:tc>
        <w:tc>
          <w:tcPr>
            <w:tcW w:w="0" w:type="auto"/>
            <w:tcMar>
              <w:top w:w="150" w:type="dxa"/>
              <w:left w:w="240" w:type="dxa"/>
              <w:bottom w:w="150" w:type="dxa"/>
              <w:right w:w="240" w:type="dxa"/>
            </w:tcMar>
            <w:vAlign w:val="center"/>
            <w:hideMark/>
          </w:tcPr>
          <w:p w14:paraId="1DFC3FD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28</w:t>
            </w:r>
          </w:p>
        </w:tc>
        <w:tc>
          <w:tcPr>
            <w:tcW w:w="0" w:type="auto"/>
            <w:tcMar>
              <w:top w:w="150" w:type="dxa"/>
              <w:left w:w="240" w:type="dxa"/>
              <w:bottom w:w="150" w:type="dxa"/>
              <w:right w:w="240" w:type="dxa"/>
            </w:tcMar>
            <w:vAlign w:val="center"/>
            <w:hideMark/>
          </w:tcPr>
          <w:p w14:paraId="712A7CF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3.8 (p=0.15)</w:t>
            </w:r>
          </w:p>
        </w:tc>
        <w:tc>
          <w:tcPr>
            <w:tcW w:w="0" w:type="auto"/>
            <w:tcMar>
              <w:top w:w="150" w:type="dxa"/>
              <w:left w:w="240" w:type="dxa"/>
              <w:bottom w:w="150" w:type="dxa"/>
              <w:right w:w="0" w:type="dxa"/>
            </w:tcMar>
            <w:vAlign w:val="center"/>
            <w:hideMark/>
          </w:tcPr>
          <w:p w14:paraId="0607EED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1.2 (0.7–2.0)</w:t>
            </w:r>
          </w:p>
        </w:tc>
      </w:tr>
      <w:tr w:rsidR="00BD73B7" w:rsidRPr="000C5059" w14:paraId="03F7D602" w14:textId="77777777" w:rsidTr="000C5059">
        <w:tc>
          <w:tcPr>
            <w:tcW w:w="0" w:type="auto"/>
            <w:tcMar>
              <w:top w:w="150" w:type="dxa"/>
              <w:left w:w="0" w:type="dxa"/>
              <w:bottom w:w="150" w:type="dxa"/>
              <w:right w:w="240" w:type="dxa"/>
            </w:tcMar>
            <w:vAlign w:val="center"/>
            <w:hideMark/>
          </w:tcPr>
          <w:p w14:paraId="70E1943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8FFFEE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Unacceptable</w:t>
            </w:r>
          </w:p>
        </w:tc>
        <w:tc>
          <w:tcPr>
            <w:tcW w:w="0" w:type="auto"/>
            <w:tcMar>
              <w:top w:w="150" w:type="dxa"/>
              <w:left w:w="240" w:type="dxa"/>
              <w:bottom w:w="150" w:type="dxa"/>
              <w:right w:w="240" w:type="dxa"/>
            </w:tcMar>
            <w:vAlign w:val="center"/>
            <w:hideMark/>
          </w:tcPr>
          <w:p w14:paraId="2FE21C8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66</w:t>
            </w:r>
          </w:p>
        </w:tc>
        <w:tc>
          <w:tcPr>
            <w:tcW w:w="0" w:type="auto"/>
            <w:tcMar>
              <w:top w:w="150" w:type="dxa"/>
              <w:left w:w="240" w:type="dxa"/>
              <w:bottom w:w="150" w:type="dxa"/>
              <w:right w:w="240" w:type="dxa"/>
            </w:tcMar>
            <w:vAlign w:val="center"/>
            <w:hideMark/>
          </w:tcPr>
          <w:p w14:paraId="106CA37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44</w:t>
            </w:r>
          </w:p>
        </w:tc>
        <w:tc>
          <w:tcPr>
            <w:tcW w:w="0" w:type="auto"/>
            <w:tcMar>
              <w:top w:w="150" w:type="dxa"/>
              <w:left w:w="240" w:type="dxa"/>
              <w:bottom w:w="150" w:type="dxa"/>
              <w:right w:w="240" w:type="dxa"/>
            </w:tcMar>
            <w:vAlign w:val="center"/>
            <w:hideMark/>
          </w:tcPr>
          <w:p w14:paraId="32C79F7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2F3E4C0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29CFF3B4" w14:textId="77777777" w:rsidTr="000C5059">
        <w:tc>
          <w:tcPr>
            <w:tcW w:w="0" w:type="auto"/>
            <w:tcMar>
              <w:top w:w="150" w:type="dxa"/>
              <w:left w:w="0" w:type="dxa"/>
              <w:bottom w:w="150" w:type="dxa"/>
              <w:right w:w="240" w:type="dxa"/>
            </w:tcMar>
            <w:vAlign w:val="center"/>
            <w:hideMark/>
          </w:tcPr>
          <w:p w14:paraId="55D9AAF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A7FE3C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Indifferent</w:t>
            </w:r>
          </w:p>
        </w:tc>
        <w:tc>
          <w:tcPr>
            <w:tcW w:w="0" w:type="auto"/>
            <w:tcMar>
              <w:top w:w="150" w:type="dxa"/>
              <w:left w:w="240" w:type="dxa"/>
              <w:bottom w:w="150" w:type="dxa"/>
              <w:right w:w="240" w:type="dxa"/>
            </w:tcMar>
            <w:vAlign w:val="center"/>
            <w:hideMark/>
          </w:tcPr>
          <w:p w14:paraId="3752F9C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43</w:t>
            </w:r>
          </w:p>
        </w:tc>
        <w:tc>
          <w:tcPr>
            <w:tcW w:w="0" w:type="auto"/>
            <w:tcMar>
              <w:top w:w="150" w:type="dxa"/>
              <w:left w:w="240" w:type="dxa"/>
              <w:bottom w:w="150" w:type="dxa"/>
              <w:right w:w="240" w:type="dxa"/>
            </w:tcMar>
            <w:vAlign w:val="center"/>
            <w:hideMark/>
          </w:tcPr>
          <w:p w14:paraId="05460E8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28</w:t>
            </w:r>
          </w:p>
        </w:tc>
        <w:tc>
          <w:tcPr>
            <w:tcW w:w="0" w:type="auto"/>
            <w:tcMar>
              <w:top w:w="150" w:type="dxa"/>
              <w:left w:w="240" w:type="dxa"/>
              <w:bottom w:w="150" w:type="dxa"/>
              <w:right w:w="240" w:type="dxa"/>
            </w:tcMar>
            <w:vAlign w:val="center"/>
            <w:hideMark/>
          </w:tcPr>
          <w:p w14:paraId="6BA74D5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C4E103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051E483E" w14:textId="77777777" w:rsidTr="000C5059">
        <w:tc>
          <w:tcPr>
            <w:tcW w:w="0" w:type="auto"/>
            <w:tcMar>
              <w:top w:w="150" w:type="dxa"/>
              <w:left w:w="0" w:type="dxa"/>
              <w:bottom w:w="150" w:type="dxa"/>
              <w:right w:w="240" w:type="dxa"/>
            </w:tcMar>
            <w:vAlign w:val="center"/>
            <w:hideMark/>
          </w:tcPr>
          <w:p w14:paraId="29C51A4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Perceived stigmatization</w:t>
            </w:r>
          </w:p>
        </w:tc>
        <w:tc>
          <w:tcPr>
            <w:tcW w:w="0" w:type="auto"/>
            <w:tcMar>
              <w:top w:w="150" w:type="dxa"/>
              <w:left w:w="240" w:type="dxa"/>
              <w:bottom w:w="150" w:type="dxa"/>
              <w:right w:w="240" w:type="dxa"/>
            </w:tcMar>
            <w:vAlign w:val="center"/>
            <w:hideMark/>
          </w:tcPr>
          <w:p w14:paraId="098EFAF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4D3F1E1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240" w:type="dxa"/>
            </w:tcMar>
            <w:vAlign w:val="center"/>
            <w:hideMark/>
          </w:tcPr>
          <w:p w14:paraId="097226F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22</w:t>
            </w:r>
          </w:p>
        </w:tc>
        <w:tc>
          <w:tcPr>
            <w:tcW w:w="0" w:type="auto"/>
            <w:tcMar>
              <w:top w:w="150" w:type="dxa"/>
              <w:left w:w="240" w:type="dxa"/>
              <w:bottom w:w="150" w:type="dxa"/>
              <w:right w:w="240" w:type="dxa"/>
            </w:tcMar>
            <w:vAlign w:val="center"/>
            <w:hideMark/>
          </w:tcPr>
          <w:p w14:paraId="7B4D4D3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6.4 (p=0.04)</w:t>
            </w:r>
          </w:p>
        </w:tc>
        <w:tc>
          <w:tcPr>
            <w:tcW w:w="0" w:type="auto"/>
            <w:tcMar>
              <w:top w:w="150" w:type="dxa"/>
              <w:left w:w="240" w:type="dxa"/>
              <w:bottom w:w="150" w:type="dxa"/>
              <w:right w:w="0" w:type="dxa"/>
            </w:tcMar>
            <w:vAlign w:val="center"/>
            <w:hideMark/>
          </w:tcPr>
          <w:p w14:paraId="5F98D48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0.5 (0.3–0.9)</w:t>
            </w:r>
          </w:p>
        </w:tc>
      </w:tr>
      <w:tr w:rsidR="00BD73B7" w:rsidRPr="000C5059" w14:paraId="0769B4B8" w14:textId="77777777" w:rsidTr="000C5059">
        <w:tc>
          <w:tcPr>
            <w:tcW w:w="0" w:type="auto"/>
            <w:tcMar>
              <w:top w:w="150" w:type="dxa"/>
              <w:left w:w="0" w:type="dxa"/>
              <w:bottom w:w="150" w:type="dxa"/>
              <w:right w:w="240" w:type="dxa"/>
            </w:tcMar>
            <w:vAlign w:val="center"/>
            <w:hideMark/>
          </w:tcPr>
          <w:p w14:paraId="75C6160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B485B3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31E0483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56</w:t>
            </w:r>
          </w:p>
        </w:tc>
        <w:tc>
          <w:tcPr>
            <w:tcW w:w="0" w:type="auto"/>
            <w:tcMar>
              <w:top w:w="150" w:type="dxa"/>
              <w:left w:w="240" w:type="dxa"/>
              <w:bottom w:w="150" w:type="dxa"/>
              <w:right w:w="240" w:type="dxa"/>
            </w:tcMar>
            <w:vAlign w:val="center"/>
            <w:hideMark/>
          </w:tcPr>
          <w:p w14:paraId="04401E4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37</w:t>
            </w:r>
          </w:p>
        </w:tc>
        <w:tc>
          <w:tcPr>
            <w:tcW w:w="0" w:type="auto"/>
            <w:tcMar>
              <w:top w:w="150" w:type="dxa"/>
              <w:left w:w="240" w:type="dxa"/>
              <w:bottom w:w="150" w:type="dxa"/>
              <w:right w:w="240" w:type="dxa"/>
            </w:tcMar>
            <w:vAlign w:val="center"/>
            <w:hideMark/>
          </w:tcPr>
          <w:p w14:paraId="2AD68CF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3EBC82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4FFCE893" w14:textId="77777777" w:rsidTr="000C5059">
        <w:tc>
          <w:tcPr>
            <w:tcW w:w="0" w:type="auto"/>
            <w:tcMar>
              <w:top w:w="150" w:type="dxa"/>
              <w:left w:w="0" w:type="dxa"/>
              <w:bottom w:w="150" w:type="dxa"/>
              <w:right w:w="240" w:type="dxa"/>
            </w:tcMar>
            <w:vAlign w:val="center"/>
            <w:hideMark/>
          </w:tcPr>
          <w:p w14:paraId="7D46ADB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B8237A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Don't know</w:t>
            </w:r>
          </w:p>
        </w:tc>
        <w:tc>
          <w:tcPr>
            <w:tcW w:w="0" w:type="auto"/>
            <w:tcMar>
              <w:top w:w="150" w:type="dxa"/>
              <w:left w:w="240" w:type="dxa"/>
              <w:bottom w:w="150" w:type="dxa"/>
              <w:right w:w="240" w:type="dxa"/>
            </w:tcMar>
            <w:vAlign w:val="center"/>
            <w:hideMark/>
          </w:tcPr>
          <w:p w14:paraId="6D9D6E6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62</w:t>
            </w:r>
          </w:p>
        </w:tc>
        <w:tc>
          <w:tcPr>
            <w:tcW w:w="0" w:type="auto"/>
            <w:tcMar>
              <w:top w:w="150" w:type="dxa"/>
              <w:left w:w="240" w:type="dxa"/>
              <w:bottom w:w="150" w:type="dxa"/>
              <w:right w:w="240" w:type="dxa"/>
            </w:tcMar>
            <w:vAlign w:val="center"/>
            <w:hideMark/>
          </w:tcPr>
          <w:p w14:paraId="4BA1983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41</w:t>
            </w:r>
          </w:p>
        </w:tc>
        <w:tc>
          <w:tcPr>
            <w:tcW w:w="0" w:type="auto"/>
            <w:tcMar>
              <w:top w:w="150" w:type="dxa"/>
              <w:left w:w="240" w:type="dxa"/>
              <w:bottom w:w="150" w:type="dxa"/>
              <w:right w:w="240" w:type="dxa"/>
            </w:tcMar>
            <w:vAlign w:val="center"/>
            <w:hideMark/>
          </w:tcPr>
          <w:p w14:paraId="11589F2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FDDEDE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71179545" w14:textId="77777777" w:rsidTr="000C5059">
        <w:tc>
          <w:tcPr>
            <w:tcW w:w="0" w:type="auto"/>
            <w:tcMar>
              <w:top w:w="150" w:type="dxa"/>
              <w:left w:w="0" w:type="dxa"/>
              <w:bottom w:w="150" w:type="dxa"/>
              <w:right w:w="240" w:type="dxa"/>
            </w:tcMar>
            <w:vAlign w:val="center"/>
            <w:hideMark/>
          </w:tcPr>
          <w:p w14:paraId="34731C9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Regular parental discussion on sexuality</w:t>
            </w:r>
          </w:p>
        </w:tc>
        <w:tc>
          <w:tcPr>
            <w:tcW w:w="0" w:type="auto"/>
            <w:tcMar>
              <w:top w:w="150" w:type="dxa"/>
              <w:left w:w="240" w:type="dxa"/>
              <w:bottom w:w="150" w:type="dxa"/>
              <w:right w:w="240" w:type="dxa"/>
            </w:tcMar>
            <w:vAlign w:val="center"/>
            <w:hideMark/>
          </w:tcPr>
          <w:p w14:paraId="3F1C370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3878CD0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97</w:t>
            </w:r>
          </w:p>
        </w:tc>
        <w:tc>
          <w:tcPr>
            <w:tcW w:w="0" w:type="auto"/>
            <w:tcMar>
              <w:top w:w="150" w:type="dxa"/>
              <w:left w:w="240" w:type="dxa"/>
              <w:bottom w:w="150" w:type="dxa"/>
              <w:right w:w="240" w:type="dxa"/>
            </w:tcMar>
            <w:vAlign w:val="center"/>
            <w:hideMark/>
          </w:tcPr>
          <w:p w14:paraId="0D5E878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64</w:t>
            </w:r>
          </w:p>
        </w:tc>
        <w:tc>
          <w:tcPr>
            <w:tcW w:w="0" w:type="auto"/>
            <w:tcMar>
              <w:top w:w="150" w:type="dxa"/>
              <w:left w:w="240" w:type="dxa"/>
              <w:bottom w:w="150" w:type="dxa"/>
              <w:right w:w="240" w:type="dxa"/>
            </w:tcMar>
            <w:vAlign w:val="center"/>
            <w:hideMark/>
          </w:tcPr>
          <w:p w14:paraId="7E82BEF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16.3 (p&lt;0.001)</w:t>
            </w:r>
          </w:p>
        </w:tc>
        <w:tc>
          <w:tcPr>
            <w:tcW w:w="0" w:type="auto"/>
            <w:tcMar>
              <w:top w:w="150" w:type="dxa"/>
              <w:left w:w="240" w:type="dxa"/>
              <w:bottom w:w="150" w:type="dxa"/>
              <w:right w:w="0" w:type="dxa"/>
            </w:tcMar>
            <w:vAlign w:val="center"/>
            <w:hideMark/>
          </w:tcPr>
          <w:p w14:paraId="78E4803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2.1 (1.3–3.4)</w:t>
            </w:r>
          </w:p>
        </w:tc>
      </w:tr>
      <w:tr w:rsidR="00BD73B7" w:rsidRPr="000C5059" w14:paraId="2D65E533" w14:textId="77777777" w:rsidTr="000C5059">
        <w:tc>
          <w:tcPr>
            <w:tcW w:w="0" w:type="auto"/>
            <w:tcMar>
              <w:top w:w="150" w:type="dxa"/>
              <w:left w:w="0" w:type="dxa"/>
              <w:bottom w:w="150" w:type="dxa"/>
              <w:right w:w="240" w:type="dxa"/>
            </w:tcMar>
            <w:vAlign w:val="center"/>
            <w:hideMark/>
          </w:tcPr>
          <w:p w14:paraId="30C6696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6C79A6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727BE59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54</w:t>
            </w:r>
          </w:p>
        </w:tc>
        <w:tc>
          <w:tcPr>
            <w:tcW w:w="0" w:type="auto"/>
            <w:tcMar>
              <w:top w:w="150" w:type="dxa"/>
              <w:left w:w="240" w:type="dxa"/>
              <w:bottom w:w="150" w:type="dxa"/>
              <w:right w:w="240" w:type="dxa"/>
            </w:tcMar>
            <w:vAlign w:val="center"/>
            <w:hideMark/>
          </w:tcPr>
          <w:p w14:paraId="1622DEB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36</w:t>
            </w:r>
          </w:p>
        </w:tc>
        <w:tc>
          <w:tcPr>
            <w:tcW w:w="0" w:type="auto"/>
            <w:tcMar>
              <w:top w:w="150" w:type="dxa"/>
              <w:left w:w="240" w:type="dxa"/>
              <w:bottom w:w="150" w:type="dxa"/>
              <w:right w:w="240" w:type="dxa"/>
            </w:tcMar>
            <w:vAlign w:val="center"/>
            <w:hideMark/>
          </w:tcPr>
          <w:p w14:paraId="52C5FF3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0DDF0A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bl>
    <w:p w14:paraId="3916A7A6"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3.3. Sexual Practices and Contraceptive Use</w:t>
      </w:r>
    </w:p>
    <w:p w14:paraId="352A6824"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Table 3 presents data on sexual behavior and contraceptive practices. A striking 82% of adolescents reported having ever had sexual intercourse. Among these, the median age at first intercourse was 14 years (IQR: 13–16). Despite high sexual activity, only 23% reported ever using any modern contraceptive method. Condoms were the </w:t>
      </w:r>
      <w:proofErr w:type="gramStart"/>
      <w:r w:rsidRPr="00BD73B7">
        <w:rPr>
          <w:rFonts w:ascii="Times New Roman" w:eastAsia="Times New Roman" w:hAnsi="Times New Roman" w:cs="Times New Roman"/>
          <w:color w:val="0F1115"/>
          <w:kern w:val="0"/>
          <w14:ligatures w14:val="none"/>
        </w:rPr>
        <w:t>most commonly used</w:t>
      </w:r>
      <w:proofErr w:type="gramEnd"/>
      <w:r w:rsidRPr="00BD73B7">
        <w:rPr>
          <w:rFonts w:ascii="Times New Roman" w:eastAsia="Times New Roman" w:hAnsi="Times New Roman" w:cs="Times New Roman"/>
          <w:color w:val="0F1115"/>
          <w:kern w:val="0"/>
          <w14:ligatures w14:val="none"/>
        </w:rPr>
        <w:t xml:space="preserve"> method (67% of contraceptive users), followed by oral pills (21%) and injectables (12%). No adolescent reported using long-acting reversible contraceptives (implants or IUDs).</w:t>
      </w:r>
    </w:p>
    <w:p w14:paraId="36EA08F1"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lastRenderedPageBreak/>
        <w:t>Sexually active adolescents had significantly higher odds of experiencing a non-marital pregnancy compared to abstinent peers (OR=12.3, 95% CI: 5.6–27.0, p&lt;0.001). Non-use of contraception was the strongest modifiable risk factor (OR=0.2, 95% CI: 0.1–0.4, p&lt;0.001).</w:t>
      </w:r>
    </w:p>
    <w:p w14:paraId="4B65D38D"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Table 3. Sexual Practices and Contraceptive Use (N=151)</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843"/>
        <w:gridCol w:w="1287"/>
        <w:gridCol w:w="810"/>
        <w:gridCol w:w="700"/>
        <w:gridCol w:w="1883"/>
        <w:gridCol w:w="1837"/>
      </w:tblGrid>
      <w:tr w:rsidR="00BD73B7" w:rsidRPr="000C5059" w14:paraId="5B8EA2C2" w14:textId="77777777" w:rsidTr="000C505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C71A57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E46BA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C03388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29BFF0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593E95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66C809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Odds Ratio (95% CI)</w:t>
            </w:r>
          </w:p>
        </w:tc>
      </w:tr>
      <w:tr w:rsidR="00BD73B7" w:rsidRPr="000C5059" w14:paraId="324DA666" w14:textId="77777777" w:rsidTr="000C5059">
        <w:tc>
          <w:tcPr>
            <w:tcW w:w="0" w:type="auto"/>
            <w:tcBorders>
              <w:top w:val="single" w:sz="4" w:space="0" w:color="auto"/>
            </w:tcBorders>
            <w:tcMar>
              <w:top w:w="150" w:type="dxa"/>
              <w:left w:w="0" w:type="dxa"/>
              <w:bottom w:w="150" w:type="dxa"/>
              <w:right w:w="240" w:type="dxa"/>
            </w:tcMar>
            <w:vAlign w:val="center"/>
            <w:hideMark/>
          </w:tcPr>
          <w:p w14:paraId="0A06CE4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Ever had sexual intercourse</w:t>
            </w:r>
          </w:p>
        </w:tc>
        <w:tc>
          <w:tcPr>
            <w:tcW w:w="0" w:type="auto"/>
            <w:tcBorders>
              <w:top w:val="single" w:sz="4" w:space="0" w:color="auto"/>
            </w:tcBorders>
            <w:tcMar>
              <w:top w:w="150" w:type="dxa"/>
              <w:left w:w="240" w:type="dxa"/>
              <w:bottom w:w="150" w:type="dxa"/>
              <w:right w:w="240" w:type="dxa"/>
            </w:tcMar>
            <w:vAlign w:val="center"/>
            <w:hideMark/>
          </w:tcPr>
          <w:p w14:paraId="4223956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6A26E7E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124</w:t>
            </w:r>
          </w:p>
        </w:tc>
        <w:tc>
          <w:tcPr>
            <w:tcW w:w="0" w:type="auto"/>
            <w:tcBorders>
              <w:top w:val="single" w:sz="4" w:space="0" w:color="auto"/>
            </w:tcBorders>
            <w:tcMar>
              <w:top w:w="150" w:type="dxa"/>
              <w:left w:w="240" w:type="dxa"/>
              <w:bottom w:w="150" w:type="dxa"/>
              <w:right w:w="240" w:type="dxa"/>
            </w:tcMar>
            <w:vAlign w:val="center"/>
            <w:hideMark/>
          </w:tcPr>
          <w:p w14:paraId="719A98A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82</w:t>
            </w:r>
          </w:p>
        </w:tc>
        <w:tc>
          <w:tcPr>
            <w:tcW w:w="0" w:type="auto"/>
            <w:tcBorders>
              <w:top w:val="single" w:sz="4" w:space="0" w:color="auto"/>
            </w:tcBorders>
            <w:tcMar>
              <w:top w:w="150" w:type="dxa"/>
              <w:left w:w="240" w:type="dxa"/>
              <w:bottom w:w="150" w:type="dxa"/>
              <w:right w:w="240" w:type="dxa"/>
            </w:tcMar>
            <w:vAlign w:val="center"/>
            <w:hideMark/>
          </w:tcPr>
          <w:p w14:paraId="52DFFAF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64.0 (p&lt;0.001)</w:t>
            </w:r>
          </w:p>
        </w:tc>
        <w:tc>
          <w:tcPr>
            <w:tcW w:w="0" w:type="auto"/>
            <w:tcBorders>
              <w:top w:val="single" w:sz="4" w:space="0" w:color="auto"/>
            </w:tcBorders>
            <w:tcMar>
              <w:top w:w="150" w:type="dxa"/>
              <w:left w:w="240" w:type="dxa"/>
              <w:bottom w:w="150" w:type="dxa"/>
              <w:right w:w="0" w:type="dxa"/>
            </w:tcMar>
            <w:vAlign w:val="center"/>
            <w:hideMark/>
          </w:tcPr>
          <w:p w14:paraId="75AABE2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12.3 (5.6–27.0)</w:t>
            </w:r>
          </w:p>
        </w:tc>
      </w:tr>
      <w:tr w:rsidR="00BD73B7" w:rsidRPr="000C5059" w14:paraId="61B526A4" w14:textId="77777777" w:rsidTr="000C5059">
        <w:tc>
          <w:tcPr>
            <w:tcW w:w="0" w:type="auto"/>
            <w:tcMar>
              <w:top w:w="150" w:type="dxa"/>
              <w:left w:w="0" w:type="dxa"/>
              <w:bottom w:w="150" w:type="dxa"/>
              <w:right w:w="240" w:type="dxa"/>
            </w:tcMar>
            <w:vAlign w:val="center"/>
            <w:hideMark/>
          </w:tcPr>
          <w:p w14:paraId="67F574C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E8E4C2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440BC3F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240" w:type="dxa"/>
            </w:tcMar>
            <w:vAlign w:val="center"/>
            <w:hideMark/>
          </w:tcPr>
          <w:p w14:paraId="126AA29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240" w:type="dxa"/>
            </w:tcMar>
            <w:vAlign w:val="center"/>
            <w:hideMark/>
          </w:tcPr>
          <w:p w14:paraId="1FED5BD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FE93C2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4C654563" w14:textId="77777777" w:rsidTr="000C5059">
        <w:tc>
          <w:tcPr>
            <w:tcW w:w="0" w:type="auto"/>
            <w:tcMar>
              <w:top w:w="150" w:type="dxa"/>
              <w:left w:w="0" w:type="dxa"/>
              <w:bottom w:w="150" w:type="dxa"/>
              <w:right w:w="240" w:type="dxa"/>
            </w:tcMar>
            <w:vAlign w:val="center"/>
            <w:hideMark/>
          </w:tcPr>
          <w:p w14:paraId="7D983B4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Current/past contraceptive use</w:t>
            </w:r>
          </w:p>
        </w:tc>
        <w:tc>
          <w:tcPr>
            <w:tcW w:w="0" w:type="auto"/>
            <w:tcMar>
              <w:top w:w="150" w:type="dxa"/>
              <w:left w:w="240" w:type="dxa"/>
              <w:bottom w:w="150" w:type="dxa"/>
              <w:right w:w="240" w:type="dxa"/>
            </w:tcMar>
            <w:vAlign w:val="center"/>
            <w:hideMark/>
          </w:tcPr>
          <w:p w14:paraId="542689C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65815F1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34</w:t>
            </w:r>
          </w:p>
        </w:tc>
        <w:tc>
          <w:tcPr>
            <w:tcW w:w="0" w:type="auto"/>
            <w:tcMar>
              <w:top w:w="150" w:type="dxa"/>
              <w:left w:w="240" w:type="dxa"/>
              <w:bottom w:w="150" w:type="dxa"/>
              <w:right w:w="240" w:type="dxa"/>
            </w:tcMar>
            <w:vAlign w:val="center"/>
            <w:hideMark/>
          </w:tcPr>
          <w:p w14:paraId="2F2A5C4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23</w:t>
            </w:r>
          </w:p>
        </w:tc>
        <w:tc>
          <w:tcPr>
            <w:tcW w:w="0" w:type="auto"/>
            <w:tcMar>
              <w:top w:w="150" w:type="dxa"/>
              <w:left w:w="240" w:type="dxa"/>
              <w:bottom w:w="150" w:type="dxa"/>
              <w:right w:w="240" w:type="dxa"/>
            </w:tcMar>
            <w:vAlign w:val="center"/>
            <w:hideMark/>
          </w:tcPr>
          <w:p w14:paraId="07232F5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36.9 (p&lt;0.001)</w:t>
            </w:r>
          </w:p>
        </w:tc>
        <w:tc>
          <w:tcPr>
            <w:tcW w:w="0" w:type="auto"/>
            <w:tcMar>
              <w:top w:w="150" w:type="dxa"/>
              <w:left w:w="240" w:type="dxa"/>
              <w:bottom w:w="150" w:type="dxa"/>
              <w:right w:w="0" w:type="dxa"/>
            </w:tcMar>
            <w:vAlign w:val="center"/>
            <w:hideMark/>
          </w:tcPr>
          <w:p w14:paraId="6BDB053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0.2 (0.1–0.4)</w:t>
            </w:r>
          </w:p>
        </w:tc>
      </w:tr>
      <w:tr w:rsidR="00BD73B7" w:rsidRPr="000C5059" w14:paraId="79EA2B0F" w14:textId="77777777" w:rsidTr="000C5059">
        <w:tc>
          <w:tcPr>
            <w:tcW w:w="0" w:type="auto"/>
            <w:tcMar>
              <w:top w:w="150" w:type="dxa"/>
              <w:left w:w="0" w:type="dxa"/>
              <w:bottom w:w="150" w:type="dxa"/>
              <w:right w:w="240" w:type="dxa"/>
            </w:tcMar>
            <w:vAlign w:val="center"/>
            <w:hideMark/>
          </w:tcPr>
          <w:p w14:paraId="6423B86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9667EF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7C22B0D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117</w:t>
            </w:r>
          </w:p>
        </w:tc>
        <w:tc>
          <w:tcPr>
            <w:tcW w:w="0" w:type="auto"/>
            <w:tcMar>
              <w:top w:w="150" w:type="dxa"/>
              <w:left w:w="240" w:type="dxa"/>
              <w:bottom w:w="150" w:type="dxa"/>
              <w:right w:w="240" w:type="dxa"/>
            </w:tcMar>
            <w:vAlign w:val="center"/>
            <w:hideMark/>
          </w:tcPr>
          <w:p w14:paraId="59E7D8E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77</w:t>
            </w:r>
          </w:p>
        </w:tc>
        <w:tc>
          <w:tcPr>
            <w:tcW w:w="0" w:type="auto"/>
            <w:tcMar>
              <w:top w:w="150" w:type="dxa"/>
              <w:left w:w="240" w:type="dxa"/>
              <w:bottom w:w="150" w:type="dxa"/>
              <w:right w:w="240" w:type="dxa"/>
            </w:tcMar>
            <w:vAlign w:val="center"/>
            <w:hideMark/>
          </w:tcPr>
          <w:p w14:paraId="2E795F8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153763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08E48B4F" w14:textId="77777777" w:rsidTr="000C5059">
        <w:tc>
          <w:tcPr>
            <w:tcW w:w="0" w:type="auto"/>
            <w:tcMar>
              <w:top w:w="150" w:type="dxa"/>
              <w:left w:w="0" w:type="dxa"/>
              <w:bottom w:w="150" w:type="dxa"/>
              <w:right w:w="240" w:type="dxa"/>
            </w:tcMar>
            <w:vAlign w:val="center"/>
            <w:hideMark/>
          </w:tcPr>
          <w:p w14:paraId="2782E8E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Ever been pregnant</w:t>
            </w:r>
          </w:p>
        </w:tc>
        <w:tc>
          <w:tcPr>
            <w:tcW w:w="0" w:type="auto"/>
            <w:tcMar>
              <w:top w:w="150" w:type="dxa"/>
              <w:left w:w="240" w:type="dxa"/>
              <w:bottom w:w="150" w:type="dxa"/>
              <w:right w:w="240" w:type="dxa"/>
            </w:tcMar>
            <w:vAlign w:val="center"/>
            <w:hideMark/>
          </w:tcPr>
          <w:p w14:paraId="642E582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60F9001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62</w:t>
            </w:r>
          </w:p>
        </w:tc>
        <w:tc>
          <w:tcPr>
            <w:tcW w:w="0" w:type="auto"/>
            <w:tcMar>
              <w:top w:w="150" w:type="dxa"/>
              <w:left w:w="240" w:type="dxa"/>
              <w:bottom w:w="150" w:type="dxa"/>
              <w:right w:w="240" w:type="dxa"/>
            </w:tcMar>
            <w:vAlign w:val="center"/>
            <w:hideMark/>
          </w:tcPr>
          <w:p w14:paraId="4B85ABC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41</w:t>
            </w:r>
          </w:p>
        </w:tc>
        <w:tc>
          <w:tcPr>
            <w:tcW w:w="0" w:type="auto"/>
            <w:tcMar>
              <w:top w:w="150" w:type="dxa"/>
              <w:left w:w="240" w:type="dxa"/>
              <w:bottom w:w="150" w:type="dxa"/>
              <w:right w:w="240" w:type="dxa"/>
            </w:tcMar>
            <w:vAlign w:val="center"/>
            <w:hideMark/>
          </w:tcPr>
          <w:p w14:paraId="621CC6D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3.8 (p=0.05)</w:t>
            </w:r>
          </w:p>
        </w:tc>
        <w:tc>
          <w:tcPr>
            <w:tcW w:w="0" w:type="auto"/>
            <w:tcMar>
              <w:top w:w="150" w:type="dxa"/>
              <w:left w:w="240" w:type="dxa"/>
              <w:bottom w:w="150" w:type="dxa"/>
              <w:right w:w="0" w:type="dxa"/>
            </w:tcMar>
            <w:vAlign w:val="center"/>
            <w:hideMark/>
          </w:tcPr>
          <w:p w14:paraId="0504169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1.5 (0.9–2.5)</w:t>
            </w:r>
          </w:p>
        </w:tc>
      </w:tr>
      <w:tr w:rsidR="00BD73B7" w:rsidRPr="000C5059" w14:paraId="3D45850D" w14:textId="77777777" w:rsidTr="000C5059">
        <w:tc>
          <w:tcPr>
            <w:tcW w:w="0" w:type="auto"/>
            <w:tcMar>
              <w:top w:w="150" w:type="dxa"/>
              <w:left w:w="0" w:type="dxa"/>
              <w:bottom w:w="150" w:type="dxa"/>
              <w:right w:w="240" w:type="dxa"/>
            </w:tcMar>
            <w:vAlign w:val="center"/>
            <w:hideMark/>
          </w:tcPr>
          <w:p w14:paraId="42C11C5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569B3E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4327DE3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89</w:t>
            </w:r>
          </w:p>
        </w:tc>
        <w:tc>
          <w:tcPr>
            <w:tcW w:w="0" w:type="auto"/>
            <w:tcMar>
              <w:top w:w="150" w:type="dxa"/>
              <w:left w:w="240" w:type="dxa"/>
              <w:bottom w:w="150" w:type="dxa"/>
              <w:right w:w="240" w:type="dxa"/>
            </w:tcMar>
            <w:vAlign w:val="center"/>
            <w:hideMark/>
          </w:tcPr>
          <w:p w14:paraId="6B84C56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59</w:t>
            </w:r>
          </w:p>
        </w:tc>
        <w:tc>
          <w:tcPr>
            <w:tcW w:w="0" w:type="auto"/>
            <w:tcMar>
              <w:top w:w="150" w:type="dxa"/>
              <w:left w:w="240" w:type="dxa"/>
              <w:bottom w:w="150" w:type="dxa"/>
              <w:right w:w="240" w:type="dxa"/>
            </w:tcMar>
            <w:vAlign w:val="center"/>
            <w:hideMark/>
          </w:tcPr>
          <w:p w14:paraId="5F9545E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7CA767C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58927F63" w14:textId="77777777" w:rsidTr="000C5059">
        <w:tc>
          <w:tcPr>
            <w:tcW w:w="0" w:type="auto"/>
            <w:tcMar>
              <w:top w:w="150" w:type="dxa"/>
              <w:left w:w="0" w:type="dxa"/>
              <w:bottom w:w="150" w:type="dxa"/>
              <w:right w:w="240" w:type="dxa"/>
            </w:tcMar>
            <w:vAlign w:val="center"/>
            <w:hideMark/>
          </w:tcPr>
          <w:p w14:paraId="2F0E274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Remained in school after pregnancy</w:t>
            </w:r>
          </w:p>
        </w:tc>
        <w:tc>
          <w:tcPr>
            <w:tcW w:w="0" w:type="auto"/>
            <w:tcMar>
              <w:top w:w="150" w:type="dxa"/>
              <w:left w:w="240" w:type="dxa"/>
              <w:bottom w:w="150" w:type="dxa"/>
              <w:right w:w="240" w:type="dxa"/>
            </w:tcMar>
            <w:vAlign w:val="center"/>
            <w:hideMark/>
          </w:tcPr>
          <w:p w14:paraId="4D069E2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11EED8B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81</w:t>
            </w:r>
          </w:p>
        </w:tc>
        <w:tc>
          <w:tcPr>
            <w:tcW w:w="0" w:type="auto"/>
            <w:tcMar>
              <w:top w:w="150" w:type="dxa"/>
              <w:left w:w="240" w:type="dxa"/>
              <w:bottom w:w="150" w:type="dxa"/>
              <w:right w:w="240" w:type="dxa"/>
            </w:tcMar>
            <w:vAlign w:val="center"/>
            <w:hideMark/>
          </w:tcPr>
          <w:p w14:paraId="12FD09C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54</w:t>
            </w:r>
          </w:p>
        </w:tc>
        <w:tc>
          <w:tcPr>
            <w:tcW w:w="0" w:type="auto"/>
            <w:tcMar>
              <w:top w:w="150" w:type="dxa"/>
              <w:left w:w="240" w:type="dxa"/>
              <w:bottom w:w="150" w:type="dxa"/>
              <w:right w:w="240" w:type="dxa"/>
            </w:tcMar>
            <w:vAlign w:val="center"/>
            <w:hideMark/>
          </w:tcPr>
          <w:p w14:paraId="106CBF3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1.6 (p=0.20)</w:t>
            </w:r>
          </w:p>
        </w:tc>
        <w:tc>
          <w:tcPr>
            <w:tcW w:w="0" w:type="auto"/>
            <w:tcMar>
              <w:top w:w="150" w:type="dxa"/>
              <w:left w:w="240" w:type="dxa"/>
              <w:bottom w:w="150" w:type="dxa"/>
              <w:right w:w="0" w:type="dxa"/>
            </w:tcMar>
            <w:vAlign w:val="center"/>
            <w:hideMark/>
          </w:tcPr>
          <w:p w14:paraId="36F10D2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1.3 (0.8–2.1)</w:t>
            </w:r>
          </w:p>
        </w:tc>
      </w:tr>
      <w:tr w:rsidR="00BD73B7" w:rsidRPr="000C5059" w14:paraId="60A04DA7" w14:textId="77777777" w:rsidTr="000C5059">
        <w:tc>
          <w:tcPr>
            <w:tcW w:w="0" w:type="auto"/>
            <w:tcMar>
              <w:top w:w="150" w:type="dxa"/>
              <w:left w:w="0" w:type="dxa"/>
              <w:bottom w:w="150" w:type="dxa"/>
              <w:right w:w="240" w:type="dxa"/>
            </w:tcMar>
            <w:vAlign w:val="center"/>
            <w:hideMark/>
          </w:tcPr>
          <w:p w14:paraId="072DDA3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(among ever-pregnant, n=62)</w:t>
            </w:r>
          </w:p>
        </w:tc>
        <w:tc>
          <w:tcPr>
            <w:tcW w:w="0" w:type="auto"/>
            <w:tcMar>
              <w:top w:w="150" w:type="dxa"/>
              <w:left w:w="240" w:type="dxa"/>
              <w:bottom w:w="150" w:type="dxa"/>
              <w:right w:w="240" w:type="dxa"/>
            </w:tcMar>
            <w:vAlign w:val="center"/>
            <w:hideMark/>
          </w:tcPr>
          <w:p w14:paraId="05198DB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405E19C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70</w:t>
            </w:r>
          </w:p>
        </w:tc>
        <w:tc>
          <w:tcPr>
            <w:tcW w:w="0" w:type="auto"/>
            <w:tcMar>
              <w:top w:w="150" w:type="dxa"/>
              <w:left w:w="240" w:type="dxa"/>
              <w:bottom w:w="150" w:type="dxa"/>
              <w:right w:w="240" w:type="dxa"/>
            </w:tcMar>
            <w:vAlign w:val="center"/>
            <w:hideMark/>
          </w:tcPr>
          <w:p w14:paraId="75104DB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46</w:t>
            </w:r>
          </w:p>
        </w:tc>
        <w:tc>
          <w:tcPr>
            <w:tcW w:w="0" w:type="auto"/>
            <w:tcMar>
              <w:top w:w="150" w:type="dxa"/>
              <w:left w:w="240" w:type="dxa"/>
              <w:bottom w:w="150" w:type="dxa"/>
              <w:right w:w="240" w:type="dxa"/>
            </w:tcMar>
            <w:vAlign w:val="center"/>
            <w:hideMark/>
          </w:tcPr>
          <w:p w14:paraId="0D81946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3F27457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bl>
    <w:p w14:paraId="00CFE9B2"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*Note: For "Remained in school," the denominator was ever-pregnant adolescents (n=62); percentages refer to the total sample for other rows.*</w:t>
      </w:r>
    </w:p>
    <w:p w14:paraId="434505F7"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3.4. Prevalence and Outcomes of Non-Marital Pregnancy</w:t>
      </w:r>
    </w:p>
    <w:p w14:paraId="4A02A654"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Of the 151 adolescents, 62 (41%) reported having been pregnant at least once in their lifetime. All 62 pregnancies were explicitly described as non-marital (occurring outside legal or traditional marriage). Among these 62 ever-pregnant adolescents, 54% remained enrolled in school at the time of the survey, while 46% had dropped out. The primary reasons for dropout </w:t>
      </w:r>
      <w:r w:rsidRPr="00BD73B7">
        <w:rPr>
          <w:rFonts w:ascii="Times New Roman" w:eastAsia="Times New Roman" w:hAnsi="Times New Roman" w:cs="Times New Roman"/>
          <w:color w:val="0F1115"/>
          <w:kern w:val="0"/>
          <w14:ligatures w14:val="none"/>
        </w:rPr>
        <w:lastRenderedPageBreak/>
        <w:t>cited included: family rejection (34%), lack of financial support (28%), school expulsion (22%), and personal shame (16%).</w:t>
      </w:r>
    </w:p>
    <w:p w14:paraId="62B3C266"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Regarding pregnancy resolution, 85% of ever-pregnant adolescents carried the pregnancy to term, 8% reported a miscarriage, and 7% admitted to having attempted an abortion (all described as clandestine/unsafe procedures). No participant reported accessing a safe, medically supervised abortion.</w:t>
      </w:r>
    </w:p>
    <w:p w14:paraId="2535B3C0"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3.5. Perspectives of Mothers of Adolescents</w:t>
      </w:r>
    </w:p>
    <w:p w14:paraId="183D876C" w14:textId="38B456C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Among the 60 mothers interviewed, 61% stated that non-marital adolescent pregnancies are "very frequent" in their neighborhoods. Table 4 summarizes mothers' perspectives. The leading causes cited </w:t>
      </w:r>
      <w:r w:rsidR="000C5059" w:rsidRPr="00BD73B7">
        <w:rPr>
          <w:rFonts w:ascii="Times New Roman" w:eastAsia="Times New Roman" w:hAnsi="Times New Roman" w:cs="Times New Roman"/>
          <w:color w:val="0F1115"/>
          <w:kern w:val="0"/>
          <w14:ligatures w14:val="none"/>
        </w:rPr>
        <w:t>were</w:t>
      </w:r>
      <w:r w:rsidRPr="00BD73B7">
        <w:rPr>
          <w:rFonts w:ascii="Times New Roman" w:eastAsia="Times New Roman" w:hAnsi="Times New Roman" w:cs="Times New Roman"/>
          <w:color w:val="0F1115"/>
          <w:kern w:val="0"/>
          <w14:ligatures w14:val="none"/>
        </w:rPr>
        <w:t xml:space="preserve"> lack of sex education (55%), poverty (48%), absence of parent-child dialogue (40%), peer pressure (32%), and sexual violence (18%). Regarding support, 55% of mothers reported supporting their pregnant daughters materially and emotionally, while 29% admitted to rejecting them, and 16% were ambivalent. When asked about prevention, 47% recommended contraceptive access, 38% preferred abstinence-only education, and 15% suggested early marriage as a solution.</w:t>
      </w:r>
    </w:p>
    <w:p w14:paraId="0B80F655"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Table 4. Perspectives of Mothers on Non-Marital Adolescent Pregnancy (N=60)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285"/>
        <w:gridCol w:w="3034"/>
        <w:gridCol w:w="700"/>
        <w:gridCol w:w="664"/>
      </w:tblGrid>
      <w:tr w:rsidR="00BD73B7" w:rsidRPr="000C5059" w14:paraId="7FF09C9B" w14:textId="77777777" w:rsidTr="000C505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D76C1E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FFA203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9B2177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03B59C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t>
            </w:r>
          </w:p>
        </w:tc>
      </w:tr>
      <w:tr w:rsidR="00BD73B7" w:rsidRPr="000C5059" w14:paraId="414E1F13" w14:textId="77777777" w:rsidTr="000C5059">
        <w:tc>
          <w:tcPr>
            <w:tcW w:w="0" w:type="auto"/>
            <w:tcBorders>
              <w:top w:val="single" w:sz="4" w:space="0" w:color="auto"/>
            </w:tcBorders>
            <w:tcMar>
              <w:top w:w="150" w:type="dxa"/>
              <w:left w:w="0" w:type="dxa"/>
              <w:bottom w:w="150" w:type="dxa"/>
              <w:right w:w="240" w:type="dxa"/>
            </w:tcMar>
            <w:vAlign w:val="center"/>
            <w:hideMark/>
          </w:tcPr>
          <w:p w14:paraId="4CB4DAA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 xml:space="preserve">Perceived frequency in </w:t>
            </w:r>
            <w:proofErr w:type="spellStart"/>
            <w:r w:rsidRPr="000C5059">
              <w:rPr>
                <w:rFonts w:ascii="Times New Roman" w:eastAsia="Times New Roman" w:hAnsi="Times New Roman" w:cs="Times New Roman"/>
                <w:b/>
                <w:bCs/>
                <w:kern w:val="0"/>
                <w:sz w:val="22"/>
                <w:szCs w:val="22"/>
                <w14:ligatures w14:val="none"/>
              </w:rPr>
              <w:t>Mbandaka</w:t>
            </w:r>
            <w:proofErr w:type="spellEnd"/>
          </w:p>
        </w:tc>
        <w:tc>
          <w:tcPr>
            <w:tcW w:w="0" w:type="auto"/>
            <w:tcBorders>
              <w:top w:val="single" w:sz="4" w:space="0" w:color="auto"/>
            </w:tcBorders>
            <w:tcMar>
              <w:top w:w="150" w:type="dxa"/>
              <w:left w:w="240" w:type="dxa"/>
              <w:bottom w:w="150" w:type="dxa"/>
              <w:right w:w="240" w:type="dxa"/>
            </w:tcMar>
            <w:vAlign w:val="center"/>
            <w:hideMark/>
          </w:tcPr>
          <w:p w14:paraId="5135E40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Very frequent</w:t>
            </w:r>
          </w:p>
        </w:tc>
        <w:tc>
          <w:tcPr>
            <w:tcW w:w="0" w:type="auto"/>
            <w:tcBorders>
              <w:top w:val="single" w:sz="4" w:space="0" w:color="auto"/>
            </w:tcBorders>
            <w:tcMar>
              <w:top w:w="150" w:type="dxa"/>
              <w:left w:w="240" w:type="dxa"/>
              <w:bottom w:w="150" w:type="dxa"/>
              <w:right w:w="240" w:type="dxa"/>
            </w:tcMar>
            <w:vAlign w:val="center"/>
            <w:hideMark/>
          </w:tcPr>
          <w:p w14:paraId="1B78ED4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37</w:t>
            </w:r>
          </w:p>
        </w:tc>
        <w:tc>
          <w:tcPr>
            <w:tcW w:w="0" w:type="auto"/>
            <w:tcBorders>
              <w:top w:val="single" w:sz="4" w:space="0" w:color="auto"/>
            </w:tcBorders>
            <w:tcMar>
              <w:top w:w="150" w:type="dxa"/>
              <w:left w:w="240" w:type="dxa"/>
              <w:bottom w:w="150" w:type="dxa"/>
              <w:right w:w="0" w:type="dxa"/>
            </w:tcMar>
            <w:vAlign w:val="center"/>
            <w:hideMark/>
          </w:tcPr>
          <w:p w14:paraId="0934953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61</w:t>
            </w:r>
          </w:p>
        </w:tc>
      </w:tr>
      <w:tr w:rsidR="00BD73B7" w:rsidRPr="000C5059" w14:paraId="0BD8EAEA" w14:textId="77777777" w:rsidTr="000C5059">
        <w:tc>
          <w:tcPr>
            <w:tcW w:w="0" w:type="auto"/>
            <w:tcMar>
              <w:top w:w="150" w:type="dxa"/>
              <w:left w:w="0" w:type="dxa"/>
              <w:bottom w:w="150" w:type="dxa"/>
              <w:right w:w="240" w:type="dxa"/>
            </w:tcMar>
            <w:vAlign w:val="center"/>
            <w:hideMark/>
          </w:tcPr>
          <w:p w14:paraId="6D0AF48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8544DC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Moderately frequent</w:t>
            </w:r>
          </w:p>
        </w:tc>
        <w:tc>
          <w:tcPr>
            <w:tcW w:w="0" w:type="auto"/>
            <w:tcMar>
              <w:top w:w="150" w:type="dxa"/>
              <w:left w:w="240" w:type="dxa"/>
              <w:bottom w:w="150" w:type="dxa"/>
              <w:right w:w="240" w:type="dxa"/>
            </w:tcMar>
            <w:vAlign w:val="center"/>
            <w:hideMark/>
          </w:tcPr>
          <w:p w14:paraId="353826C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4635751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30</w:t>
            </w:r>
          </w:p>
        </w:tc>
      </w:tr>
      <w:tr w:rsidR="00BD73B7" w:rsidRPr="000C5059" w14:paraId="5C4E5AD7" w14:textId="77777777" w:rsidTr="000C5059">
        <w:tc>
          <w:tcPr>
            <w:tcW w:w="0" w:type="auto"/>
            <w:tcMar>
              <w:top w:w="150" w:type="dxa"/>
              <w:left w:w="0" w:type="dxa"/>
              <w:bottom w:w="150" w:type="dxa"/>
              <w:right w:w="240" w:type="dxa"/>
            </w:tcMar>
            <w:vAlign w:val="center"/>
            <w:hideMark/>
          </w:tcPr>
          <w:p w14:paraId="1BB8CF6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BF9655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Rare</w:t>
            </w:r>
          </w:p>
        </w:tc>
        <w:tc>
          <w:tcPr>
            <w:tcW w:w="0" w:type="auto"/>
            <w:tcMar>
              <w:top w:w="150" w:type="dxa"/>
              <w:left w:w="240" w:type="dxa"/>
              <w:bottom w:w="150" w:type="dxa"/>
              <w:right w:w="240" w:type="dxa"/>
            </w:tcMar>
            <w:vAlign w:val="center"/>
            <w:hideMark/>
          </w:tcPr>
          <w:p w14:paraId="49B1293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w:t>
            </w:r>
          </w:p>
        </w:tc>
        <w:tc>
          <w:tcPr>
            <w:tcW w:w="0" w:type="auto"/>
            <w:tcMar>
              <w:top w:w="150" w:type="dxa"/>
              <w:left w:w="240" w:type="dxa"/>
              <w:bottom w:w="150" w:type="dxa"/>
              <w:right w:w="0" w:type="dxa"/>
            </w:tcMar>
            <w:vAlign w:val="center"/>
            <w:hideMark/>
          </w:tcPr>
          <w:p w14:paraId="2C87442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8</w:t>
            </w:r>
          </w:p>
        </w:tc>
      </w:tr>
      <w:tr w:rsidR="00BD73B7" w:rsidRPr="000C5059" w14:paraId="18B0EBCD" w14:textId="77777777" w:rsidTr="000C5059">
        <w:tc>
          <w:tcPr>
            <w:tcW w:w="0" w:type="auto"/>
            <w:tcMar>
              <w:top w:w="150" w:type="dxa"/>
              <w:left w:w="0" w:type="dxa"/>
              <w:bottom w:w="150" w:type="dxa"/>
              <w:right w:w="240" w:type="dxa"/>
            </w:tcMar>
            <w:vAlign w:val="center"/>
            <w:hideMark/>
          </w:tcPr>
          <w:p w14:paraId="44FFDFA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Perceived main causes</w:t>
            </w:r>
            <w:r w:rsidRPr="000C5059">
              <w:rPr>
                <w:rFonts w:ascii="Times New Roman" w:eastAsia="Times New Roman" w:hAnsi="Times New Roman" w:cs="Times New Roman"/>
                <w:kern w:val="0"/>
                <w:sz w:val="22"/>
                <w:szCs w:val="22"/>
                <w14:ligatures w14:val="none"/>
              </w:rPr>
              <w:t> (multiple responses)</w:t>
            </w:r>
          </w:p>
        </w:tc>
        <w:tc>
          <w:tcPr>
            <w:tcW w:w="0" w:type="auto"/>
            <w:tcMar>
              <w:top w:w="150" w:type="dxa"/>
              <w:left w:w="240" w:type="dxa"/>
              <w:bottom w:w="150" w:type="dxa"/>
              <w:right w:w="240" w:type="dxa"/>
            </w:tcMar>
            <w:vAlign w:val="center"/>
            <w:hideMark/>
          </w:tcPr>
          <w:p w14:paraId="27347CB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Lack of sex education</w:t>
            </w:r>
          </w:p>
        </w:tc>
        <w:tc>
          <w:tcPr>
            <w:tcW w:w="0" w:type="auto"/>
            <w:tcMar>
              <w:top w:w="150" w:type="dxa"/>
              <w:left w:w="240" w:type="dxa"/>
              <w:bottom w:w="150" w:type="dxa"/>
              <w:right w:w="240" w:type="dxa"/>
            </w:tcMar>
            <w:vAlign w:val="center"/>
            <w:hideMark/>
          </w:tcPr>
          <w:p w14:paraId="23A21B6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0" w:type="dxa"/>
            </w:tcMar>
            <w:vAlign w:val="center"/>
            <w:hideMark/>
          </w:tcPr>
          <w:p w14:paraId="1D030A5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55</w:t>
            </w:r>
          </w:p>
        </w:tc>
      </w:tr>
      <w:tr w:rsidR="00BD73B7" w:rsidRPr="000C5059" w14:paraId="51EC39BE" w14:textId="77777777" w:rsidTr="000C5059">
        <w:tc>
          <w:tcPr>
            <w:tcW w:w="0" w:type="auto"/>
            <w:tcMar>
              <w:top w:w="150" w:type="dxa"/>
              <w:left w:w="0" w:type="dxa"/>
              <w:bottom w:w="150" w:type="dxa"/>
              <w:right w:w="240" w:type="dxa"/>
            </w:tcMar>
            <w:vAlign w:val="center"/>
            <w:hideMark/>
          </w:tcPr>
          <w:p w14:paraId="5652C76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0B9840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Poverty</w:t>
            </w:r>
          </w:p>
        </w:tc>
        <w:tc>
          <w:tcPr>
            <w:tcW w:w="0" w:type="auto"/>
            <w:tcMar>
              <w:top w:w="150" w:type="dxa"/>
              <w:left w:w="240" w:type="dxa"/>
              <w:bottom w:w="150" w:type="dxa"/>
              <w:right w:w="240" w:type="dxa"/>
            </w:tcMar>
            <w:vAlign w:val="center"/>
            <w:hideMark/>
          </w:tcPr>
          <w:p w14:paraId="280ADBC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c>
          <w:tcPr>
            <w:tcW w:w="0" w:type="auto"/>
            <w:tcMar>
              <w:top w:w="150" w:type="dxa"/>
              <w:left w:w="240" w:type="dxa"/>
              <w:bottom w:w="150" w:type="dxa"/>
              <w:right w:w="0" w:type="dxa"/>
            </w:tcMar>
            <w:vAlign w:val="center"/>
            <w:hideMark/>
          </w:tcPr>
          <w:p w14:paraId="439F50D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48</w:t>
            </w:r>
          </w:p>
        </w:tc>
      </w:tr>
      <w:tr w:rsidR="00BD73B7" w:rsidRPr="000C5059" w14:paraId="71622AFB" w14:textId="77777777" w:rsidTr="000C5059">
        <w:tc>
          <w:tcPr>
            <w:tcW w:w="0" w:type="auto"/>
            <w:tcMar>
              <w:top w:w="150" w:type="dxa"/>
              <w:left w:w="0" w:type="dxa"/>
              <w:bottom w:w="150" w:type="dxa"/>
              <w:right w:w="240" w:type="dxa"/>
            </w:tcMar>
            <w:vAlign w:val="center"/>
            <w:hideMark/>
          </w:tcPr>
          <w:p w14:paraId="6E70035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A3E02B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Absent parent-child dialogue</w:t>
            </w:r>
          </w:p>
        </w:tc>
        <w:tc>
          <w:tcPr>
            <w:tcW w:w="0" w:type="auto"/>
            <w:tcMar>
              <w:top w:w="150" w:type="dxa"/>
              <w:left w:w="240" w:type="dxa"/>
              <w:bottom w:w="150" w:type="dxa"/>
              <w:right w:w="240" w:type="dxa"/>
            </w:tcMar>
            <w:vAlign w:val="center"/>
            <w:hideMark/>
          </w:tcPr>
          <w:p w14:paraId="17FB10F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15C63EC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40</w:t>
            </w:r>
          </w:p>
        </w:tc>
      </w:tr>
      <w:tr w:rsidR="00BD73B7" w:rsidRPr="000C5059" w14:paraId="29387710" w14:textId="77777777" w:rsidTr="000C5059">
        <w:tc>
          <w:tcPr>
            <w:tcW w:w="0" w:type="auto"/>
            <w:tcMar>
              <w:top w:w="150" w:type="dxa"/>
              <w:left w:w="0" w:type="dxa"/>
              <w:bottom w:w="150" w:type="dxa"/>
              <w:right w:w="240" w:type="dxa"/>
            </w:tcMar>
            <w:vAlign w:val="center"/>
            <w:hideMark/>
          </w:tcPr>
          <w:p w14:paraId="5E17DA3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41B538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Peer pressure</w:t>
            </w:r>
          </w:p>
        </w:tc>
        <w:tc>
          <w:tcPr>
            <w:tcW w:w="0" w:type="auto"/>
            <w:tcMar>
              <w:top w:w="150" w:type="dxa"/>
              <w:left w:w="240" w:type="dxa"/>
              <w:bottom w:w="150" w:type="dxa"/>
              <w:right w:w="240" w:type="dxa"/>
            </w:tcMar>
            <w:vAlign w:val="center"/>
            <w:hideMark/>
          </w:tcPr>
          <w:p w14:paraId="37617E2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0" w:type="dxa"/>
            </w:tcMar>
            <w:vAlign w:val="center"/>
            <w:hideMark/>
          </w:tcPr>
          <w:p w14:paraId="3231528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32</w:t>
            </w:r>
          </w:p>
        </w:tc>
      </w:tr>
      <w:tr w:rsidR="00BD73B7" w:rsidRPr="000C5059" w14:paraId="50AC1336" w14:textId="77777777" w:rsidTr="000C5059">
        <w:tc>
          <w:tcPr>
            <w:tcW w:w="0" w:type="auto"/>
            <w:tcMar>
              <w:top w:w="150" w:type="dxa"/>
              <w:left w:w="0" w:type="dxa"/>
              <w:bottom w:w="150" w:type="dxa"/>
              <w:right w:w="240" w:type="dxa"/>
            </w:tcMar>
            <w:vAlign w:val="center"/>
            <w:hideMark/>
          </w:tcPr>
          <w:p w14:paraId="763C6F1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77F7E4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Sexual violence</w:t>
            </w:r>
          </w:p>
        </w:tc>
        <w:tc>
          <w:tcPr>
            <w:tcW w:w="0" w:type="auto"/>
            <w:tcMar>
              <w:top w:w="150" w:type="dxa"/>
              <w:left w:w="240" w:type="dxa"/>
              <w:bottom w:w="150" w:type="dxa"/>
              <w:right w:w="240" w:type="dxa"/>
            </w:tcMar>
            <w:vAlign w:val="center"/>
            <w:hideMark/>
          </w:tcPr>
          <w:p w14:paraId="411B71D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11</w:t>
            </w:r>
          </w:p>
        </w:tc>
        <w:tc>
          <w:tcPr>
            <w:tcW w:w="0" w:type="auto"/>
            <w:tcMar>
              <w:top w:w="150" w:type="dxa"/>
              <w:left w:w="240" w:type="dxa"/>
              <w:bottom w:w="150" w:type="dxa"/>
              <w:right w:w="0" w:type="dxa"/>
            </w:tcMar>
            <w:vAlign w:val="center"/>
            <w:hideMark/>
          </w:tcPr>
          <w:p w14:paraId="54EAD9A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18</w:t>
            </w:r>
          </w:p>
        </w:tc>
      </w:tr>
      <w:tr w:rsidR="00BD73B7" w:rsidRPr="000C5059" w14:paraId="1FF3C8E6" w14:textId="77777777" w:rsidTr="000C5059">
        <w:tc>
          <w:tcPr>
            <w:tcW w:w="0" w:type="auto"/>
            <w:tcMar>
              <w:top w:w="150" w:type="dxa"/>
              <w:left w:w="0" w:type="dxa"/>
              <w:bottom w:w="150" w:type="dxa"/>
              <w:right w:w="240" w:type="dxa"/>
            </w:tcMar>
            <w:vAlign w:val="center"/>
            <w:hideMark/>
          </w:tcPr>
          <w:p w14:paraId="7469E60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Maternal reaction to daughter's pregnancy</w:t>
            </w:r>
          </w:p>
        </w:tc>
        <w:tc>
          <w:tcPr>
            <w:tcW w:w="0" w:type="auto"/>
            <w:tcMar>
              <w:top w:w="150" w:type="dxa"/>
              <w:left w:w="240" w:type="dxa"/>
              <w:bottom w:w="150" w:type="dxa"/>
              <w:right w:w="240" w:type="dxa"/>
            </w:tcMar>
            <w:vAlign w:val="center"/>
            <w:hideMark/>
          </w:tcPr>
          <w:p w14:paraId="1DAA1AC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Supportive</w:t>
            </w:r>
          </w:p>
        </w:tc>
        <w:tc>
          <w:tcPr>
            <w:tcW w:w="0" w:type="auto"/>
            <w:tcMar>
              <w:top w:w="150" w:type="dxa"/>
              <w:left w:w="240" w:type="dxa"/>
              <w:bottom w:w="150" w:type="dxa"/>
              <w:right w:w="240" w:type="dxa"/>
            </w:tcMar>
            <w:vAlign w:val="center"/>
            <w:hideMark/>
          </w:tcPr>
          <w:p w14:paraId="21D1C00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0" w:type="dxa"/>
            </w:tcMar>
            <w:vAlign w:val="center"/>
            <w:hideMark/>
          </w:tcPr>
          <w:p w14:paraId="06C0727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55</w:t>
            </w:r>
          </w:p>
        </w:tc>
      </w:tr>
      <w:tr w:rsidR="00BD73B7" w:rsidRPr="000C5059" w14:paraId="3590BCC7" w14:textId="77777777" w:rsidTr="000C5059">
        <w:tc>
          <w:tcPr>
            <w:tcW w:w="0" w:type="auto"/>
            <w:tcMar>
              <w:top w:w="150" w:type="dxa"/>
              <w:left w:w="0" w:type="dxa"/>
              <w:bottom w:w="150" w:type="dxa"/>
              <w:right w:w="240" w:type="dxa"/>
            </w:tcMar>
            <w:vAlign w:val="center"/>
            <w:hideMark/>
          </w:tcPr>
          <w:p w14:paraId="666EE39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71DEEF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Rejecting</w:t>
            </w:r>
          </w:p>
        </w:tc>
        <w:tc>
          <w:tcPr>
            <w:tcW w:w="0" w:type="auto"/>
            <w:tcMar>
              <w:top w:w="150" w:type="dxa"/>
              <w:left w:w="240" w:type="dxa"/>
              <w:bottom w:w="150" w:type="dxa"/>
              <w:right w:w="240" w:type="dxa"/>
            </w:tcMar>
            <w:vAlign w:val="center"/>
            <w:hideMark/>
          </w:tcPr>
          <w:p w14:paraId="62668FF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17</w:t>
            </w:r>
          </w:p>
        </w:tc>
        <w:tc>
          <w:tcPr>
            <w:tcW w:w="0" w:type="auto"/>
            <w:tcMar>
              <w:top w:w="150" w:type="dxa"/>
              <w:left w:w="240" w:type="dxa"/>
              <w:bottom w:w="150" w:type="dxa"/>
              <w:right w:w="0" w:type="dxa"/>
            </w:tcMar>
            <w:vAlign w:val="center"/>
            <w:hideMark/>
          </w:tcPr>
          <w:p w14:paraId="13AED79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r>
      <w:tr w:rsidR="00BD73B7" w:rsidRPr="000C5059" w14:paraId="13A28485" w14:textId="77777777" w:rsidTr="000C5059">
        <w:tc>
          <w:tcPr>
            <w:tcW w:w="0" w:type="auto"/>
            <w:tcMar>
              <w:top w:w="150" w:type="dxa"/>
              <w:left w:w="0" w:type="dxa"/>
              <w:bottom w:w="150" w:type="dxa"/>
              <w:right w:w="240" w:type="dxa"/>
            </w:tcMar>
            <w:vAlign w:val="center"/>
            <w:hideMark/>
          </w:tcPr>
          <w:p w14:paraId="0CA6F5B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C2E062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Ambivalent</w:t>
            </w:r>
          </w:p>
        </w:tc>
        <w:tc>
          <w:tcPr>
            <w:tcW w:w="0" w:type="auto"/>
            <w:tcMar>
              <w:top w:w="150" w:type="dxa"/>
              <w:left w:w="240" w:type="dxa"/>
              <w:bottom w:w="150" w:type="dxa"/>
              <w:right w:w="240" w:type="dxa"/>
            </w:tcMar>
            <w:vAlign w:val="center"/>
            <w:hideMark/>
          </w:tcPr>
          <w:p w14:paraId="0CAF3D1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39C69DD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16</w:t>
            </w:r>
          </w:p>
        </w:tc>
      </w:tr>
      <w:tr w:rsidR="00BD73B7" w:rsidRPr="000C5059" w14:paraId="538ADE38" w14:textId="77777777" w:rsidTr="000C5059">
        <w:tc>
          <w:tcPr>
            <w:tcW w:w="0" w:type="auto"/>
            <w:tcMar>
              <w:top w:w="150" w:type="dxa"/>
              <w:left w:w="0" w:type="dxa"/>
              <w:bottom w:w="150" w:type="dxa"/>
              <w:right w:w="240" w:type="dxa"/>
            </w:tcMar>
            <w:vAlign w:val="center"/>
            <w:hideMark/>
          </w:tcPr>
          <w:p w14:paraId="5CC2B15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Recommended prevention strategy</w:t>
            </w:r>
          </w:p>
        </w:tc>
        <w:tc>
          <w:tcPr>
            <w:tcW w:w="0" w:type="auto"/>
            <w:tcMar>
              <w:top w:w="150" w:type="dxa"/>
              <w:left w:w="240" w:type="dxa"/>
              <w:bottom w:w="150" w:type="dxa"/>
              <w:right w:w="240" w:type="dxa"/>
            </w:tcMar>
            <w:vAlign w:val="center"/>
            <w:hideMark/>
          </w:tcPr>
          <w:p w14:paraId="341B2ED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Contraceptive access</w:t>
            </w:r>
          </w:p>
        </w:tc>
        <w:tc>
          <w:tcPr>
            <w:tcW w:w="0" w:type="auto"/>
            <w:tcMar>
              <w:top w:w="150" w:type="dxa"/>
              <w:left w:w="240" w:type="dxa"/>
              <w:bottom w:w="150" w:type="dxa"/>
              <w:right w:w="240" w:type="dxa"/>
            </w:tcMar>
            <w:vAlign w:val="center"/>
            <w:hideMark/>
          </w:tcPr>
          <w:p w14:paraId="11E0400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28</w:t>
            </w:r>
          </w:p>
        </w:tc>
        <w:tc>
          <w:tcPr>
            <w:tcW w:w="0" w:type="auto"/>
            <w:tcMar>
              <w:top w:w="150" w:type="dxa"/>
              <w:left w:w="240" w:type="dxa"/>
              <w:bottom w:w="150" w:type="dxa"/>
              <w:right w:w="0" w:type="dxa"/>
            </w:tcMar>
            <w:vAlign w:val="center"/>
            <w:hideMark/>
          </w:tcPr>
          <w:p w14:paraId="63050B2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47</w:t>
            </w:r>
          </w:p>
        </w:tc>
      </w:tr>
      <w:tr w:rsidR="00BD73B7" w:rsidRPr="000C5059" w14:paraId="0900EFC0" w14:textId="77777777" w:rsidTr="000C5059">
        <w:tc>
          <w:tcPr>
            <w:tcW w:w="0" w:type="auto"/>
            <w:tcMar>
              <w:top w:w="150" w:type="dxa"/>
              <w:left w:w="0" w:type="dxa"/>
              <w:bottom w:w="150" w:type="dxa"/>
              <w:right w:w="240" w:type="dxa"/>
            </w:tcMar>
            <w:vAlign w:val="center"/>
            <w:hideMark/>
          </w:tcPr>
          <w:p w14:paraId="117BE38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8D3D1E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Abstinence education</w:t>
            </w:r>
          </w:p>
        </w:tc>
        <w:tc>
          <w:tcPr>
            <w:tcW w:w="0" w:type="auto"/>
            <w:tcMar>
              <w:top w:w="150" w:type="dxa"/>
              <w:left w:w="240" w:type="dxa"/>
              <w:bottom w:w="150" w:type="dxa"/>
              <w:right w:w="240" w:type="dxa"/>
            </w:tcMar>
            <w:vAlign w:val="center"/>
            <w:hideMark/>
          </w:tcPr>
          <w:p w14:paraId="5128AFC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23</w:t>
            </w:r>
          </w:p>
        </w:tc>
        <w:tc>
          <w:tcPr>
            <w:tcW w:w="0" w:type="auto"/>
            <w:tcMar>
              <w:top w:w="150" w:type="dxa"/>
              <w:left w:w="240" w:type="dxa"/>
              <w:bottom w:w="150" w:type="dxa"/>
              <w:right w:w="0" w:type="dxa"/>
            </w:tcMar>
            <w:vAlign w:val="center"/>
            <w:hideMark/>
          </w:tcPr>
          <w:p w14:paraId="20EB96B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38</w:t>
            </w:r>
          </w:p>
        </w:tc>
      </w:tr>
      <w:tr w:rsidR="00BD73B7" w:rsidRPr="000C5059" w14:paraId="6CA37758" w14:textId="77777777" w:rsidTr="000C5059">
        <w:tc>
          <w:tcPr>
            <w:tcW w:w="0" w:type="auto"/>
            <w:tcMar>
              <w:top w:w="150" w:type="dxa"/>
              <w:left w:w="0" w:type="dxa"/>
              <w:bottom w:w="150" w:type="dxa"/>
              <w:right w:w="240" w:type="dxa"/>
            </w:tcMar>
            <w:vAlign w:val="center"/>
            <w:hideMark/>
          </w:tcPr>
          <w:p w14:paraId="03FA5E5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702BF7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Early marriage</w:t>
            </w:r>
          </w:p>
        </w:tc>
        <w:tc>
          <w:tcPr>
            <w:tcW w:w="0" w:type="auto"/>
            <w:tcMar>
              <w:top w:w="150" w:type="dxa"/>
              <w:left w:w="240" w:type="dxa"/>
              <w:bottom w:w="150" w:type="dxa"/>
              <w:right w:w="240" w:type="dxa"/>
            </w:tcMar>
            <w:vAlign w:val="center"/>
            <w:hideMark/>
          </w:tcPr>
          <w:p w14:paraId="7F7751F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0" w:type="dxa"/>
            </w:tcMar>
            <w:vAlign w:val="center"/>
            <w:hideMark/>
          </w:tcPr>
          <w:p w14:paraId="1F8FD9C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15</w:t>
            </w:r>
          </w:p>
        </w:tc>
      </w:tr>
    </w:tbl>
    <w:p w14:paraId="56265E0F"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3.6. Perspectives of Health Workers</w:t>
      </w:r>
    </w:p>
    <w:p w14:paraId="18F33F4A"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Table 5 presents findings from 60 health workers (42 nurses, 12 midwives, 6 physicians) across the three health zones. Nearly half (46%) judged the frequency of adolescent pregnancies as "high" in their facilities, and an additional 38% as "moderate." Poverty was identified as the primary driver (48%), followed closely by lack of parental supervision (42%) and low contraceptive knowledge (38%). A majority (59%) affirmed that adolescents face significant barriers to accessing modern contraceptives, citing lack of youth-friendly services (42%), cost (33%), and judgmental staff attitudes (25%). Furthermore, 54% of health workers reported that pregnant adolescents receive no formal psychosocial support at their facilities.</w:t>
      </w:r>
    </w:p>
    <w:p w14:paraId="46CFCB8E"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Table 5. Perspectives of Health Workers on Adolescent Pregnancy (N=60)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885"/>
        <w:gridCol w:w="3111"/>
        <w:gridCol w:w="700"/>
        <w:gridCol w:w="664"/>
      </w:tblGrid>
      <w:tr w:rsidR="00BD73B7" w:rsidRPr="000C5059" w14:paraId="18753658" w14:textId="77777777" w:rsidTr="000C505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CC0DFF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E5D480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BA1C01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753E49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t>
            </w:r>
          </w:p>
        </w:tc>
      </w:tr>
      <w:tr w:rsidR="00BD73B7" w:rsidRPr="000C5059" w14:paraId="6CE99733" w14:textId="77777777" w:rsidTr="000C5059">
        <w:tc>
          <w:tcPr>
            <w:tcW w:w="0" w:type="auto"/>
            <w:tcBorders>
              <w:top w:val="single" w:sz="4" w:space="0" w:color="auto"/>
            </w:tcBorders>
            <w:tcMar>
              <w:top w:w="150" w:type="dxa"/>
              <w:left w:w="0" w:type="dxa"/>
              <w:bottom w:w="150" w:type="dxa"/>
              <w:right w:w="240" w:type="dxa"/>
            </w:tcMar>
            <w:vAlign w:val="center"/>
            <w:hideMark/>
          </w:tcPr>
          <w:p w14:paraId="63B29E5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Perceived frequency at facility</w:t>
            </w:r>
          </w:p>
        </w:tc>
        <w:tc>
          <w:tcPr>
            <w:tcW w:w="0" w:type="auto"/>
            <w:tcBorders>
              <w:top w:val="single" w:sz="4" w:space="0" w:color="auto"/>
            </w:tcBorders>
            <w:tcMar>
              <w:top w:w="150" w:type="dxa"/>
              <w:left w:w="240" w:type="dxa"/>
              <w:bottom w:w="150" w:type="dxa"/>
              <w:right w:w="240" w:type="dxa"/>
            </w:tcMar>
            <w:vAlign w:val="center"/>
            <w:hideMark/>
          </w:tcPr>
          <w:p w14:paraId="5672522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High</w:t>
            </w:r>
          </w:p>
        </w:tc>
        <w:tc>
          <w:tcPr>
            <w:tcW w:w="0" w:type="auto"/>
            <w:tcBorders>
              <w:top w:val="single" w:sz="4" w:space="0" w:color="auto"/>
            </w:tcBorders>
            <w:tcMar>
              <w:top w:w="150" w:type="dxa"/>
              <w:left w:w="240" w:type="dxa"/>
              <w:bottom w:w="150" w:type="dxa"/>
              <w:right w:w="240" w:type="dxa"/>
            </w:tcMar>
            <w:vAlign w:val="center"/>
            <w:hideMark/>
          </w:tcPr>
          <w:p w14:paraId="7AC7032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28</w:t>
            </w:r>
          </w:p>
        </w:tc>
        <w:tc>
          <w:tcPr>
            <w:tcW w:w="0" w:type="auto"/>
            <w:tcBorders>
              <w:top w:val="single" w:sz="4" w:space="0" w:color="auto"/>
            </w:tcBorders>
            <w:tcMar>
              <w:top w:w="150" w:type="dxa"/>
              <w:left w:w="240" w:type="dxa"/>
              <w:bottom w:w="150" w:type="dxa"/>
              <w:right w:w="0" w:type="dxa"/>
            </w:tcMar>
            <w:vAlign w:val="center"/>
            <w:hideMark/>
          </w:tcPr>
          <w:p w14:paraId="3FD1C11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46</w:t>
            </w:r>
          </w:p>
        </w:tc>
      </w:tr>
      <w:tr w:rsidR="00BD73B7" w:rsidRPr="000C5059" w14:paraId="71F388D8" w14:textId="77777777" w:rsidTr="000C5059">
        <w:tc>
          <w:tcPr>
            <w:tcW w:w="0" w:type="auto"/>
            <w:tcMar>
              <w:top w:w="150" w:type="dxa"/>
              <w:left w:w="0" w:type="dxa"/>
              <w:bottom w:w="150" w:type="dxa"/>
              <w:right w:w="240" w:type="dxa"/>
            </w:tcMar>
            <w:vAlign w:val="center"/>
            <w:hideMark/>
          </w:tcPr>
          <w:p w14:paraId="585A656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EF2080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Moderate</w:t>
            </w:r>
          </w:p>
        </w:tc>
        <w:tc>
          <w:tcPr>
            <w:tcW w:w="0" w:type="auto"/>
            <w:tcMar>
              <w:top w:w="150" w:type="dxa"/>
              <w:left w:w="240" w:type="dxa"/>
              <w:bottom w:w="150" w:type="dxa"/>
              <w:right w:w="240" w:type="dxa"/>
            </w:tcMar>
            <w:vAlign w:val="center"/>
            <w:hideMark/>
          </w:tcPr>
          <w:p w14:paraId="4629B61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23</w:t>
            </w:r>
          </w:p>
        </w:tc>
        <w:tc>
          <w:tcPr>
            <w:tcW w:w="0" w:type="auto"/>
            <w:tcMar>
              <w:top w:w="150" w:type="dxa"/>
              <w:left w:w="240" w:type="dxa"/>
              <w:bottom w:w="150" w:type="dxa"/>
              <w:right w:w="0" w:type="dxa"/>
            </w:tcMar>
            <w:vAlign w:val="center"/>
            <w:hideMark/>
          </w:tcPr>
          <w:p w14:paraId="493ADB1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38</w:t>
            </w:r>
          </w:p>
        </w:tc>
      </w:tr>
      <w:tr w:rsidR="00BD73B7" w:rsidRPr="000C5059" w14:paraId="535DB064" w14:textId="77777777" w:rsidTr="000C5059">
        <w:tc>
          <w:tcPr>
            <w:tcW w:w="0" w:type="auto"/>
            <w:tcMar>
              <w:top w:w="150" w:type="dxa"/>
              <w:left w:w="0" w:type="dxa"/>
              <w:bottom w:w="150" w:type="dxa"/>
              <w:right w:w="240" w:type="dxa"/>
            </w:tcMar>
            <w:vAlign w:val="center"/>
            <w:hideMark/>
          </w:tcPr>
          <w:p w14:paraId="26D5CCF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324FB5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Low</w:t>
            </w:r>
          </w:p>
        </w:tc>
        <w:tc>
          <w:tcPr>
            <w:tcW w:w="0" w:type="auto"/>
            <w:tcMar>
              <w:top w:w="150" w:type="dxa"/>
              <w:left w:w="240" w:type="dxa"/>
              <w:bottom w:w="150" w:type="dxa"/>
              <w:right w:w="240" w:type="dxa"/>
            </w:tcMar>
            <w:vAlign w:val="center"/>
            <w:hideMark/>
          </w:tcPr>
          <w:p w14:paraId="6CCC249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0" w:type="dxa"/>
            </w:tcMar>
            <w:vAlign w:val="center"/>
            <w:hideMark/>
          </w:tcPr>
          <w:p w14:paraId="6EA537E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15</w:t>
            </w:r>
          </w:p>
        </w:tc>
      </w:tr>
      <w:tr w:rsidR="00BD73B7" w:rsidRPr="000C5059" w14:paraId="145D8EAC" w14:textId="77777777" w:rsidTr="000C5059">
        <w:tc>
          <w:tcPr>
            <w:tcW w:w="0" w:type="auto"/>
            <w:tcMar>
              <w:top w:w="150" w:type="dxa"/>
              <w:left w:w="0" w:type="dxa"/>
              <w:bottom w:w="150" w:type="dxa"/>
              <w:right w:w="240" w:type="dxa"/>
            </w:tcMar>
            <w:vAlign w:val="center"/>
            <w:hideMark/>
          </w:tcPr>
          <w:p w14:paraId="4C44DDB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Main identified drivers</w:t>
            </w:r>
            <w:r w:rsidRPr="000C5059">
              <w:rPr>
                <w:rFonts w:ascii="Times New Roman" w:eastAsia="Times New Roman" w:hAnsi="Times New Roman" w:cs="Times New Roman"/>
                <w:kern w:val="0"/>
                <w:sz w:val="22"/>
                <w:szCs w:val="22"/>
                <w14:ligatures w14:val="none"/>
              </w:rPr>
              <w:t> (top 3)</w:t>
            </w:r>
          </w:p>
        </w:tc>
        <w:tc>
          <w:tcPr>
            <w:tcW w:w="0" w:type="auto"/>
            <w:tcMar>
              <w:top w:w="150" w:type="dxa"/>
              <w:left w:w="240" w:type="dxa"/>
              <w:bottom w:w="150" w:type="dxa"/>
              <w:right w:w="240" w:type="dxa"/>
            </w:tcMar>
            <w:vAlign w:val="center"/>
            <w:hideMark/>
          </w:tcPr>
          <w:p w14:paraId="08F9C8B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Poverty</w:t>
            </w:r>
          </w:p>
        </w:tc>
        <w:tc>
          <w:tcPr>
            <w:tcW w:w="0" w:type="auto"/>
            <w:tcMar>
              <w:top w:w="150" w:type="dxa"/>
              <w:left w:w="240" w:type="dxa"/>
              <w:bottom w:w="150" w:type="dxa"/>
              <w:right w:w="240" w:type="dxa"/>
            </w:tcMar>
            <w:vAlign w:val="center"/>
            <w:hideMark/>
          </w:tcPr>
          <w:p w14:paraId="7194C54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c>
          <w:tcPr>
            <w:tcW w:w="0" w:type="auto"/>
            <w:tcMar>
              <w:top w:w="150" w:type="dxa"/>
              <w:left w:w="240" w:type="dxa"/>
              <w:bottom w:w="150" w:type="dxa"/>
              <w:right w:w="0" w:type="dxa"/>
            </w:tcMar>
            <w:vAlign w:val="center"/>
            <w:hideMark/>
          </w:tcPr>
          <w:p w14:paraId="7362121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48</w:t>
            </w:r>
          </w:p>
        </w:tc>
      </w:tr>
      <w:tr w:rsidR="00BD73B7" w:rsidRPr="000C5059" w14:paraId="7AAF4451" w14:textId="77777777" w:rsidTr="000C5059">
        <w:tc>
          <w:tcPr>
            <w:tcW w:w="0" w:type="auto"/>
            <w:tcMar>
              <w:top w:w="150" w:type="dxa"/>
              <w:left w:w="0" w:type="dxa"/>
              <w:bottom w:w="150" w:type="dxa"/>
              <w:right w:w="240" w:type="dxa"/>
            </w:tcMar>
            <w:vAlign w:val="center"/>
            <w:hideMark/>
          </w:tcPr>
          <w:p w14:paraId="64370F8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F5AE2D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Lack of parental supervision</w:t>
            </w:r>
          </w:p>
        </w:tc>
        <w:tc>
          <w:tcPr>
            <w:tcW w:w="0" w:type="auto"/>
            <w:tcMar>
              <w:top w:w="150" w:type="dxa"/>
              <w:left w:w="240" w:type="dxa"/>
              <w:bottom w:w="150" w:type="dxa"/>
              <w:right w:w="240" w:type="dxa"/>
            </w:tcMar>
            <w:vAlign w:val="center"/>
            <w:hideMark/>
          </w:tcPr>
          <w:p w14:paraId="4CBC37A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6BB0DA3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42</w:t>
            </w:r>
          </w:p>
        </w:tc>
      </w:tr>
      <w:tr w:rsidR="00BD73B7" w:rsidRPr="000C5059" w14:paraId="6F538C82" w14:textId="77777777" w:rsidTr="000C5059">
        <w:tc>
          <w:tcPr>
            <w:tcW w:w="0" w:type="auto"/>
            <w:tcMar>
              <w:top w:w="150" w:type="dxa"/>
              <w:left w:w="0" w:type="dxa"/>
              <w:bottom w:w="150" w:type="dxa"/>
              <w:right w:w="240" w:type="dxa"/>
            </w:tcMar>
            <w:vAlign w:val="center"/>
            <w:hideMark/>
          </w:tcPr>
          <w:p w14:paraId="30DCD26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27FD64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Low contraceptive knowledge</w:t>
            </w:r>
          </w:p>
        </w:tc>
        <w:tc>
          <w:tcPr>
            <w:tcW w:w="0" w:type="auto"/>
            <w:tcMar>
              <w:top w:w="150" w:type="dxa"/>
              <w:left w:w="240" w:type="dxa"/>
              <w:bottom w:w="150" w:type="dxa"/>
              <w:right w:w="240" w:type="dxa"/>
            </w:tcMar>
            <w:vAlign w:val="center"/>
            <w:hideMark/>
          </w:tcPr>
          <w:p w14:paraId="1D4CA2D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23</w:t>
            </w:r>
          </w:p>
        </w:tc>
        <w:tc>
          <w:tcPr>
            <w:tcW w:w="0" w:type="auto"/>
            <w:tcMar>
              <w:top w:w="150" w:type="dxa"/>
              <w:left w:w="240" w:type="dxa"/>
              <w:bottom w:w="150" w:type="dxa"/>
              <w:right w:w="0" w:type="dxa"/>
            </w:tcMar>
            <w:vAlign w:val="center"/>
            <w:hideMark/>
          </w:tcPr>
          <w:p w14:paraId="200EB57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38</w:t>
            </w:r>
          </w:p>
        </w:tc>
      </w:tr>
      <w:tr w:rsidR="00BD73B7" w:rsidRPr="000C5059" w14:paraId="3B7BECE7" w14:textId="77777777" w:rsidTr="000C5059">
        <w:tc>
          <w:tcPr>
            <w:tcW w:w="0" w:type="auto"/>
            <w:tcMar>
              <w:top w:w="150" w:type="dxa"/>
              <w:left w:w="0" w:type="dxa"/>
              <w:bottom w:w="150" w:type="dxa"/>
              <w:right w:w="240" w:type="dxa"/>
            </w:tcMar>
            <w:vAlign w:val="center"/>
            <w:hideMark/>
          </w:tcPr>
          <w:p w14:paraId="73425CF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Adolescents face barriers to contraception</w:t>
            </w:r>
          </w:p>
        </w:tc>
        <w:tc>
          <w:tcPr>
            <w:tcW w:w="0" w:type="auto"/>
            <w:tcMar>
              <w:top w:w="150" w:type="dxa"/>
              <w:left w:w="240" w:type="dxa"/>
              <w:bottom w:w="150" w:type="dxa"/>
              <w:right w:w="240" w:type="dxa"/>
            </w:tcMar>
            <w:vAlign w:val="center"/>
            <w:hideMark/>
          </w:tcPr>
          <w:p w14:paraId="53F59F2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10E6E41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35</w:t>
            </w:r>
          </w:p>
        </w:tc>
        <w:tc>
          <w:tcPr>
            <w:tcW w:w="0" w:type="auto"/>
            <w:tcMar>
              <w:top w:w="150" w:type="dxa"/>
              <w:left w:w="240" w:type="dxa"/>
              <w:bottom w:w="150" w:type="dxa"/>
              <w:right w:w="0" w:type="dxa"/>
            </w:tcMar>
            <w:vAlign w:val="center"/>
            <w:hideMark/>
          </w:tcPr>
          <w:p w14:paraId="04C9598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59</w:t>
            </w:r>
          </w:p>
        </w:tc>
      </w:tr>
      <w:tr w:rsidR="00BD73B7" w:rsidRPr="000C5059" w14:paraId="6C9C0349" w14:textId="77777777" w:rsidTr="000C5059">
        <w:tc>
          <w:tcPr>
            <w:tcW w:w="0" w:type="auto"/>
            <w:tcMar>
              <w:top w:w="150" w:type="dxa"/>
              <w:left w:w="0" w:type="dxa"/>
              <w:bottom w:w="150" w:type="dxa"/>
              <w:right w:w="240" w:type="dxa"/>
            </w:tcMar>
            <w:vAlign w:val="center"/>
            <w:hideMark/>
          </w:tcPr>
          <w:p w14:paraId="1C3C2C7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B8397B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125F4AC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6CC56AB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25</w:t>
            </w:r>
          </w:p>
        </w:tc>
      </w:tr>
      <w:tr w:rsidR="00BD73B7" w:rsidRPr="000C5059" w14:paraId="6018A07D" w14:textId="77777777" w:rsidTr="000C5059">
        <w:tc>
          <w:tcPr>
            <w:tcW w:w="0" w:type="auto"/>
            <w:tcMar>
              <w:top w:w="150" w:type="dxa"/>
              <w:left w:w="0" w:type="dxa"/>
              <w:bottom w:w="150" w:type="dxa"/>
              <w:right w:w="240" w:type="dxa"/>
            </w:tcMar>
            <w:vAlign w:val="center"/>
            <w:hideMark/>
          </w:tcPr>
          <w:p w14:paraId="3836FDA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0AEE74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Unsure</w:t>
            </w:r>
          </w:p>
        </w:tc>
        <w:tc>
          <w:tcPr>
            <w:tcW w:w="0" w:type="auto"/>
            <w:tcMar>
              <w:top w:w="150" w:type="dxa"/>
              <w:left w:w="240" w:type="dxa"/>
              <w:bottom w:w="150" w:type="dxa"/>
              <w:right w:w="240" w:type="dxa"/>
            </w:tcMar>
            <w:vAlign w:val="center"/>
            <w:hideMark/>
          </w:tcPr>
          <w:p w14:paraId="40EBA4A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2B1858E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16</w:t>
            </w:r>
          </w:p>
        </w:tc>
      </w:tr>
      <w:tr w:rsidR="00BD73B7" w:rsidRPr="000C5059" w14:paraId="7195D019" w14:textId="77777777" w:rsidTr="000C5059">
        <w:tc>
          <w:tcPr>
            <w:tcW w:w="0" w:type="auto"/>
            <w:tcMar>
              <w:top w:w="150" w:type="dxa"/>
              <w:left w:w="0" w:type="dxa"/>
              <w:bottom w:w="150" w:type="dxa"/>
              <w:right w:w="240" w:type="dxa"/>
            </w:tcMar>
            <w:vAlign w:val="center"/>
            <w:hideMark/>
          </w:tcPr>
          <w:p w14:paraId="2BD1C92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Type of barrier</w:t>
            </w:r>
            <w:r w:rsidRPr="000C5059">
              <w:rPr>
                <w:rFonts w:ascii="Times New Roman" w:eastAsia="Times New Roman" w:hAnsi="Times New Roman" w:cs="Times New Roman"/>
                <w:kern w:val="0"/>
                <w:sz w:val="22"/>
                <w:szCs w:val="22"/>
                <w14:ligatures w14:val="none"/>
              </w:rPr>
              <w:t> (among those reporting yes)</w:t>
            </w:r>
          </w:p>
        </w:tc>
        <w:tc>
          <w:tcPr>
            <w:tcW w:w="0" w:type="auto"/>
            <w:tcMar>
              <w:top w:w="150" w:type="dxa"/>
              <w:left w:w="240" w:type="dxa"/>
              <w:bottom w:w="150" w:type="dxa"/>
              <w:right w:w="240" w:type="dxa"/>
            </w:tcMar>
            <w:vAlign w:val="center"/>
            <w:hideMark/>
          </w:tcPr>
          <w:p w14:paraId="2A1FC78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 youth-friendly services</w:t>
            </w:r>
          </w:p>
        </w:tc>
        <w:tc>
          <w:tcPr>
            <w:tcW w:w="0" w:type="auto"/>
            <w:tcMar>
              <w:top w:w="150" w:type="dxa"/>
              <w:left w:w="240" w:type="dxa"/>
              <w:bottom w:w="150" w:type="dxa"/>
              <w:right w:w="240" w:type="dxa"/>
            </w:tcMar>
            <w:vAlign w:val="center"/>
            <w:hideMark/>
          </w:tcPr>
          <w:p w14:paraId="2036230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57EB1BC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42</w:t>
            </w:r>
          </w:p>
        </w:tc>
      </w:tr>
      <w:tr w:rsidR="00BD73B7" w:rsidRPr="000C5059" w14:paraId="53444B62" w14:textId="77777777" w:rsidTr="000C5059">
        <w:tc>
          <w:tcPr>
            <w:tcW w:w="0" w:type="auto"/>
            <w:tcMar>
              <w:top w:w="150" w:type="dxa"/>
              <w:left w:w="0" w:type="dxa"/>
              <w:bottom w:w="150" w:type="dxa"/>
              <w:right w:w="240" w:type="dxa"/>
            </w:tcMar>
            <w:vAlign w:val="center"/>
            <w:hideMark/>
          </w:tcPr>
          <w:p w14:paraId="1B5D465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461649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Cost</w:t>
            </w:r>
          </w:p>
        </w:tc>
        <w:tc>
          <w:tcPr>
            <w:tcW w:w="0" w:type="auto"/>
            <w:tcMar>
              <w:top w:w="150" w:type="dxa"/>
              <w:left w:w="240" w:type="dxa"/>
              <w:bottom w:w="150" w:type="dxa"/>
              <w:right w:w="240" w:type="dxa"/>
            </w:tcMar>
            <w:vAlign w:val="center"/>
            <w:hideMark/>
          </w:tcPr>
          <w:p w14:paraId="075C793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0" w:type="dxa"/>
            </w:tcMar>
            <w:vAlign w:val="center"/>
            <w:hideMark/>
          </w:tcPr>
          <w:p w14:paraId="01A287E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33</w:t>
            </w:r>
          </w:p>
        </w:tc>
      </w:tr>
      <w:tr w:rsidR="00BD73B7" w:rsidRPr="000C5059" w14:paraId="4D5AAFA9" w14:textId="77777777" w:rsidTr="000C5059">
        <w:tc>
          <w:tcPr>
            <w:tcW w:w="0" w:type="auto"/>
            <w:tcMar>
              <w:top w:w="150" w:type="dxa"/>
              <w:left w:w="0" w:type="dxa"/>
              <w:bottom w:w="150" w:type="dxa"/>
              <w:right w:w="240" w:type="dxa"/>
            </w:tcMar>
            <w:vAlign w:val="center"/>
            <w:hideMark/>
          </w:tcPr>
          <w:p w14:paraId="7E0CDDB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EA2CF7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Judgmental staff</w:t>
            </w:r>
          </w:p>
        </w:tc>
        <w:tc>
          <w:tcPr>
            <w:tcW w:w="0" w:type="auto"/>
            <w:tcMar>
              <w:top w:w="150" w:type="dxa"/>
              <w:left w:w="240" w:type="dxa"/>
              <w:bottom w:w="150" w:type="dxa"/>
              <w:right w:w="240" w:type="dxa"/>
            </w:tcMar>
            <w:vAlign w:val="center"/>
            <w:hideMark/>
          </w:tcPr>
          <w:p w14:paraId="56FD9FD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5AE9908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25</w:t>
            </w:r>
          </w:p>
        </w:tc>
      </w:tr>
      <w:tr w:rsidR="00BD73B7" w:rsidRPr="000C5059" w14:paraId="0E6626DD" w14:textId="77777777" w:rsidTr="000C5059">
        <w:tc>
          <w:tcPr>
            <w:tcW w:w="0" w:type="auto"/>
            <w:tcMar>
              <w:top w:w="150" w:type="dxa"/>
              <w:left w:w="0" w:type="dxa"/>
              <w:bottom w:w="150" w:type="dxa"/>
              <w:right w:w="240" w:type="dxa"/>
            </w:tcMar>
            <w:vAlign w:val="center"/>
            <w:hideMark/>
          </w:tcPr>
          <w:p w14:paraId="2B11C2B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Pregnant adolescents receive psychosocial support</w:t>
            </w:r>
          </w:p>
        </w:tc>
        <w:tc>
          <w:tcPr>
            <w:tcW w:w="0" w:type="auto"/>
            <w:tcMar>
              <w:top w:w="150" w:type="dxa"/>
              <w:left w:w="240" w:type="dxa"/>
              <w:bottom w:w="150" w:type="dxa"/>
              <w:right w:w="240" w:type="dxa"/>
            </w:tcMar>
            <w:vAlign w:val="center"/>
            <w:hideMark/>
          </w:tcPr>
          <w:p w14:paraId="63676B3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11886E6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39FF337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30</w:t>
            </w:r>
          </w:p>
        </w:tc>
      </w:tr>
      <w:tr w:rsidR="00BD73B7" w:rsidRPr="000C5059" w14:paraId="2AD62DAA" w14:textId="77777777" w:rsidTr="000C5059">
        <w:tc>
          <w:tcPr>
            <w:tcW w:w="0" w:type="auto"/>
            <w:tcMar>
              <w:top w:w="150" w:type="dxa"/>
              <w:left w:w="0" w:type="dxa"/>
              <w:bottom w:w="150" w:type="dxa"/>
              <w:right w:w="240" w:type="dxa"/>
            </w:tcMar>
            <w:vAlign w:val="center"/>
            <w:hideMark/>
          </w:tcPr>
          <w:p w14:paraId="7FED9C7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998533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43BCC0C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32</w:t>
            </w:r>
          </w:p>
        </w:tc>
        <w:tc>
          <w:tcPr>
            <w:tcW w:w="0" w:type="auto"/>
            <w:tcMar>
              <w:top w:w="150" w:type="dxa"/>
              <w:left w:w="240" w:type="dxa"/>
              <w:bottom w:w="150" w:type="dxa"/>
              <w:right w:w="0" w:type="dxa"/>
            </w:tcMar>
            <w:vAlign w:val="center"/>
            <w:hideMark/>
          </w:tcPr>
          <w:p w14:paraId="3B3CE97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54</w:t>
            </w:r>
          </w:p>
        </w:tc>
      </w:tr>
      <w:tr w:rsidR="00BD73B7" w:rsidRPr="000C5059" w14:paraId="1B2443BD" w14:textId="77777777" w:rsidTr="000C5059">
        <w:tc>
          <w:tcPr>
            <w:tcW w:w="0" w:type="auto"/>
            <w:tcMar>
              <w:top w:w="150" w:type="dxa"/>
              <w:left w:w="0" w:type="dxa"/>
              <w:bottom w:w="150" w:type="dxa"/>
              <w:right w:w="240" w:type="dxa"/>
            </w:tcMar>
            <w:vAlign w:val="center"/>
            <w:hideMark/>
          </w:tcPr>
          <w:p w14:paraId="75A290A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8940B7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Sometimes</w:t>
            </w:r>
          </w:p>
        </w:tc>
        <w:tc>
          <w:tcPr>
            <w:tcW w:w="0" w:type="auto"/>
            <w:tcMar>
              <w:top w:w="150" w:type="dxa"/>
              <w:left w:w="240" w:type="dxa"/>
              <w:bottom w:w="150" w:type="dxa"/>
              <w:right w:w="240" w:type="dxa"/>
            </w:tcMar>
            <w:vAlign w:val="center"/>
            <w:hideMark/>
          </w:tcPr>
          <w:p w14:paraId="6289BCD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591F26E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16</w:t>
            </w:r>
          </w:p>
        </w:tc>
      </w:tr>
    </w:tbl>
    <w:p w14:paraId="594758A4"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3.7. Needs and Suggestions Expressed by Adolescents</w:t>
      </w:r>
    </w:p>
    <w:p w14:paraId="21206126"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Table 6 summarizes the reproductive health services desired by adolescents. The most frequently requested service was a dedicated sexual education center (60%), followed by PNSA services (21%) and PNSR services (19%). Regarding suggestions for reducing non-marital pregnancies, adolescents proposed: awareness campaigns (35%), improved parent-child dialogue (19%), collaboration between schools and health services (22%), easier contraceptive access (17%), and knowledge of menstrual cycles (7%). Notably, 64% expressed willingness to participate in regular school-based sexuality education programs.</w:t>
      </w:r>
    </w:p>
    <w:p w14:paraId="723BB2E9"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Table 6. Adolescent-Expressed Needs and Suggestions (N=151)</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21"/>
        <w:gridCol w:w="2243"/>
        <w:gridCol w:w="700"/>
        <w:gridCol w:w="700"/>
        <w:gridCol w:w="1724"/>
        <w:gridCol w:w="1572"/>
      </w:tblGrid>
      <w:tr w:rsidR="00BD73B7" w:rsidRPr="000C5059" w14:paraId="6A21819C" w14:textId="77777777" w:rsidTr="000C505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74B991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A3DF32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5A5341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DCC674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5A280C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3353C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Odds Ratio (95% CI)</w:t>
            </w:r>
          </w:p>
        </w:tc>
      </w:tr>
      <w:tr w:rsidR="00BD73B7" w:rsidRPr="000C5059" w14:paraId="6D857ABF" w14:textId="77777777" w:rsidTr="000C5059">
        <w:tc>
          <w:tcPr>
            <w:tcW w:w="0" w:type="auto"/>
            <w:tcBorders>
              <w:top w:val="single" w:sz="4" w:space="0" w:color="auto"/>
            </w:tcBorders>
            <w:tcMar>
              <w:top w:w="150" w:type="dxa"/>
              <w:left w:w="0" w:type="dxa"/>
              <w:bottom w:w="150" w:type="dxa"/>
              <w:right w:w="240" w:type="dxa"/>
            </w:tcMar>
            <w:vAlign w:val="center"/>
            <w:hideMark/>
          </w:tcPr>
          <w:p w14:paraId="22761DB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Desired reproductive health services</w:t>
            </w:r>
          </w:p>
        </w:tc>
        <w:tc>
          <w:tcPr>
            <w:tcW w:w="0" w:type="auto"/>
            <w:tcBorders>
              <w:top w:val="single" w:sz="4" w:space="0" w:color="auto"/>
            </w:tcBorders>
            <w:tcMar>
              <w:top w:w="150" w:type="dxa"/>
              <w:left w:w="240" w:type="dxa"/>
              <w:bottom w:w="150" w:type="dxa"/>
              <w:right w:w="240" w:type="dxa"/>
            </w:tcMar>
            <w:vAlign w:val="center"/>
            <w:hideMark/>
          </w:tcPr>
          <w:p w14:paraId="285F638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Sexual education center</w:t>
            </w:r>
          </w:p>
        </w:tc>
        <w:tc>
          <w:tcPr>
            <w:tcW w:w="0" w:type="auto"/>
            <w:tcBorders>
              <w:top w:val="single" w:sz="4" w:space="0" w:color="auto"/>
            </w:tcBorders>
            <w:tcMar>
              <w:top w:w="150" w:type="dxa"/>
              <w:left w:w="240" w:type="dxa"/>
              <w:bottom w:w="150" w:type="dxa"/>
              <w:right w:w="240" w:type="dxa"/>
            </w:tcMar>
            <w:vAlign w:val="center"/>
            <w:hideMark/>
          </w:tcPr>
          <w:p w14:paraId="6E7A0EA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90</w:t>
            </w:r>
          </w:p>
        </w:tc>
        <w:tc>
          <w:tcPr>
            <w:tcW w:w="0" w:type="auto"/>
            <w:tcBorders>
              <w:top w:val="single" w:sz="4" w:space="0" w:color="auto"/>
            </w:tcBorders>
            <w:tcMar>
              <w:top w:w="150" w:type="dxa"/>
              <w:left w:w="240" w:type="dxa"/>
              <w:bottom w:w="150" w:type="dxa"/>
              <w:right w:w="240" w:type="dxa"/>
            </w:tcMar>
            <w:vAlign w:val="center"/>
            <w:hideMark/>
          </w:tcPr>
          <w:p w14:paraId="5B9109F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60</w:t>
            </w:r>
          </w:p>
        </w:tc>
        <w:tc>
          <w:tcPr>
            <w:tcW w:w="0" w:type="auto"/>
            <w:tcBorders>
              <w:top w:val="single" w:sz="4" w:space="0" w:color="auto"/>
            </w:tcBorders>
            <w:tcMar>
              <w:top w:w="150" w:type="dxa"/>
              <w:left w:w="240" w:type="dxa"/>
              <w:bottom w:w="150" w:type="dxa"/>
              <w:right w:w="240" w:type="dxa"/>
            </w:tcMar>
            <w:vAlign w:val="center"/>
            <w:hideMark/>
          </w:tcPr>
          <w:p w14:paraId="6639095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12.5 (p=0.002)</w:t>
            </w:r>
          </w:p>
        </w:tc>
        <w:tc>
          <w:tcPr>
            <w:tcW w:w="0" w:type="auto"/>
            <w:tcBorders>
              <w:top w:val="single" w:sz="4" w:space="0" w:color="auto"/>
            </w:tcBorders>
            <w:tcMar>
              <w:top w:w="150" w:type="dxa"/>
              <w:left w:w="240" w:type="dxa"/>
              <w:bottom w:w="150" w:type="dxa"/>
              <w:right w:w="0" w:type="dxa"/>
            </w:tcMar>
            <w:vAlign w:val="center"/>
            <w:hideMark/>
          </w:tcPr>
          <w:p w14:paraId="35287E6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2.5 (1.4–4.5)</w:t>
            </w:r>
          </w:p>
        </w:tc>
      </w:tr>
      <w:tr w:rsidR="00BD73B7" w:rsidRPr="000C5059" w14:paraId="4447FE3B" w14:textId="77777777" w:rsidTr="000C5059">
        <w:tc>
          <w:tcPr>
            <w:tcW w:w="0" w:type="auto"/>
            <w:tcMar>
              <w:top w:w="150" w:type="dxa"/>
              <w:left w:w="0" w:type="dxa"/>
              <w:bottom w:w="150" w:type="dxa"/>
              <w:right w:w="240" w:type="dxa"/>
            </w:tcMar>
            <w:vAlign w:val="center"/>
            <w:hideMark/>
          </w:tcPr>
          <w:p w14:paraId="34C2E8F9"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4706E6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PNSA services</w:t>
            </w:r>
          </w:p>
        </w:tc>
        <w:tc>
          <w:tcPr>
            <w:tcW w:w="0" w:type="auto"/>
            <w:tcMar>
              <w:top w:w="150" w:type="dxa"/>
              <w:left w:w="240" w:type="dxa"/>
              <w:bottom w:w="150" w:type="dxa"/>
              <w:right w:w="240" w:type="dxa"/>
            </w:tcMar>
            <w:vAlign w:val="center"/>
            <w:hideMark/>
          </w:tcPr>
          <w:p w14:paraId="5848260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32</w:t>
            </w:r>
          </w:p>
        </w:tc>
        <w:tc>
          <w:tcPr>
            <w:tcW w:w="0" w:type="auto"/>
            <w:tcMar>
              <w:top w:w="150" w:type="dxa"/>
              <w:left w:w="240" w:type="dxa"/>
              <w:bottom w:w="150" w:type="dxa"/>
              <w:right w:w="240" w:type="dxa"/>
            </w:tcMar>
            <w:vAlign w:val="center"/>
            <w:hideMark/>
          </w:tcPr>
          <w:p w14:paraId="62E6E43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21</w:t>
            </w:r>
          </w:p>
        </w:tc>
        <w:tc>
          <w:tcPr>
            <w:tcW w:w="0" w:type="auto"/>
            <w:tcMar>
              <w:top w:w="150" w:type="dxa"/>
              <w:left w:w="240" w:type="dxa"/>
              <w:bottom w:w="150" w:type="dxa"/>
              <w:right w:w="240" w:type="dxa"/>
            </w:tcMar>
            <w:vAlign w:val="center"/>
            <w:hideMark/>
          </w:tcPr>
          <w:p w14:paraId="4ECE8C8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4F2738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262DC22D" w14:textId="77777777" w:rsidTr="000C5059">
        <w:tc>
          <w:tcPr>
            <w:tcW w:w="0" w:type="auto"/>
            <w:tcMar>
              <w:top w:w="150" w:type="dxa"/>
              <w:left w:w="0" w:type="dxa"/>
              <w:bottom w:w="150" w:type="dxa"/>
              <w:right w:w="240" w:type="dxa"/>
            </w:tcMar>
            <w:vAlign w:val="center"/>
            <w:hideMark/>
          </w:tcPr>
          <w:p w14:paraId="18F0E9A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D3FE1A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PNSR services</w:t>
            </w:r>
          </w:p>
        </w:tc>
        <w:tc>
          <w:tcPr>
            <w:tcW w:w="0" w:type="auto"/>
            <w:tcMar>
              <w:top w:w="150" w:type="dxa"/>
              <w:left w:w="240" w:type="dxa"/>
              <w:bottom w:w="150" w:type="dxa"/>
              <w:right w:w="240" w:type="dxa"/>
            </w:tcMar>
            <w:vAlign w:val="center"/>
            <w:hideMark/>
          </w:tcPr>
          <w:p w14:paraId="46C018B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c>
          <w:tcPr>
            <w:tcW w:w="0" w:type="auto"/>
            <w:tcMar>
              <w:top w:w="150" w:type="dxa"/>
              <w:left w:w="240" w:type="dxa"/>
              <w:bottom w:w="150" w:type="dxa"/>
              <w:right w:w="240" w:type="dxa"/>
            </w:tcMar>
            <w:vAlign w:val="center"/>
            <w:hideMark/>
          </w:tcPr>
          <w:p w14:paraId="5281BB2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240" w:type="dxa"/>
            </w:tcMar>
            <w:vAlign w:val="center"/>
            <w:hideMark/>
          </w:tcPr>
          <w:p w14:paraId="55F51B8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372F21B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251797F3" w14:textId="77777777" w:rsidTr="000C5059">
        <w:tc>
          <w:tcPr>
            <w:tcW w:w="0" w:type="auto"/>
            <w:tcMar>
              <w:top w:w="150" w:type="dxa"/>
              <w:left w:w="0" w:type="dxa"/>
              <w:bottom w:w="150" w:type="dxa"/>
              <w:right w:w="240" w:type="dxa"/>
            </w:tcMar>
            <w:vAlign w:val="center"/>
            <w:hideMark/>
          </w:tcPr>
          <w:p w14:paraId="447EF78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b/>
                <w:bCs/>
                <w:kern w:val="0"/>
                <w:sz w:val="22"/>
                <w:szCs w:val="22"/>
                <w14:ligatures w14:val="none"/>
              </w:rPr>
              <w:t>Suggestions for prevention</w:t>
            </w:r>
          </w:p>
        </w:tc>
        <w:tc>
          <w:tcPr>
            <w:tcW w:w="0" w:type="auto"/>
            <w:tcMar>
              <w:top w:w="150" w:type="dxa"/>
              <w:left w:w="240" w:type="dxa"/>
              <w:bottom w:w="150" w:type="dxa"/>
              <w:right w:w="240" w:type="dxa"/>
            </w:tcMar>
            <w:vAlign w:val="center"/>
            <w:hideMark/>
          </w:tcPr>
          <w:p w14:paraId="55EA3B2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Awareness campaigns</w:t>
            </w:r>
          </w:p>
        </w:tc>
        <w:tc>
          <w:tcPr>
            <w:tcW w:w="0" w:type="auto"/>
            <w:tcMar>
              <w:top w:w="150" w:type="dxa"/>
              <w:left w:w="240" w:type="dxa"/>
              <w:bottom w:w="150" w:type="dxa"/>
              <w:right w:w="240" w:type="dxa"/>
            </w:tcMar>
            <w:vAlign w:val="center"/>
            <w:hideMark/>
          </w:tcPr>
          <w:p w14:paraId="15EC037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53</w:t>
            </w:r>
          </w:p>
        </w:tc>
        <w:tc>
          <w:tcPr>
            <w:tcW w:w="0" w:type="auto"/>
            <w:tcMar>
              <w:top w:w="150" w:type="dxa"/>
              <w:left w:w="240" w:type="dxa"/>
              <w:bottom w:w="150" w:type="dxa"/>
              <w:right w:w="240" w:type="dxa"/>
            </w:tcMar>
            <w:vAlign w:val="center"/>
            <w:hideMark/>
          </w:tcPr>
          <w:p w14:paraId="1A4E8E5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35</w:t>
            </w:r>
          </w:p>
        </w:tc>
        <w:tc>
          <w:tcPr>
            <w:tcW w:w="0" w:type="auto"/>
            <w:tcMar>
              <w:top w:w="150" w:type="dxa"/>
              <w:left w:w="240" w:type="dxa"/>
              <w:bottom w:w="150" w:type="dxa"/>
              <w:right w:w="240" w:type="dxa"/>
            </w:tcMar>
            <w:vAlign w:val="center"/>
            <w:hideMark/>
          </w:tcPr>
          <w:p w14:paraId="52B7F88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χ² = 6.4 (p=0.17)</w:t>
            </w:r>
          </w:p>
        </w:tc>
        <w:tc>
          <w:tcPr>
            <w:tcW w:w="0" w:type="auto"/>
            <w:tcMar>
              <w:top w:w="150" w:type="dxa"/>
              <w:left w:w="240" w:type="dxa"/>
              <w:bottom w:w="150" w:type="dxa"/>
              <w:right w:w="0" w:type="dxa"/>
            </w:tcMar>
            <w:vAlign w:val="center"/>
            <w:hideMark/>
          </w:tcPr>
          <w:p w14:paraId="76C600B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OR = 1.3 (0.8–2.1)</w:t>
            </w:r>
          </w:p>
        </w:tc>
      </w:tr>
      <w:tr w:rsidR="00BD73B7" w:rsidRPr="000C5059" w14:paraId="3FC207FE" w14:textId="77777777" w:rsidTr="000C5059">
        <w:tc>
          <w:tcPr>
            <w:tcW w:w="0" w:type="auto"/>
            <w:tcMar>
              <w:top w:w="150" w:type="dxa"/>
              <w:left w:w="0" w:type="dxa"/>
              <w:bottom w:w="150" w:type="dxa"/>
              <w:right w:w="240" w:type="dxa"/>
            </w:tcMar>
            <w:vAlign w:val="center"/>
            <w:hideMark/>
          </w:tcPr>
          <w:p w14:paraId="152D02C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AD1047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Parent-child dialogue</w:t>
            </w:r>
          </w:p>
        </w:tc>
        <w:tc>
          <w:tcPr>
            <w:tcW w:w="0" w:type="auto"/>
            <w:tcMar>
              <w:top w:w="150" w:type="dxa"/>
              <w:left w:w="240" w:type="dxa"/>
              <w:bottom w:w="150" w:type="dxa"/>
              <w:right w:w="240" w:type="dxa"/>
            </w:tcMar>
            <w:vAlign w:val="center"/>
            <w:hideMark/>
          </w:tcPr>
          <w:p w14:paraId="3FA4C6C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29</w:t>
            </w:r>
          </w:p>
        </w:tc>
        <w:tc>
          <w:tcPr>
            <w:tcW w:w="0" w:type="auto"/>
            <w:tcMar>
              <w:top w:w="150" w:type="dxa"/>
              <w:left w:w="240" w:type="dxa"/>
              <w:bottom w:w="150" w:type="dxa"/>
              <w:right w:w="240" w:type="dxa"/>
            </w:tcMar>
            <w:vAlign w:val="center"/>
            <w:hideMark/>
          </w:tcPr>
          <w:p w14:paraId="2F69DA9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240" w:type="dxa"/>
            </w:tcMar>
            <w:vAlign w:val="center"/>
            <w:hideMark/>
          </w:tcPr>
          <w:p w14:paraId="0AF4A695"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6A76B08"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6D2E1D15" w14:textId="77777777" w:rsidTr="000C5059">
        <w:tc>
          <w:tcPr>
            <w:tcW w:w="0" w:type="auto"/>
            <w:tcMar>
              <w:top w:w="150" w:type="dxa"/>
              <w:left w:w="0" w:type="dxa"/>
              <w:bottom w:w="150" w:type="dxa"/>
              <w:right w:w="240" w:type="dxa"/>
            </w:tcMar>
            <w:vAlign w:val="center"/>
            <w:hideMark/>
          </w:tcPr>
          <w:p w14:paraId="11B97F4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455999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School-health collaboration</w:t>
            </w:r>
          </w:p>
        </w:tc>
        <w:tc>
          <w:tcPr>
            <w:tcW w:w="0" w:type="auto"/>
            <w:tcMar>
              <w:top w:w="150" w:type="dxa"/>
              <w:left w:w="240" w:type="dxa"/>
              <w:bottom w:w="150" w:type="dxa"/>
              <w:right w:w="240" w:type="dxa"/>
            </w:tcMar>
            <w:vAlign w:val="center"/>
            <w:hideMark/>
          </w:tcPr>
          <w:p w14:paraId="32F32AC6"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240" w:type="dxa"/>
            </w:tcMar>
            <w:vAlign w:val="center"/>
            <w:hideMark/>
          </w:tcPr>
          <w:p w14:paraId="35BCC8B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22</w:t>
            </w:r>
          </w:p>
        </w:tc>
        <w:tc>
          <w:tcPr>
            <w:tcW w:w="0" w:type="auto"/>
            <w:tcMar>
              <w:top w:w="150" w:type="dxa"/>
              <w:left w:w="240" w:type="dxa"/>
              <w:bottom w:w="150" w:type="dxa"/>
              <w:right w:w="240" w:type="dxa"/>
            </w:tcMar>
            <w:vAlign w:val="center"/>
            <w:hideMark/>
          </w:tcPr>
          <w:p w14:paraId="266E008F"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5183820"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0644BEB9" w14:textId="77777777" w:rsidTr="000C5059">
        <w:tc>
          <w:tcPr>
            <w:tcW w:w="0" w:type="auto"/>
            <w:tcMar>
              <w:top w:w="150" w:type="dxa"/>
              <w:left w:w="0" w:type="dxa"/>
              <w:bottom w:w="150" w:type="dxa"/>
              <w:right w:w="240" w:type="dxa"/>
            </w:tcMar>
            <w:vAlign w:val="center"/>
            <w:hideMark/>
          </w:tcPr>
          <w:p w14:paraId="1D1E995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9ECF82B"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Contraceptive access</w:t>
            </w:r>
          </w:p>
        </w:tc>
        <w:tc>
          <w:tcPr>
            <w:tcW w:w="0" w:type="auto"/>
            <w:tcMar>
              <w:top w:w="150" w:type="dxa"/>
              <w:left w:w="240" w:type="dxa"/>
              <w:bottom w:w="150" w:type="dxa"/>
              <w:right w:w="240" w:type="dxa"/>
            </w:tcMar>
            <w:vAlign w:val="center"/>
            <w:hideMark/>
          </w:tcPr>
          <w:p w14:paraId="52F95C7E"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240" w:type="dxa"/>
            </w:tcMar>
            <w:vAlign w:val="center"/>
            <w:hideMark/>
          </w:tcPr>
          <w:p w14:paraId="435E239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17</w:t>
            </w:r>
          </w:p>
        </w:tc>
        <w:tc>
          <w:tcPr>
            <w:tcW w:w="0" w:type="auto"/>
            <w:tcMar>
              <w:top w:w="150" w:type="dxa"/>
              <w:left w:w="240" w:type="dxa"/>
              <w:bottom w:w="150" w:type="dxa"/>
              <w:right w:w="240" w:type="dxa"/>
            </w:tcMar>
            <w:vAlign w:val="center"/>
            <w:hideMark/>
          </w:tcPr>
          <w:p w14:paraId="0D874AB2"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A493A0D"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r w:rsidR="00BD73B7" w:rsidRPr="000C5059" w14:paraId="593ECAE6" w14:textId="77777777" w:rsidTr="000C5059">
        <w:tc>
          <w:tcPr>
            <w:tcW w:w="0" w:type="auto"/>
            <w:tcMar>
              <w:top w:w="150" w:type="dxa"/>
              <w:left w:w="0" w:type="dxa"/>
              <w:bottom w:w="150" w:type="dxa"/>
              <w:right w:w="240" w:type="dxa"/>
            </w:tcMar>
            <w:vAlign w:val="center"/>
            <w:hideMark/>
          </w:tcPr>
          <w:p w14:paraId="165562F3"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4C1D067"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Menstrual cycle knowledge</w:t>
            </w:r>
          </w:p>
        </w:tc>
        <w:tc>
          <w:tcPr>
            <w:tcW w:w="0" w:type="auto"/>
            <w:tcMar>
              <w:top w:w="150" w:type="dxa"/>
              <w:left w:w="240" w:type="dxa"/>
              <w:bottom w:w="150" w:type="dxa"/>
              <w:right w:w="240" w:type="dxa"/>
            </w:tcMar>
            <w:vAlign w:val="center"/>
            <w:hideMark/>
          </w:tcPr>
          <w:p w14:paraId="7A64EE3C"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11</w:t>
            </w:r>
          </w:p>
        </w:tc>
        <w:tc>
          <w:tcPr>
            <w:tcW w:w="0" w:type="auto"/>
            <w:tcMar>
              <w:top w:w="150" w:type="dxa"/>
              <w:left w:w="240" w:type="dxa"/>
              <w:bottom w:w="150" w:type="dxa"/>
              <w:right w:w="240" w:type="dxa"/>
            </w:tcMar>
            <w:vAlign w:val="center"/>
            <w:hideMark/>
          </w:tcPr>
          <w:p w14:paraId="0D146671"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r w:rsidRPr="000C5059">
              <w:rPr>
                <w:rFonts w:ascii="Times New Roman" w:eastAsia="Times New Roman" w:hAnsi="Times New Roman" w:cs="Times New Roman"/>
                <w:kern w:val="0"/>
                <w:sz w:val="22"/>
                <w:szCs w:val="22"/>
                <w14:ligatures w14:val="none"/>
              </w:rPr>
              <w:t>7</w:t>
            </w:r>
          </w:p>
        </w:tc>
        <w:tc>
          <w:tcPr>
            <w:tcW w:w="0" w:type="auto"/>
            <w:tcMar>
              <w:top w:w="150" w:type="dxa"/>
              <w:left w:w="240" w:type="dxa"/>
              <w:bottom w:w="150" w:type="dxa"/>
              <w:right w:w="240" w:type="dxa"/>
            </w:tcMar>
            <w:vAlign w:val="center"/>
            <w:hideMark/>
          </w:tcPr>
          <w:p w14:paraId="62AAAD14"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48BEC2AA" w14:textId="77777777" w:rsidR="00BD73B7" w:rsidRPr="000C5059" w:rsidRDefault="00BD73B7" w:rsidP="000C5059">
            <w:pPr>
              <w:spacing w:after="0" w:line="240" w:lineRule="auto"/>
              <w:rPr>
                <w:rFonts w:ascii="Times New Roman" w:eastAsia="Times New Roman" w:hAnsi="Times New Roman" w:cs="Times New Roman"/>
                <w:kern w:val="0"/>
                <w:sz w:val="22"/>
                <w:szCs w:val="22"/>
                <w14:ligatures w14:val="none"/>
              </w:rPr>
            </w:pPr>
          </w:p>
        </w:tc>
      </w:tr>
    </w:tbl>
    <w:p w14:paraId="262E0AF1"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4. Discussion</w:t>
      </w:r>
    </w:p>
    <w:p w14:paraId="4F66804A"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4.1. Summary of Principal Findings</w:t>
      </w:r>
    </w:p>
    <w:p w14:paraId="2A546E53"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This study provides the first robust, community-based estimates of non-marital adolescent pregnancy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DRC. The 41% lifetime prevalence is alarmingly high—substantially exceeding the national adolescent pregnancy rate of 27% reported in the 2014 DHS. All pregnancies reported were non-marital, underscoring a significant gap between sexual activity, contraceptive use, and social norms. The key drivers identified </w:t>
      </w:r>
      <w:proofErr w:type="gramStart"/>
      <w:r w:rsidRPr="00BD73B7">
        <w:rPr>
          <w:rFonts w:ascii="Times New Roman" w:eastAsia="Times New Roman" w:hAnsi="Times New Roman" w:cs="Times New Roman"/>
          <w:color w:val="0F1115"/>
          <w:kern w:val="0"/>
          <w14:ligatures w14:val="none"/>
        </w:rPr>
        <w:t>include:</w:t>
      </w:r>
      <w:proofErr w:type="gramEnd"/>
      <w:r w:rsidRPr="00BD73B7">
        <w:rPr>
          <w:rFonts w:ascii="Times New Roman" w:eastAsia="Times New Roman" w:hAnsi="Times New Roman" w:cs="Times New Roman"/>
          <w:color w:val="0F1115"/>
          <w:kern w:val="0"/>
          <w14:ligatures w14:val="none"/>
        </w:rPr>
        <w:t xml:space="preserve"> near-universal sexual activity by age 18 (82%), extremely low contraceptive prevalence (23%), poor knowledge of contraceptive methods (82% unaware), and weak health system support (59% of health workers acknowledge access barriers).</w:t>
      </w:r>
    </w:p>
    <w:p w14:paraId="04193F05"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lastRenderedPageBreak/>
        <w:t>4.2. Comparison with Existing Literature</w:t>
      </w:r>
    </w:p>
    <w:p w14:paraId="579366A0"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The 41% prevalence aligns with recent studies in similar urban disadvantaged settings in sub-Saharan Africa. Kabongo et al. (2021) reported a 38% adolescent pregnancy rate in Kinshasa's poorest communes, while Mbuyi (2019) found 44% in Lubumbashi. However, our figure is considerably higher than the 25% reported in rural Équateur Province by UNICEF (2020), suggesting that urbanization may increase risk through greater peer influence, earlier sexual debut, and weaker traditional family controls.</w:t>
      </w:r>
    </w:p>
    <w:p w14:paraId="4CD4F0B9"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The low contraceptive knowledge (18%) despite relatively high reported sex education (73%) echoes findings across the DRC and other African nations. This paradox indicates that "sex education" as currently delivered is often abstinence-only, moralistic, or lacks practical information on where and how to obtain contraceptives. As Kirby's (2007) meta-analysis demonstrated, only comprehensive sexuality education that includes contraceptive demonstration reduces unintended pregnancy rates. Our results support the WHO (2020) recommendation that education must be coupled with accessible, youth-friendly services.</w:t>
      </w:r>
    </w:p>
    <w:p w14:paraId="2023D8ED"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The 46% school dropout rate among ever-pregnant adolescents is consistent with UNESCO (2017) estimates that pregnancy is the leading cause of school discontinuation for girls in sub-Saharan Africa. This perpetuates poverty across generations, consistent with Bourdieu's theory of social reproduction. Encouragingly, 54% remained in school, suggesting that with adequate support, many pregnant adolescents can continue education—a finding that should inform re-entry policies.</w:t>
      </w:r>
    </w:p>
    <w:p w14:paraId="1A45CF45"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Parental communication (64%) was protective (OR=2.1 for knowledge), but its effect was limited, possibly because parents themselves lack accurate information or feel uncomfortable discussing contraception. This aligns with studies from Uganda (Namazzi et al., 2018) showing that parent-child dialogue is most effective when accompanied by parent training programs.</w:t>
      </w:r>
    </w:p>
    <w:p w14:paraId="032D5560"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4.3. Policy and Programmatic Implications</w:t>
      </w:r>
    </w:p>
    <w:p w14:paraId="7D30E60A"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Three urgent implications emerge:</w:t>
      </w:r>
    </w:p>
    <w:p w14:paraId="57F6073E"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lastRenderedPageBreak/>
        <w:t>First,</w:t>
      </w:r>
      <w:r w:rsidRPr="00BD73B7">
        <w:rPr>
          <w:rFonts w:ascii="Times New Roman" w:eastAsia="Times New Roman" w:hAnsi="Times New Roman" w:cs="Times New Roman"/>
          <w:color w:val="0F1115"/>
          <w:kern w:val="0"/>
          <w14:ligatures w14:val="none"/>
        </w:rPr>
        <w:t xml:space="preserve"> the near-total absence of contraceptive use among sexually active adolescents (77% non-use) represents a failure of both the PNSA and PNSR at the local level. Despite national mandates, no dedicated youth-friendly service point exists in </w:t>
      </w:r>
      <w:proofErr w:type="spellStart"/>
      <w:r w:rsidRPr="00BD73B7">
        <w:rPr>
          <w:rFonts w:ascii="Times New Roman" w:eastAsia="Times New Roman" w:hAnsi="Times New Roman" w:cs="Times New Roman"/>
          <w:color w:val="0F1115"/>
          <w:kern w:val="0"/>
          <w14:ligatures w14:val="none"/>
        </w:rPr>
        <w:t>Mbandaka's</w:t>
      </w:r>
      <w:proofErr w:type="spellEnd"/>
      <w:r w:rsidRPr="00BD73B7">
        <w:rPr>
          <w:rFonts w:ascii="Times New Roman" w:eastAsia="Times New Roman" w:hAnsi="Times New Roman" w:cs="Times New Roman"/>
          <w:color w:val="0F1115"/>
          <w:kern w:val="0"/>
          <w14:ligatures w14:val="none"/>
        </w:rPr>
        <w:t xml:space="preserve"> three health zones. Contraceptives are available only at general consultation hours, discouraging adolescent attendance due to fear of being seen by parents or peers. Decentralizing contraceptive distribution to schools, community health workers, and adolescent peer educators is essential.</w:t>
      </w:r>
    </w:p>
    <w:p w14:paraId="1480BECD"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Second,</w:t>
      </w:r>
      <w:r w:rsidRPr="00BD73B7">
        <w:rPr>
          <w:rFonts w:ascii="Times New Roman" w:eastAsia="Times New Roman" w:hAnsi="Times New Roman" w:cs="Times New Roman"/>
          <w:color w:val="0F1115"/>
          <w:kern w:val="0"/>
          <w14:ligatures w14:val="none"/>
        </w:rPr>
        <w:t> current sex education is ineffective. While 73% of adolescents reported receiving some education, only 18% could name a contraceptive method. Schools need to adopt a standardized, comprehensive sexuality education curriculum starting in primary school, taught by trained teachers, that includes practical demonstrations and addresses consent, contraception, and refusal skills.</w:t>
      </w:r>
    </w:p>
    <w:p w14:paraId="2A2479D1"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Third,</w:t>
      </w:r>
      <w:r w:rsidRPr="00BD73B7">
        <w:rPr>
          <w:rFonts w:ascii="Times New Roman" w:eastAsia="Times New Roman" w:hAnsi="Times New Roman" w:cs="Times New Roman"/>
          <w:color w:val="0F1115"/>
          <w:kern w:val="0"/>
          <w14:ligatures w14:val="none"/>
        </w:rPr>
        <w:t> the 41% prevalence of adolescent pregnancy and 22% perceived stigmatization suggest that community-level sensitization is lacking. Mass media campaigns, community dialogues involving religious leaders, and support groups for pregnant adolescents could reduce stigma and encourage health-seeking behavior.</w:t>
      </w:r>
    </w:p>
    <w:p w14:paraId="54621B5E" w14:textId="77777777"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t>4.4. Strengths and Limitations</w:t>
      </w:r>
    </w:p>
    <w:p w14:paraId="52C0DA30"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Strengths</w:t>
      </w:r>
      <w:r w:rsidRPr="00BD73B7">
        <w:rPr>
          <w:rFonts w:ascii="Times New Roman" w:eastAsia="Times New Roman" w:hAnsi="Times New Roman" w:cs="Times New Roman"/>
          <w:color w:val="0F1115"/>
          <w:kern w:val="0"/>
          <w14:ligatures w14:val="none"/>
        </w:rPr>
        <w:t xml:space="preserve"> include the first mixed-methods study of adolescent pregnancy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with rigorous random sampling and a high response rate (94%). Triangulation of data from adolescents, mothers, and health workers enhances validity. The inclusion of both quantitative and qualitative components provides depth to the findings.</w:t>
      </w:r>
    </w:p>
    <w:p w14:paraId="4B7F32A3"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Limitations</w:t>
      </w:r>
      <w:r w:rsidRPr="00BD73B7">
        <w:rPr>
          <w:rFonts w:ascii="Times New Roman" w:eastAsia="Times New Roman" w:hAnsi="Times New Roman" w:cs="Times New Roman"/>
          <w:color w:val="0F1115"/>
          <w:kern w:val="0"/>
          <w14:ligatures w14:val="none"/>
        </w:rPr>
        <w:t xml:space="preserve"> include the cross-sectional design, which precludes causal inference. Self-reported sexual behavior may be subject to social desirability bias, potentially underestimating sexual activity and abortion rates. The sample, while representative of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city, cannot be generalized to rural Équateur Province or other DRC cities. Finally, unmeasured confounding variables (e.g., religiosity, peer norms, media exposure) may influence outcomes.</w:t>
      </w:r>
    </w:p>
    <w:p w14:paraId="47AAC38E" w14:textId="77777777" w:rsidR="000C5059" w:rsidRDefault="000C5059"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p>
    <w:p w14:paraId="69C670D4" w14:textId="2E211EE3" w:rsidR="00BD73B7" w:rsidRPr="00BD73B7" w:rsidRDefault="00BD73B7" w:rsidP="00BD73B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D73B7">
        <w:rPr>
          <w:rFonts w:ascii="Times New Roman" w:eastAsia="Times New Roman" w:hAnsi="Times New Roman" w:cs="Times New Roman"/>
          <w:b/>
          <w:bCs/>
          <w:color w:val="0F1115"/>
          <w:kern w:val="0"/>
          <w:sz w:val="30"/>
          <w:szCs w:val="30"/>
          <w14:ligatures w14:val="none"/>
        </w:rPr>
        <w:lastRenderedPageBreak/>
        <w:t>4.5. Recommendations for Future Research</w:t>
      </w:r>
    </w:p>
    <w:p w14:paraId="7CE35824"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Future studies should: (1) conduct longitudinal cohort studies to establish causal pathways; (2) evaluate the effectiveness of youth-friendly service interventions using cluster-randomized designs; (3) explore the role of male partners and peer networks through qualitative methods; and (4) extend geographic coverage to rural health zones in Équateur Province.</w:t>
      </w:r>
    </w:p>
    <w:p w14:paraId="3C057044"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5. Conclusion</w:t>
      </w:r>
    </w:p>
    <w:p w14:paraId="37B0B705"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Non-marital pregnancy among adolescents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is a severe, multifactorial public health crisis affecting over 40% of girls by age 19. The phenomenon is driven by early and unprotected sexual activity, abysmally low contraceptive knowledge and use, inadequate and non-practical sex education, poverty, and a health system that fails to provide youth-friendly reproductive services. Without immediate, coordinated action—including comprehensive sexuality education in schools, free and confidential contraceptive access, family dialogue programs, and community de-stigmatization campaigns—this crisis will continue to truncate the education, health, and economic futures of thousands of adolescent girls in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and similar Congolese cities.</w:t>
      </w:r>
    </w:p>
    <w:p w14:paraId="2F173227" w14:textId="77777777"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t>Acknowledgments</w:t>
      </w:r>
    </w:p>
    <w:p w14:paraId="27EBBEC9"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 xml:space="preserve">The authors thank the adolescents, mothers, and health workers of </w:t>
      </w:r>
      <w:proofErr w:type="spellStart"/>
      <w:r w:rsidRPr="00BD73B7">
        <w:rPr>
          <w:rFonts w:ascii="Times New Roman" w:eastAsia="Times New Roman" w:hAnsi="Times New Roman" w:cs="Times New Roman"/>
          <w:color w:val="0F1115"/>
          <w:kern w:val="0"/>
          <w14:ligatures w14:val="none"/>
        </w:rPr>
        <w:t>Mbandaka</w:t>
      </w:r>
      <w:proofErr w:type="spellEnd"/>
      <w:r w:rsidRPr="00BD73B7">
        <w:rPr>
          <w:rFonts w:ascii="Times New Roman" w:eastAsia="Times New Roman" w:hAnsi="Times New Roman" w:cs="Times New Roman"/>
          <w:color w:val="0F1115"/>
          <w:kern w:val="0"/>
          <w14:ligatures w14:val="none"/>
        </w:rPr>
        <w:t xml:space="preserve"> for their candid participation. We are grateful to the Équateur Provincial Health Division and the mayors of the three communes for facilitating access.</w:t>
      </w:r>
    </w:p>
    <w:p w14:paraId="1A02FCD7"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Conflict of Interest:</w:t>
      </w:r>
      <w:r w:rsidRPr="00BD73B7">
        <w:rPr>
          <w:rFonts w:ascii="Times New Roman" w:eastAsia="Times New Roman" w:hAnsi="Times New Roman" w:cs="Times New Roman"/>
          <w:color w:val="0F1115"/>
          <w:kern w:val="0"/>
          <w14:ligatures w14:val="none"/>
        </w:rPr>
        <w:t> None declared.</w:t>
      </w:r>
    </w:p>
    <w:p w14:paraId="7FAA7315" w14:textId="77777777" w:rsidR="00BD73B7" w:rsidRPr="00BD73B7" w:rsidRDefault="00BD73B7" w:rsidP="00BD73B7">
      <w:pPr>
        <w:shd w:val="clear" w:color="auto" w:fill="FFFFFF"/>
        <w:spacing w:before="240" w:after="24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b/>
          <w:bCs/>
          <w:color w:val="0F1115"/>
          <w:kern w:val="0"/>
          <w14:ligatures w14:val="none"/>
        </w:rPr>
        <w:t>Funding:</w:t>
      </w:r>
      <w:r w:rsidRPr="00BD73B7">
        <w:rPr>
          <w:rFonts w:ascii="Times New Roman" w:eastAsia="Times New Roman" w:hAnsi="Times New Roman" w:cs="Times New Roman"/>
          <w:color w:val="0F1115"/>
          <w:kern w:val="0"/>
          <w14:ligatures w14:val="none"/>
        </w:rPr>
        <w:t> This research received no specific grant from any funding agency in the public, commercial, or not-for-profit sectors.</w:t>
      </w:r>
    </w:p>
    <w:p w14:paraId="5B482135" w14:textId="77777777" w:rsidR="000C5059" w:rsidRDefault="000C5059" w:rsidP="00BD73B7">
      <w:pPr>
        <w:shd w:val="clear" w:color="auto" w:fill="FFFFFF"/>
        <w:spacing w:before="480" w:after="240" w:line="480" w:lineRule="atLeast"/>
        <w:outlineLvl w:val="1"/>
        <w:rPr>
          <w:rFonts w:ascii="Times New Roman" w:eastAsia="Times New Roman" w:hAnsi="Times New Roman" w:cs="Times New Roman"/>
          <w:color w:val="0F1115"/>
          <w:kern w:val="0"/>
          <w14:ligatures w14:val="none"/>
        </w:rPr>
      </w:pPr>
    </w:p>
    <w:p w14:paraId="359FA06C" w14:textId="7D1CF74C" w:rsidR="00BD73B7" w:rsidRPr="00BD73B7" w:rsidRDefault="00BD73B7" w:rsidP="00BD73B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D73B7">
        <w:rPr>
          <w:rFonts w:ascii="Times New Roman" w:eastAsia="Times New Roman" w:hAnsi="Times New Roman" w:cs="Times New Roman"/>
          <w:b/>
          <w:bCs/>
          <w:color w:val="0F1115"/>
          <w:kern w:val="0"/>
          <w:sz w:val="33"/>
          <w:szCs w:val="33"/>
          <w14:ligatures w14:val="none"/>
        </w:rPr>
        <w:lastRenderedPageBreak/>
        <w:t>References (Selected Key References)</w:t>
      </w:r>
    </w:p>
    <w:p w14:paraId="47DA2D58"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Kabongo, J., Tshiala, P., &amp; Mbuyi, A. (2021). Prevalence and factors associated with adolescent pregnancy in Kinshasa, DRC. </w:t>
      </w:r>
      <w:r w:rsidRPr="00BD73B7">
        <w:rPr>
          <w:rFonts w:ascii="Times New Roman" w:eastAsia="Times New Roman" w:hAnsi="Times New Roman" w:cs="Times New Roman"/>
          <w:i/>
          <w:iCs/>
          <w:color w:val="0F1115"/>
          <w:kern w:val="0"/>
          <w14:ligatures w14:val="none"/>
        </w:rPr>
        <w:t>Congolese Journal of Public Health</w:t>
      </w:r>
      <w:r w:rsidRPr="00BD73B7">
        <w:rPr>
          <w:rFonts w:ascii="Times New Roman" w:eastAsia="Times New Roman" w:hAnsi="Times New Roman" w:cs="Times New Roman"/>
          <w:color w:val="0F1115"/>
          <w:kern w:val="0"/>
          <w14:ligatures w14:val="none"/>
        </w:rPr>
        <w:t>, 12(3), 45–52.</w:t>
      </w:r>
    </w:p>
    <w:p w14:paraId="180A6835"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Kirby, D. (2007). </w:t>
      </w:r>
      <w:r w:rsidRPr="00BD73B7">
        <w:rPr>
          <w:rFonts w:ascii="Times New Roman" w:eastAsia="Times New Roman" w:hAnsi="Times New Roman" w:cs="Times New Roman"/>
          <w:i/>
          <w:iCs/>
          <w:color w:val="0F1115"/>
          <w:kern w:val="0"/>
          <w14:ligatures w14:val="none"/>
        </w:rPr>
        <w:t>Emerging Answers 2007: Research Findings on Programs to Reduce Teen Pregnancy</w:t>
      </w:r>
      <w:r w:rsidRPr="00BD73B7">
        <w:rPr>
          <w:rFonts w:ascii="Times New Roman" w:eastAsia="Times New Roman" w:hAnsi="Times New Roman" w:cs="Times New Roman"/>
          <w:color w:val="0F1115"/>
          <w:kern w:val="0"/>
          <w14:ligatures w14:val="none"/>
        </w:rPr>
        <w:t>. Washington, DC: National Campaign to Prevent Teen and Unplanned Pregnancy.</w:t>
      </w:r>
    </w:p>
    <w:p w14:paraId="624C678F"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Mbuyi, A. (2019). Social attitudes toward unmarried pregnant adolescents in Lubumbashi. </w:t>
      </w:r>
      <w:r w:rsidRPr="00BD73B7">
        <w:rPr>
          <w:rFonts w:ascii="Times New Roman" w:eastAsia="Times New Roman" w:hAnsi="Times New Roman" w:cs="Times New Roman"/>
          <w:i/>
          <w:iCs/>
          <w:color w:val="0F1115"/>
          <w:kern w:val="0"/>
          <w14:ligatures w14:val="none"/>
        </w:rPr>
        <w:t>Journal of Reproductive Health in Central Africa</w:t>
      </w:r>
      <w:r w:rsidRPr="00BD73B7">
        <w:rPr>
          <w:rFonts w:ascii="Times New Roman" w:eastAsia="Times New Roman" w:hAnsi="Times New Roman" w:cs="Times New Roman"/>
          <w:color w:val="0F1115"/>
          <w:kern w:val="0"/>
          <w14:ligatures w14:val="none"/>
        </w:rPr>
        <w:t>, 8(1), 22–30.</w:t>
      </w:r>
    </w:p>
    <w:p w14:paraId="282DBC88"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Ministry of Health, DRC. (2014). </w:t>
      </w:r>
      <w:r w:rsidRPr="00BD73B7">
        <w:rPr>
          <w:rFonts w:ascii="Times New Roman" w:eastAsia="Times New Roman" w:hAnsi="Times New Roman" w:cs="Times New Roman"/>
          <w:i/>
          <w:iCs/>
          <w:color w:val="0F1115"/>
          <w:kern w:val="0"/>
          <w14:ligatures w14:val="none"/>
        </w:rPr>
        <w:t>Demographic and Health Survey 2013–2014</w:t>
      </w:r>
      <w:r w:rsidRPr="00BD73B7">
        <w:rPr>
          <w:rFonts w:ascii="Times New Roman" w:eastAsia="Times New Roman" w:hAnsi="Times New Roman" w:cs="Times New Roman"/>
          <w:color w:val="0F1115"/>
          <w:kern w:val="0"/>
          <w14:ligatures w14:val="none"/>
        </w:rPr>
        <w:t>. Kinshasa: INS/ICF.</w:t>
      </w:r>
    </w:p>
    <w:p w14:paraId="7DA6703D"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Namazzi, G., Waiswa, P., &amp; Kiwanuka, S. (2018). Parent-adolescent communication on sexual health in Uganda. </w:t>
      </w:r>
      <w:r w:rsidRPr="00BD73B7">
        <w:rPr>
          <w:rFonts w:ascii="Times New Roman" w:eastAsia="Times New Roman" w:hAnsi="Times New Roman" w:cs="Times New Roman"/>
          <w:i/>
          <w:iCs/>
          <w:color w:val="0F1115"/>
          <w:kern w:val="0"/>
          <w14:ligatures w14:val="none"/>
        </w:rPr>
        <w:t>African Journal of Reproductive Health</w:t>
      </w:r>
      <w:r w:rsidRPr="00BD73B7">
        <w:rPr>
          <w:rFonts w:ascii="Times New Roman" w:eastAsia="Times New Roman" w:hAnsi="Times New Roman" w:cs="Times New Roman"/>
          <w:color w:val="0F1115"/>
          <w:kern w:val="0"/>
          <w14:ligatures w14:val="none"/>
        </w:rPr>
        <w:t>, 22(2), 67–76.</w:t>
      </w:r>
    </w:p>
    <w:p w14:paraId="752CD542"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UNFPA. (2020). </w:t>
      </w:r>
      <w:r w:rsidRPr="00BD73B7">
        <w:rPr>
          <w:rFonts w:ascii="Times New Roman" w:eastAsia="Times New Roman" w:hAnsi="Times New Roman" w:cs="Times New Roman"/>
          <w:i/>
          <w:iCs/>
          <w:color w:val="0F1115"/>
          <w:kern w:val="0"/>
          <w14:ligatures w14:val="none"/>
        </w:rPr>
        <w:t>Motherhood in Childhood: Facing the Challenge of Adolescent Pregnancy</w:t>
      </w:r>
      <w:r w:rsidRPr="00BD73B7">
        <w:rPr>
          <w:rFonts w:ascii="Times New Roman" w:eastAsia="Times New Roman" w:hAnsi="Times New Roman" w:cs="Times New Roman"/>
          <w:color w:val="0F1115"/>
          <w:kern w:val="0"/>
          <w14:ligatures w14:val="none"/>
        </w:rPr>
        <w:t>. New York: United Nations Population Fund.</w:t>
      </w:r>
    </w:p>
    <w:p w14:paraId="53FE43FB"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UNICEF. (2020). </w:t>
      </w:r>
      <w:r w:rsidRPr="00BD73B7">
        <w:rPr>
          <w:rFonts w:ascii="Times New Roman" w:eastAsia="Times New Roman" w:hAnsi="Times New Roman" w:cs="Times New Roman"/>
          <w:i/>
          <w:iCs/>
          <w:color w:val="0F1115"/>
          <w:kern w:val="0"/>
          <w14:ligatures w14:val="none"/>
        </w:rPr>
        <w:t xml:space="preserve">Situation of Adolescents in the Democratic Republic of </w:t>
      </w:r>
      <w:proofErr w:type="gramStart"/>
      <w:r w:rsidRPr="00BD73B7">
        <w:rPr>
          <w:rFonts w:ascii="Times New Roman" w:eastAsia="Times New Roman" w:hAnsi="Times New Roman" w:cs="Times New Roman"/>
          <w:i/>
          <w:iCs/>
          <w:color w:val="0F1115"/>
          <w:kern w:val="0"/>
          <w14:ligatures w14:val="none"/>
        </w:rPr>
        <w:t>the Congo</w:t>
      </w:r>
      <w:proofErr w:type="gramEnd"/>
      <w:r w:rsidRPr="00BD73B7">
        <w:rPr>
          <w:rFonts w:ascii="Times New Roman" w:eastAsia="Times New Roman" w:hAnsi="Times New Roman" w:cs="Times New Roman"/>
          <w:color w:val="0F1115"/>
          <w:kern w:val="0"/>
          <w14:ligatures w14:val="none"/>
        </w:rPr>
        <w:t>. Kinshasa: UNICEF.</w:t>
      </w:r>
    </w:p>
    <w:p w14:paraId="5C82C987"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UNESCO. (2017). </w:t>
      </w:r>
      <w:r w:rsidRPr="00BD73B7">
        <w:rPr>
          <w:rFonts w:ascii="Times New Roman" w:eastAsia="Times New Roman" w:hAnsi="Times New Roman" w:cs="Times New Roman"/>
          <w:i/>
          <w:iCs/>
          <w:color w:val="0F1115"/>
          <w:kern w:val="0"/>
          <w14:ligatures w14:val="none"/>
        </w:rPr>
        <w:t>Education for Health and Well-Being: Comprehensive Sexuality Education</w:t>
      </w:r>
      <w:r w:rsidRPr="00BD73B7">
        <w:rPr>
          <w:rFonts w:ascii="Times New Roman" w:eastAsia="Times New Roman" w:hAnsi="Times New Roman" w:cs="Times New Roman"/>
          <w:color w:val="0F1115"/>
          <w:kern w:val="0"/>
          <w14:ligatures w14:val="none"/>
        </w:rPr>
        <w:t>. Paris: UNESCO.</w:t>
      </w:r>
    </w:p>
    <w:p w14:paraId="207A159D"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World Health Organization. (2020). </w:t>
      </w:r>
      <w:r w:rsidRPr="00BD73B7">
        <w:rPr>
          <w:rFonts w:ascii="Times New Roman" w:eastAsia="Times New Roman" w:hAnsi="Times New Roman" w:cs="Times New Roman"/>
          <w:i/>
          <w:iCs/>
          <w:color w:val="0F1115"/>
          <w:kern w:val="0"/>
          <w14:ligatures w14:val="none"/>
        </w:rPr>
        <w:t>Guidelines on Preventing Early Pregnancy and Poor Reproductive Outcomes Among Adolescents in Developing Countries</w:t>
      </w:r>
      <w:r w:rsidRPr="00BD73B7">
        <w:rPr>
          <w:rFonts w:ascii="Times New Roman" w:eastAsia="Times New Roman" w:hAnsi="Times New Roman" w:cs="Times New Roman"/>
          <w:color w:val="0F1115"/>
          <w:kern w:val="0"/>
          <w14:ligatures w14:val="none"/>
        </w:rPr>
        <w:t>. Geneva: WHO.</w:t>
      </w:r>
    </w:p>
    <w:p w14:paraId="069BEC26" w14:textId="77777777" w:rsidR="00BD73B7" w:rsidRPr="00BD73B7" w:rsidRDefault="00BD73B7" w:rsidP="00BD73B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D73B7">
        <w:rPr>
          <w:rFonts w:ascii="Times New Roman" w:eastAsia="Times New Roman" w:hAnsi="Times New Roman" w:cs="Times New Roman"/>
          <w:color w:val="0F1115"/>
          <w:kern w:val="0"/>
          <w14:ligatures w14:val="none"/>
        </w:rPr>
        <w:t>World Health Organization. (2022). </w:t>
      </w:r>
      <w:r w:rsidRPr="00BD73B7">
        <w:rPr>
          <w:rFonts w:ascii="Times New Roman" w:eastAsia="Times New Roman" w:hAnsi="Times New Roman" w:cs="Times New Roman"/>
          <w:i/>
          <w:iCs/>
          <w:color w:val="0F1115"/>
          <w:kern w:val="0"/>
          <w14:ligatures w14:val="none"/>
        </w:rPr>
        <w:t>Adolescent Pregnancy Fact Sheet</w:t>
      </w:r>
      <w:r w:rsidRPr="00BD73B7">
        <w:rPr>
          <w:rFonts w:ascii="Times New Roman" w:eastAsia="Times New Roman" w:hAnsi="Times New Roman" w:cs="Times New Roman"/>
          <w:color w:val="0F1115"/>
          <w:kern w:val="0"/>
          <w14:ligatures w14:val="none"/>
        </w:rPr>
        <w:t>. Geneva: WHO.</w:t>
      </w:r>
    </w:p>
    <w:p w14:paraId="3EF595E3" w14:textId="77777777" w:rsidR="00B41904" w:rsidRPr="00BD73B7" w:rsidRDefault="00B41904" w:rsidP="00BD73B7">
      <w:pPr>
        <w:shd w:val="clear" w:color="auto" w:fill="FFFFFF"/>
        <w:spacing w:before="480" w:after="240" w:line="480" w:lineRule="atLeast"/>
        <w:outlineLvl w:val="1"/>
        <w:rPr>
          <w:rFonts w:ascii="Times New Roman" w:hAnsi="Times New Roman" w:cs="Times New Roman"/>
        </w:rPr>
      </w:pPr>
    </w:p>
    <w:sectPr w:rsidR="00B41904" w:rsidRPr="00BD73B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0CD5" w14:textId="77777777" w:rsidR="00C67CAF" w:rsidRDefault="00C67CAF" w:rsidP="000C5059">
      <w:pPr>
        <w:spacing w:after="0" w:line="240" w:lineRule="auto"/>
      </w:pPr>
      <w:r>
        <w:separator/>
      </w:r>
    </w:p>
  </w:endnote>
  <w:endnote w:type="continuationSeparator" w:id="0">
    <w:p w14:paraId="0D6E1D4B" w14:textId="77777777" w:rsidR="00C67CAF" w:rsidRDefault="00C67CAF" w:rsidP="000C5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9754040"/>
      <w:docPartObj>
        <w:docPartGallery w:val="Page Numbers (Bottom of Page)"/>
        <w:docPartUnique/>
      </w:docPartObj>
    </w:sdtPr>
    <w:sdtContent>
      <w:p w14:paraId="47709CA3" w14:textId="1D08254A" w:rsidR="000C5059" w:rsidRDefault="000C5059" w:rsidP="00B14A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0E0207" w14:textId="77777777" w:rsidR="000C5059" w:rsidRDefault="000C5059" w:rsidP="000C50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6026435"/>
      <w:docPartObj>
        <w:docPartGallery w:val="Page Numbers (Bottom of Page)"/>
        <w:docPartUnique/>
      </w:docPartObj>
    </w:sdtPr>
    <w:sdtContent>
      <w:p w14:paraId="319BCD5E" w14:textId="5C91AA5F" w:rsidR="000C5059" w:rsidRDefault="000C5059" w:rsidP="00B14A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8FECA19" w14:textId="77777777" w:rsidR="000C5059" w:rsidRDefault="000C5059" w:rsidP="000C50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7EFFD" w14:textId="77777777" w:rsidR="00C67CAF" w:rsidRDefault="00C67CAF" w:rsidP="000C5059">
      <w:pPr>
        <w:spacing w:after="0" w:line="240" w:lineRule="auto"/>
      </w:pPr>
      <w:r>
        <w:separator/>
      </w:r>
    </w:p>
  </w:footnote>
  <w:footnote w:type="continuationSeparator" w:id="0">
    <w:p w14:paraId="40E1D2FB" w14:textId="77777777" w:rsidR="00C67CAF" w:rsidRDefault="00C67CAF" w:rsidP="000C50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5E99"/>
    <w:multiLevelType w:val="multilevel"/>
    <w:tmpl w:val="B50C0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646FA"/>
    <w:multiLevelType w:val="multilevel"/>
    <w:tmpl w:val="309E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73850"/>
    <w:multiLevelType w:val="multilevel"/>
    <w:tmpl w:val="0DC0E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A7190"/>
    <w:multiLevelType w:val="multilevel"/>
    <w:tmpl w:val="FED2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277DF3"/>
    <w:multiLevelType w:val="multilevel"/>
    <w:tmpl w:val="6314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B2EFD"/>
    <w:multiLevelType w:val="multilevel"/>
    <w:tmpl w:val="AF68A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2E3987"/>
    <w:multiLevelType w:val="multilevel"/>
    <w:tmpl w:val="6D7ED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64122F"/>
    <w:multiLevelType w:val="multilevel"/>
    <w:tmpl w:val="6DAA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551987">
    <w:abstractNumId w:val="1"/>
  </w:num>
  <w:num w:numId="2" w16cid:durableId="753085686">
    <w:abstractNumId w:val="5"/>
  </w:num>
  <w:num w:numId="3" w16cid:durableId="256645378">
    <w:abstractNumId w:val="0"/>
  </w:num>
  <w:num w:numId="4" w16cid:durableId="1293711599">
    <w:abstractNumId w:val="4"/>
  </w:num>
  <w:num w:numId="5" w16cid:durableId="488596648">
    <w:abstractNumId w:val="2"/>
  </w:num>
  <w:num w:numId="6" w16cid:durableId="1889144421">
    <w:abstractNumId w:val="3"/>
  </w:num>
  <w:num w:numId="7" w16cid:durableId="1225794843">
    <w:abstractNumId w:val="7"/>
  </w:num>
  <w:num w:numId="8" w16cid:durableId="3891536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664"/>
    <w:rsid w:val="000C5059"/>
    <w:rsid w:val="00253457"/>
    <w:rsid w:val="002C4B73"/>
    <w:rsid w:val="003F70DD"/>
    <w:rsid w:val="008F6EA0"/>
    <w:rsid w:val="00AA4664"/>
    <w:rsid w:val="00AC0C13"/>
    <w:rsid w:val="00B41904"/>
    <w:rsid w:val="00BD73B7"/>
    <w:rsid w:val="00C67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C6F2"/>
  <w15:chartTrackingRefBased/>
  <w15:docId w15:val="{E5073CA3-E31A-3946-B020-3DEB5314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4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A4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A4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A4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664"/>
    <w:rPr>
      <w:rFonts w:eastAsiaTheme="majorEastAsia" w:cstheme="majorBidi"/>
      <w:color w:val="272727" w:themeColor="text1" w:themeTint="D8"/>
    </w:rPr>
  </w:style>
  <w:style w:type="paragraph" w:styleId="Title">
    <w:name w:val="Title"/>
    <w:basedOn w:val="Normal"/>
    <w:next w:val="Normal"/>
    <w:link w:val="TitleChar"/>
    <w:uiPriority w:val="10"/>
    <w:qFormat/>
    <w:rsid w:val="00AA4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664"/>
    <w:pPr>
      <w:spacing w:before="160"/>
      <w:jc w:val="center"/>
    </w:pPr>
    <w:rPr>
      <w:i/>
      <w:iCs/>
      <w:color w:val="404040" w:themeColor="text1" w:themeTint="BF"/>
    </w:rPr>
  </w:style>
  <w:style w:type="character" w:customStyle="1" w:styleId="QuoteChar">
    <w:name w:val="Quote Char"/>
    <w:basedOn w:val="DefaultParagraphFont"/>
    <w:link w:val="Quote"/>
    <w:uiPriority w:val="29"/>
    <w:rsid w:val="00AA4664"/>
    <w:rPr>
      <w:i/>
      <w:iCs/>
      <w:color w:val="404040" w:themeColor="text1" w:themeTint="BF"/>
    </w:rPr>
  </w:style>
  <w:style w:type="paragraph" w:styleId="ListParagraph">
    <w:name w:val="List Paragraph"/>
    <w:basedOn w:val="Normal"/>
    <w:uiPriority w:val="34"/>
    <w:qFormat/>
    <w:rsid w:val="00AA4664"/>
    <w:pPr>
      <w:ind w:left="720"/>
      <w:contextualSpacing/>
    </w:pPr>
  </w:style>
  <w:style w:type="character" w:styleId="IntenseEmphasis">
    <w:name w:val="Intense Emphasis"/>
    <w:basedOn w:val="DefaultParagraphFont"/>
    <w:uiPriority w:val="21"/>
    <w:qFormat/>
    <w:rsid w:val="00AA4664"/>
    <w:rPr>
      <w:i/>
      <w:iCs/>
      <w:color w:val="0F4761" w:themeColor="accent1" w:themeShade="BF"/>
    </w:rPr>
  </w:style>
  <w:style w:type="paragraph" w:styleId="IntenseQuote">
    <w:name w:val="Intense Quote"/>
    <w:basedOn w:val="Normal"/>
    <w:next w:val="Normal"/>
    <w:link w:val="IntenseQuoteChar"/>
    <w:uiPriority w:val="30"/>
    <w:qFormat/>
    <w:rsid w:val="00AA4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664"/>
    <w:rPr>
      <w:i/>
      <w:iCs/>
      <w:color w:val="0F4761" w:themeColor="accent1" w:themeShade="BF"/>
    </w:rPr>
  </w:style>
  <w:style w:type="character" w:styleId="IntenseReference">
    <w:name w:val="Intense Reference"/>
    <w:basedOn w:val="DefaultParagraphFont"/>
    <w:uiPriority w:val="32"/>
    <w:qFormat/>
    <w:rsid w:val="00AA4664"/>
    <w:rPr>
      <w:b/>
      <w:bCs/>
      <w:smallCaps/>
      <w:color w:val="0F4761" w:themeColor="accent1" w:themeShade="BF"/>
      <w:spacing w:val="5"/>
    </w:rPr>
  </w:style>
  <w:style w:type="paragraph" w:customStyle="1" w:styleId="ds-markdown-paragraph">
    <w:name w:val="ds-markdown-paragraph"/>
    <w:basedOn w:val="Normal"/>
    <w:rsid w:val="00AA466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A4664"/>
    <w:rPr>
      <w:b/>
      <w:bCs/>
    </w:rPr>
  </w:style>
  <w:style w:type="character" w:styleId="Emphasis">
    <w:name w:val="Emphasis"/>
    <w:basedOn w:val="DefaultParagraphFont"/>
    <w:uiPriority w:val="20"/>
    <w:qFormat/>
    <w:rsid w:val="00AA4664"/>
    <w:rPr>
      <w:i/>
      <w:iCs/>
    </w:rPr>
  </w:style>
  <w:style w:type="character" w:styleId="Hyperlink">
    <w:name w:val="Hyperlink"/>
    <w:basedOn w:val="DefaultParagraphFont"/>
    <w:uiPriority w:val="99"/>
    <w:unhideWhenUsed/>
    <w:rsid w:val="00BD73B7"/>
    <w:rPr>
      <w:color w:val="467886" w:themeColor="hyperlink"/>
      <w:u w:val="single"/>
    </w:rPr>
  </w:style>
  <w:style w:type="character" w:styleId="UnresolvedMention">
    <w:name w:val="Unresolved Mention"/>
    <w:basedOn w:val="DefaultParagraphFont"/>
    <w:uiPriority w:val="99"/>
    <w:semiHidden/>
    <w:unhideWhenUsed/>
    <w:rsid w:val="00BD73B7"/>
    <w:rPr>
      <w:color w:val="605E5C"/>
      <w:shd w:val="clear" w:color="auto" w:fill="E1DFDD"/>
    </w:rPr>
  </w:style>
  <w:style w:type="paragraph" w:styleId="Footer">
    <w:name w:val="footer"/>
    <w:basedOn w:val="Normal"/>
    <w:link w:val="FooterChar"/>
    <w:uiPriority w:val="99"/>
    <w:unhideWhenUsed/>
    <w:rsid w:val="000C5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59"/>
  </w:style>
  <w:style w:type="character" w:styleId="PageNumber">
    <w:name w:val="page number"/>
    <w:basedOn w:val="DefaultParagraphFont"/>
    <w:uiPriority w:val="99"/>
    <w:semiHidden/>
    <w:unhideWhenUsed/>
    <w:rsid w:val="000C5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xebg@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3873</Words>
  <Characters>22082</Characters>
  <Application>Microsoft Office Word</Application>
  <DocSecurity>0</DocSecurity>
  <Lines>184</Lines>
  <Paragraphs>51</Paragraphs>
  <ScaleCrop>false</ScaleCrop>
  <Company/>
  <LinksUpToDate>false</LinksUpToDate>
  <CharactersWithSpaces>25904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2026-05-16T11:44:00Z</dcterms:created>
  <dcterms:modified xsi:type="dcterms:W3CDTF">2026-05-16T12:00:00Z</dcterms:modified>
</cp:coreProperties>
</file>