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5FDDB" w14:textId="77777777" w:rsidR="00914955" w:rsidRPr="003F7657" w:rsidRDefault="00914955" w:rsidP="003F7657">
      <w:pPr>
        <w:shd w:val="clear" w:color="auto" w:fill="FFFFFF"/>
        <w:spacing w:before="240" w:after="240" w:line="420" w:lineRule="atLeast"/>
        <w:jc w:val="center"/>
        <w:rPr>
          <w:rFonts w:ascii="Times New Roman" w:eastAsia="Times New Roman" w:hAnsi="Times New Roman" w:cs="Times New Roman"/>
          <w:b/>
          <w:bCs/>
          <w:color w:val="0F1115"/>
          <w:kern w:val="0"/>
          <w:sz w:val="28"/>
          <w:szCs w:val="28"/>
          <w14:ligatures w14:val="none"/>
        </w:rPr>
      </w:pPr>
      <w:r w:rsidRPr="003F7657">
        <w:rPr>
          <w:rFonts w:ascii="Times New Roman" w:eastAsia="Times New Roman" w:hAnsi="Times New Roman" w:cs="Times New Roman"/>
          <w:b/>
          <w:bCs/>
          <w:color w:val="0F1115"/>
          <w:kern w:val="0"/>
          <w:sz w:val="28"/>
          <w:szCs w:val="28"/>
          <w14:ligatures w14:val="none"/>
        </w:rPr>
        <w:t xml:space="preserve">The Impact of Communication on Interprofessional Relationships in a Healthcare Setting: A Cross-Sectional Study at </w:t>
      </w:r>
      <w:proofErr w:type="spellStart"/>
      <w:r w:rsidRPr="003F7657">
        <w:rPr>
          <w:rFonts w:ascii="Times New Roman" w:eastAsia="Times New Roman" w:hAnsi="Times New Roman" w:cs="Times New Roman"/>
          <w:b/>
          <w:bCs/>
          <w:color w:val="0F1115"/>
          <w:kern w:val="0"/>
          <w:sz w:val="28"/>
          <w:szCs w:val="28"/>
          <w14:ligatures w14:val="none"/>
        </w:rPr>
        <w:t>Wangata</w:t>
      </w:r>
      <w:proofErr w:type="spellEnd"/>
      <w:r w:rsidRPr="003F7657">
        <w:rPr>
          <w:rFonts w:ascii="Times New Roman" w:eastAsia="Times New Roman" w:hAnsi="Times New Roman" w:cs="Times New Roman"/>
          <w:b/>
          <w:bCs/>
          <w:color w:val="0F1115"/>
          <w:kern w:val="0"/>
          <w:sz w:val="28"/>
          <w:szCs w:val="28"/>
          <w14:ligatures w14:val="none"/>
        </w:rPr>
        <w:t xml:space="preserve"> General Referral Hospital, </w:t>
      </w:r>
      <w:proofErr w:type="spellStart"/>
      <w:r w:rsidRPr="003F7657">
        <w:rPr>
          <w:rFonts w:ascii="Times New Roman" w:eastAsia="Times New Roman" w:hAnsi="Times New Roman" w:cs="Times New Roman"/>
          <w:b/>
          <w:bCs/>
          <w:color w:val="0F1115"/>
          <w:kern w:val="0"/>
          <w:sz w:val="28"/>
          <w:szCs w:val="28"/>
          <w14:ligatures w14:val="none"/>
        </w:rPr>
        <w:t>Mbandaka</w:t>
      </w:r>
      <w:proofErr w:type="spellEnd"/>
      <w:r w:rsidRPr="003F7657">
        <w:rPr>
          <w:rFonts w:ascii="Times New Roman" w:eastAsia="Times New Roman" w:hAnsi="Times New Roman" w:cs="Times New Roman"/>
          <w:b/>
          <w:bCs/>
          <w:color w:val="0F1115"/>
          <w:kern w:val="0"/>
          <w:sz w:val="28"/>
          <w:szCs w:val="28"/>
          <w14:ligatures w14:val="none"/>
        </w:rPr>
        <w:t>, Democratic Republic of the Congo</w:t>
      </w:r>
    </w:p>
    <w:p w14:paraId="1B7887F6" w14:textId="398A5B61"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b/>
          <w:bCs/>
          <w:color w:val="0F1115"/>
          <w:kern w:val="0"/>
          <w14:ligatures w14:val="none"/>
        </w:rPr>
        <w:t>Authors:</w:t>
      </w:r>
      <w:r w:rsidRPr="00914955">
        <w:rPr>
          <w:rFonts w:ascii="Times New Roman" w:eastAsia="Times New Roman" w:hAnsi="Times New Roman" w:cs="Times New Roman"/>
          <w:color w:val="0F1115"/>
          <w:kern w:val="0"/>
          <w14:ligatures w14:val="none"/>
        </w:rPr>
        <w:t> Gires</w:t>
      </w:r>
      <w:r w:rsidR="003F7657">
        <w:rPr>
          <w:rFonts w:ascii="Times New Roman" w:eastAsia="Times New Roman" w:hAnsi="Times New Roman" w:cs="Times New Roman"/>
          <w:color w:val="0F1115"/>
          <w:kern w:val="0"/>
          <w14:ligatures w14:val="none"/>
        </w:rPr>
        <w:t>se</w:t>
      </w:r>
      <w:r w:rsidRPr="00914955">
        <w:rPr>
          <w:rFonts w:ascii="Times New Roman" w:eastAsia="Times New Roman" w:hAnsi="Times New Roman" w:cs="Times New Roman"/>
          <w:color w:val="0F1115"/>
          <w:kern w:val="0"/>
          <w14:ligatures w14:val="none"/>
        </w:rPr>
        <w:t xml:space="preserve"> </w:t>
      </w:r>
      <w:proofErr w:type="spellStart"/>
      <w:r w:rsidRPr="00914955">
        <w:rPr>
          <w:rFonts w:ascii="Times New Roman" w:eastAsia="Times New Roman" w:hAnsi="Times New Roman" w:cs="Times New Roman"/>
          <w:color w:val="0F1115"/>
          <w:kern w:val="0"/>
          <w14:ligatures w14:val="none"/>
        </w:rPr>
        <w:t>Mongu</w:t>
      </w:r>
      <w:proofErr w:type="spellEnd"/>
      <w:r w:rsidRPr="00914955">
        <w:rPr>
          <w:rFonts w:ascii="Times New Roman" w:eastAsia="Times New Roman" w:hAnsi="Times New Roman" w:cs="Times New Roman"/>
          <w:color w:val="0F1115"/>
          <w:kern w:val="0"/>
          <w14:ligatures w14:val="none"/>
        </w:rPr>
        <w:t xml:space="preserve"> Bobuya¹, Prof. Max Ebengbo Bokelo², C.T. Gustave Mola Maka³</w:t>
      </w:r>
    </w:p>
    <w:p w14:paraId="7A04B431"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b/>
          <w:bCs/>
          <w:color w:val="0F1115"/>
          <w:kern w:val="0"/>
          <w14:ligatures w14:val="none"/>
        </w:rPr>
        <w:t>Affiliations:</w:t>
      </w:r>
      <w:r w:rsidRPr="00914955">
        <w:rPr>
          <w:rFonts w:ascii="Times New Roman" w:eastAsia="Times New Roman" w:hAnsi="Times New Roman" w:cs="Times New Roman"/>
          <w:color w:val="0F1115"/>
          <w:kern w:val="0"/>
          <w14:ligatures w14:val="none"/>
        </w:rPr>
        <w:br/>
        <w:t xml:space="preserve">¹ Higher Institute of Medical Techniques (ISTM) of </w:t>
      </w:r>
      <w:proofErr w:type="spellStart"/>
      <w:r w:rsidRPr="00914955">
        <w:rPr>
          <w:rFonts w:ascii="Times New Roman" w:eastAsia="Times New Roman" w:hAnsi="Times New Roman" w:cs="Times New Roman"/>
          <w:color w:val="0F1115"/>
          <w:kern w:val="0"/>
          <w14:ligatures w14:val="none"/>
        </w:rPr>
        <w:t>Mbandaka</w:t>
      </w:r>
      <w:proofErr w:type="spellEnd"/>
      <w:r w:rsidRPr="00914955">
        <w:rPr>
          <w:rFonts w:ascii="Times New Roman" w:eastAsia="Times New Roman" w:hAnsi="Times New Roman" w:cs="Times New Roman"/>
          <w:color w:val="0F1115"/>
          <w:kern w:val="0"/>
          <w14:ligatures w14:val="none"/>
        </w:rPr>
        <w:t>, DRC</w:t>
      </w:r>
      <w:r w:rsidRPr="00914955">
        <w:rPr>
          <w:rFonts w:ascii="Times New Roman" w:eastAsia="Times New Roman" w:hAnsi="Times New Roman" w:cs="Times New Roman"/>
          <w:color w:val="0F1115"/>
          <w:kern w:val="0"/>
          <w14:ligatures w14:val="none"/>
        </w:rPr>
        <w:br/>
        <w:t>² Professor, Thesis Director</w:t>
      </w:r>
      <w:r w:rsidRPr="00914955">
        <w:rPr>
          <w:rFonts w:ascii="Times New Roman" w:eastAsia="Times New Roman" w:hAnsi="Times New Roman" w:cs="Times New Roman"/>
          <w:color w:val="0F1115"/>
          <w:kern w:val="0"/>
          <w14:ligatures w14:val="none"/>
        </w:rPr>
        <w:br/>
        <w:t>³ Head of Works, Thesis Supervisor</w:t>
      </w:r>
    </w:p>
    <w:p w14:paraId="2181B51D" w14:textId="3CAA9942"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b/>
          <w:bCs/>
          <w:color w:val="0F1115"/>
          <w:kern w:val="0"/>
          <w14:ligatures w14:val="none"/>
        </w:rPr>
        <w:t>Corresponding Author:</w:t>
      </w:r>
      <w:r w:rsidRPr="00914955">
        <w:rPr>
          <w:rFonts w:ascii="Times New Roman" w:eastAsia="Times New Roman" w:hAnsi="Times New Roman" w:cs="Times New Roman"/>
          <w:color w:val="0F1115"/>
          <w:kern w:val="0"/>
          <w14:ligatures w14:val="none"/>
        </w:rPr>
        <w:t> Gires</w:t>
      </w:r>
      <w:r w:rsidR="003F7657">
        <w:rPr>
          <w:rFonts w:ascii="Times New Roman" w:eastAsia="Times New Roman" w:hAnsi="Times New Roman" w:cs="Times New Roman"/>
          <w:color w:val="0F1115"/>
          <w:kern w:val="0"/>
          <w14:ligatures w14:val="none"/>
        </w:rPr>
        <w:t>se</w:t>
      </w:r>
      <w:r w:rsidRPr="00914955">
        <w:rPr>
          <w:rFonts w:ascii="Times New Roman" w:eastAsia="Times New Roman" w:hAnsi="Times New Roman" w:cs="Times New Roman"/>
          <w:color w:val="0F1115"/>
          <w:kern w:val="0"/>
          <w14:ligatures w14:val="none"/>
        </w:rPr>
        <w:t xml:space="preserve"> </w:t>
      </w:r>
      <w:proofErr w:type="spellStart"/>
      <w:r w:rsidRPr="00914955">
        <w:rPr>
          <w:rFonts w:ascii="Times New Roman" w:eastAsia="Times New Roman" w:hAnsi="Times New Roman" w:cs="Times New Roman"/>
          <w:color w:val="0F1115"/>
          <w:kern w:val="0"/>
          <w14:ligatures w14:val="none"/>
        </w:rPr>
        <w:t>Mongu</w:t>
      </w:r>
      <w:proofErr w:type="spellEnd"/>
      <w:r w:rsidRPr="00914955">
        <w:rPr>
          <w:rFonts w:ascii="Times New Roman" w:eastAsia="Times New Roman" w:hAnsi="Times New Roman" w:cs="Times New Roman"/>
          <w:color w:val="0F1115"/>
          <w:kern w:val="0"/>
          <w14:ligatures w14:val="none"/>
        </w:rPr>
        <w:t xml:space="preserve"> </w:t>
      </w:r>
      <w:proofErr w:type="spellStart"/>
      <w:r w:rsidRPr="00914955">
        <w:rPr>
          <w:rFonts w:ascii="Times New Roman" w:eastAsia="Times New Roman" w:hAnsi="Times New Roman" w:cs="Times New Roman"/>
          <w:color w:val="0F1115"/>
          <w:kern w:val="0"/>
          <w14:ligatures w14:val="none"/>
        </w:rPr>
        <w:t>Bobuya</w:t>
      </w:r>
      <w:proofErr w:type="spellEnd"/>
      <w:r w:rsidRPr="00914955">
        <w:rPr>
          <w:rFonts w:ascii="Times New Roman" w:eastAsia="Times New Roman" w:hAnsi="Times New Roman" w:cs="Times New Roman"/>
          <w:color w:val="0F1115"/>
          <w:kern w:val="0"/>
          <w14:ligatures w14:val="none"/>
        </w:rPr>
        <w:t xml:space="preserve">, ISTM </w:t>
      </w:r>
      <w:proofErr w:type="spellStart"/>
      <w:r w:rsidRPr="00914955">
        <w:rPr>
          <w:rFonts w:ascii="Times New Roman" w:eastAsia="Times New Roman" w:hAnsi="Times New Roman" w:cs="Times New Roman"/>
          <w:color w:val="0F1115"/>
          <w:kern w:val="0"/>
          <w14:ligatures w14:val="none"/>
        </w:rPr>
        <w:t>Mbandaka</w:t>
      </w:r>
      <w:proofErr w:type="spellEnd"/>
      <w:r w:rsidRPr="00914955">
        <w:rPr>
          <w:rFonts w:ascii="Times New Roman" w:eastAsia="Times New Roman" w:hAnsi="Times New Roman" w:cs="Times New Roman"/>
          <w:color w:val="0F1115"/>
          <w:kern w:val="0"/>
          <w14:ligatures w14:val="none"/>
        </w:rPr>
        <w:t xml:space="preserve">, P.O. Box 99, </w:t>
      </w:r>
      <w:proofErr w:type="spellStart"/>
      <w:r w:rsidRPr="00914955">
        <w:rPr>
          <w:rFonts w:ascii="Times New Roman" w:eastAsia="Times New Roman" w:hAnsi="Times New Roman" w:cs="Times New Roman"/>
          <w:color w:val="0F1115"/>
          <w:kern w:val="0"/>
          <w14:ligatures w14:val="none"/>
        </w:rPr>
        <w:t>Mbandaka</w:t>
      </w:r>
      <w:proofErr w:type="spellEnd"/>
      <w:r w:rsidRPr="00914955">
        <w:rPr>
          <w:rFonts w:ascii="Times New Roman" w:eastAsia="Times New Roman" w:hAnsi="Times New Roman" w:cs="Times New Roman"/>
          <w:color w:val="0F1115"/>
          <w:kern w:val="0"/>
          <w14:ligatures w14:val="none"/>
        </w:rPr>
        <w:t>, DRC. Email: istmmbaka2024@gmail.com</w:t>
      </w:r>
    </w:p>
    <w:p w14:paraId="080DD003"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b/>
          <w:bCs/>
          <w:color w:val="0F1115"/>
          <w:kern w:val="0"/>
          <w14:ligatures w14:val="none"/>
        </w:rPr>
        <w:t>Conflicts of Interest:</w:t>
      </w:r>
      <w:r w:rsidRPr="00914955">
        <w:rPr>
          <w:rFonts w:ascii="Times New Roman" w:eastAsia="Times New Roman" w:hAnsi="Times New Roman" w:cs="Times New Roman"/>
          <w:color w:val="0F1115"/>
          <w:kern w:val="0"/>
          <w14:ligatures w14:val="none"/>
        </w:rPr>
        <w:t> None declared.</w:t>
      </w:r>
      <w:r w:rsidRPr="00914955">
        <w:rPr>
          <w:rFonts w:ascii="Times New Roman" w:eastAsia="Times New Roman" w:hAnsi="Times New Roman" w:cs="Times New Roman"/>
          <w:color w:val="0F1115"/>
          <w:kern w:val="0"/>
          <w14:ligatures w14:val="none"/>
        </w:rPr>
        <w:br/>
      </w:r>
      <w:r w:rsidRPr="00914955">
        <w:rPr>
          <w:rFonts w:ascii="Times New Roman" w:eastAsia="Times New Roman" w:hAnsi="Times New Roman" w:cs="Times New Roman"/>
          <w:b/>
          <w:bCs/>
          <w:color w:val="0F1115"/>
          <w:kern w:val="0"/>
          <w14:ligatures w14:val="none"/>
        </w:rPr>
        <w:t>Funding:</w:t>
      </w:r>
      <w:r w:rsidRPr="00914955">
        <w:rPr>
          <w:rFonts w:ascii="Times New Roman" w:eastAsia="Times New Roman" w:hAnsi="Times New Roman" w:cs="Times New Roman"/>
          <w:color w:val="0F1115"/>
          <w:kern w:val="0"/>
          <w14:ligatures w14:val="none"/>
        </w:rPr>
        <w:t> This research received no external funding.</w:t>
      </w:r>
    </w:p>
    <w:p w14:paraId="14F1B897"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b/>
          <w:bCs/>
          <w:color w:val="0F1115"/>
          <w:kern w:val="0"/>
          <w14:ligatures w14:val="none"/>
        </w:rPr>
        <w:t>Ethical Approval:</w:t>
      </w:r>
      <w:r w:rsidRPr="00914955">
        <w:rPr>
          <w:rFonts w:ascii="Times New Roman" w:eastAsia="Times New Roman" w:hAnsi="Times New Roman" w:cs="Times New Roman"/>
          <w:color w:val="0F1115"/>
          <w:kern w:val="0"/>
          <w14:ligatures w14:val="none"/>
        </w:rPr>
        <w:t xml:space="preserve"> Institutional authorization was obtained from the </w:t>
      </w:r>
      <w:proofErr w:type="spellStart"/>
      <w:r w:rsidRPr="00914955">
        <w:rPr>
          <w:rFonts w:ascii="Times New Roman" w:eastAsia="Times New Roman" w:hAnsi="Times New Roman" w:cs="Times New Roman"/>
          <w:color w:val="0F1115"/>
          <w:kern w:val="0"/>
          <w14:ligatures w14:val="none"/>
        </w:rPr>
        <w:t>Wangata</w:t>
      </w:r>
      <w:proofErr w:type="spellEnd"/>
      <w:r w:rsidRPr="00914955">
        <w:rPr>
          <w:rFonts w:ascii="Times New Roman" w:eastAsia="Times New Roman" w:hAnsi="Times New Roman" w:cs="Times New Roman"/>
          <w:color w:val="0F1115"/>
          <w:kern w:val="0"/>
          <w14:ligatures w14:val="none"/>
        </w:rPr>
        <w:t xml:space="preserve"> General Referral Hospital Directorate. Informed consent was obtained from all participants, and anonymity was guaranteed.</w:t>
      </w:r>
    </w:p>
    <w:p w14:paraId="68021CC4"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b/>
          <w:bCs/>
          <w:color w:val="0F1115"/>
          <w:kern w:val="0"/>
          <w14:ligatures w14:val="none"/>
        </w:rPr>
        <w:t>Abstract</w:t>
      </w:r>
    </w:p>
    <w:p w14:paraId="341689E8"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b/>
          <w:bCs/>
          <w:color w:val="0F1115"/>
          <w:kern w:val="0"/>
          <w14:ligatures w14:val="none"/>
        </w:rPr>
        <w:t>Introduction:</w:t>
      </w:r>
      <w:r w:rsidRPr="00914955">
        <w:rPr>
          <w:rFonts w:ascii="Times New Roman" w:eastAsia="Times New Roman" w:hAnsi="Times New Roman" w:cs="Times New Roman"/>
          <w:color w:val="0F1115"/>
          <w:kern w:val="0"/>
          <w14:ligatures w14:val="none"/>
        </w:rPr>
        <w:t xml:space="preserve"> Effective communication is central to quality healthcare delivery and interprofessional collaboration. In low-resource settings like the Democratic Republic of the Congo (DRC), poor communication contributes to medical errors, workplace conflicts, and reduced quality of care. This study assessed the impact of communication on interprofessional relationships among healthcare workers at </w:t>
      </w:r>
      <w:proofErr w:type="spellStart"/>
      <w:r w:rsidRPr="00914955">
        <w:rPr>
          <w:rFonts w:ascii="Times New Roman" w:eastAsia="Times New Roman" w:hAnsi="Times New Roman" w:cs="Times New Roman"/>
          <w:color w:val="0F1115"/>
          <w:kern w:val="0"/>
          <w14:ligatures w14:val="none"/>
        </w:rPr>
        <w:t>Wangata</w:t>
      </w:r>
      <w:proofErr w:type="spellEnd"/>
      <w:r w:rsidRPr="00914955">
        <w:rPr>
          <w:rFonts w:ascii="Times New Roman" w:eastAsia="Times New Roman" w:hAnsi="Times New Roman" w:cs="Times New Roman"/>
          <w:color w:val="0F1115"/>
          <w:kern w:val="0"/>
          <w14:ligatures w14:val="none"/>
        </w:rPr>
        <w:t xml:space="preserve"> General Referral Hospital in </w:t>
      </w:r>
      <w:proofErr w:type="spellStart"/>
      <w:r w:rsidRPr="00914955">
        <w:rPr>
          <w:rFonts w:ascii="Times New Roman" w:eastAsia="Times New Roman" w:hAnsi="Times New Roman" w:cs="Times New Roman"/>
          <w:color w:val="0F1115"/>
          <w:kern w:val="0"/>
          <w14:ligatures w14:val="none"/>
        </w:rPr>
        <w:t>Mbandaka</w:t>
      </w:r>
      <w:proofErr w:type="spellEnd"/>
      <w:r w:rsidRPr="00914955">
        <w:rPr>
          <w:rFonts w:ascii="Times New Roman" w:eastAsia="Times New Roman" w:hAnsi="Times New Roman" w:cs="Times New Roman"/>
          <w:color w:val="0F1115"/>
          <w:kern w:val="0"/>
          <w14:ligatures w14:val="none"/>
        </w:rPr>
        <w:t>.</w:t>
      </w:r>
    </w:p>
    <w:p w14:paraId="5FB5690A"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b/>
          <w:bCs/>
          <w:color w:val="0F1115"/>
          <w:kern w:val="0"/>
          <w14:ligatures w14:val="none"/>
        </w:rPr>
        <w:t>Methods:</w:t>
      </w:r>
      <w:r w:rsidRPr="00914955">
        <w:rPr>
          <w:rFonts w:ascii="Times New Roman" w:eastAsia="Times New Roman" w:hAnsi="Times New Roman" w:cs="Times New Roman"/>
          <w:color w:val="0F1115"/>
          <w:kern w:val="0"/>
          <w14:ligatures w14:val="none"/>
        </w:rPr>
        <w:t xml:space="preserve"> A descriptive and analytical cross-sectional study was conducted from February to June 2025. Using purposive sampling, 149 healthcare professionals (physicians, nurses, laboratory technicians, managers, and others) completed a semi-structured questionnaire. Data </w:t>
      </w:r>
      <w:r w:rsidRPr="00914955">
        <w:rPr>
          <w:rFonts w:ascii="Times New Roman" w:eastAsia="Times New Roman" w:hAnsi="Times New Roman" w:cs="Times New Roman"/>
          <w:color w:val="0F1115"/>
          <w:kern w:val="0"/>
          <w14:ligatures w14:val="none"/>
        </w:rPr>
        <w:lastRenderedPageBreak/>
        <w:t>were analyzed using SPSS version 20. Bivariate analyses employed Chi-square and Fisher's exact tests, with statistical significance set at p &lt; 0.05.</w:t>
      </w:r>
    </w:p>
    <w:p w14:paraId="4D8B83B7"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b/>
          <w:bCs/>
          <w:color w:val="0F1115"/>
          <w:kern w:val="0"/>
          <w14:ligatures w14:val="none"/>
        </w:rPr>
        <w:t>Results:</w:t>
      </w:r>
      <w:r w:rsidRPr="00914955">
        <w:rPr>
          <w:rFonts w:ascii="Times New Roman" w:eastAsia="Times New Roman" w:hAnsi="Times New Roman" w:cs="Times New Roman"/>
          <w:color w:val="0F1115"/>
          <w:kern w:val="0"/>
          <w14:ligatures w14:val="none"/>
        </w:rPr>
        <w:t xml:space="preserve"> The sample was predominantly male (53.7%), aged ≥45 years (28.2%), married (66.4%), and from the Mongo ethnic group (46.3%), with Lingala as the most spoken language (63.7%). The majority (55.0%) were nurses, and 34.9% had ≥15 years of seniority. Overall, 54.4% of respondents held </w:t>
      </w:r>
      <w:proofErr w:type="gramStart"/>
      <w:r w:rsidRPr="00914955">
        <w:rPr>
          <w:rFonts w:ascii="Times New Roman" w:eastAsia="Times New Roman" w:hAnsi="Times New Roman" w:cs="Times New Roman"/>
          <w:color w:val="0F1115"/>
          <w:kern w:val="0"/>
          <w14:ligatures w14:val="none"/>
        </w:rPr>
        <w:t>a</w:t>
      </w:r>
      <w:proofErr w:type="gramEnd"/>
      <w:r w:rsidRPr="00914955">
        <w:rPr>
          <w:rFonts w:ascii="Times New Roman" w:eastAsia="Times New Roman" w:hAnsi="Times New Roman" w:cs="Times New Roman"/>
          <w:color w:val="0F1115"/>
          <w:kern w:val="0"/>
          <w14:ligatures w14:val="none"/>
        </w:rPr>
        <w:t xml:space="preserve"> unfavorable opinion of interprofessional relationships. Significant associations were found between opinion and age (p &lt; 0.05), sex (p &lt; 0.05), marital status (p &lt; 0.05), ethnicity (χ² = 11.146, </w:t>
      </w:r>
      <w:proofErr w:type="spellStart"/>
      <w:r w:rsidRPr="00914955">
        <w:rPr>
          <w:rFonts w:ascii="Times New Roman" w:eastAsia="Times New Roman" w:hAnsi="Times New Roman" w:cs="Times New Roman"/>
          <w:color w:val="0F1115"/>
          <w:kern w:val="0"/>
          <w14:ligatures w14:val="none"/>
        </w:rPr>
        <w:t>df</w:t>
      </w:r>
      <w:proofErr w:type="spellEnd"/>
      <w:r w:rsidRPr="00914955">
        <w:rPr>
          <w:rFonts w:ascii="Times New Roman" w:eastAsia="Times New Roman" w:hAnsi="Times New Roman" w:cs="Times New Roman"/>
          <w:color w:val="0F1115"/>
          <w:kern w:val="0"/>
          <w14:ligatures w14:val="none"/>
        </w:rPr>
        <w:t xml:space="preserve"> = 3, p = 0.011), language spoken (χ² = 10.354, </w:t>
      </w:r>
      <w:proofErr w:type="spellStart"/>
      <w:r w:rsidRPr="00914955">
        <w:rPr>
          <w:rFonts w:ascii="Times New Roman" w:eastAsia="Times New Roman" w:hAnsi="Times New Roman" w:cs="Times New Roman"/>
          <w:color w:val="0F1115"/>
          <w:kern w:val="0"/>
          <w14:ligatures w14:val="none"/>
        </w:rPr>
        <w:t>df</w:t>
      </w:r>
      <w:proofErr w:type="spellEnd"/>
      <w:r w:rsidRPr="00914955">
        <w:rPr>
          <w:rFonts w:ascii="Times New Roman" w:eastAsia="Times New Roman" w:hAnsi="Times New Roman" w:cs="Times New Roman"/>
          <w:color w:val="0F1115"/>
          <w:kern w:val="0"/>
          <w14:ligatures w14:val="none"/>
        </w:rPr>
        <w:t xml:space="preserve"> = 3, p = 0.015), and seniority (χ² = 14.013, </w:t>
      </w:r>
      <w:proofErr w:type="spellStart"/>
      <w:r w:rsidRPr="00914955">
        <w:rPr>
          <w:rFonts w:ascii="Times New Roman" w:eastAsia="Times New Roman" w:hAnsi="Times New Roman" w:cs="Times New Roman"/>
          <w:color w:val="0F1115"/>
          <w:kern w:val="0"/>
          <w14:ligatures w14:val="none"/>
        </w:rPr>
        <w:t>df</w:t>
      </w:r>
      <w:proofErr w:type="spellEnd"/>
      <w:r w:rsidRPr="00914955">
        <w:rPr>
          <w:rFonts w:ascii="Times New Roman" w:eastAsia="Times New Roman" w:hAnsi="Times New Roman" w:cs="Times New Roman"/>
          <w:color w:val="0F1115"/>
          <w:kern w:val="0"/>
          <w14:ligatures w14:val="none"/>
        </w:rPr>
        <w:t xml:space="preserve"> = 4, p = 0.005). Professional category was not significantly associated (χ² = 5.865, </w:t>
      </w:r>
      <w:proofErr w:type="spellStart"/>
      <w:r w:rsidRPr="00914955">
        <w:rPr>
          <w:rFonts w:ascii="Times New Roman" w:eastAsia="Times New Roman" w:hAnsi="Times New Roman" w:cs="Times New Roman"/>
          <w:color w:val="0F1115"/>
          <w:kern w:val="0"/>
          <w14:ligatures w14:val="none"/>
        </w:rPr>
        <w:t>df</w:t>
      </w:r>
      <w:proofErr w:type="spellEnd"/>
      <w:r w:rsidRPr="00914955">
        <w:rPr>
          <w:rFonts w:ascii="Times New Roman" w:eastAsia="Times New Roman" w:hAnsi="Times New Roman" w:cs="Times New Roman"/>
          <w:color w:val="0F1115"/>
          <w:kern w:val="0"/>
          <w14:ligatures w14:val="none"/>
        </w:rPr>
        <w:t xml:space="preserve"> = 4, p = 0.209). The main drivers of conflict were other forms of discrimination (34.9%), jealousy (20.1%), and tribalism (16.8%).</w:t>
      </w:r>
    </w:p>
    <w:p w14:paraId="7C48F093"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b/>
          <w:bCs/>
          <w:color w:val="0F1115"/>
          <w:kern w:val="0"/>
          <w14:ligatures w14:val="none"/>
        </w:rPr>
        <w:t>Conclusion:</w:t>
      </w:r>
      <w:r w:rsidRPr="00914955">
        <w:rPr>
          <w:rFonts w:ascii="Times New Roman" w:eastAsia="Times New Roman" w:hAnsi="Times New Roman" w:cs="Times New Roman"/>
          <w:color w:val="0F1115"/>
          <w:kern w:val="0"/>
          <w14:ligatures w14:val="none"/>
        </w:rPr>
        <w:t xml:space="preserve"> Communication and interprofessional relationships at </w:t>
      </w:r>
      <w:proofErr w:type="spellStart"/>
      <w:r w:rsidRPr="00914955">
        <w:rPr>
          <w:rFonts w:ascii="Times New Roman" w:eastAsia="Times New Roman" w:hAnsi="Times New Roman" w:cs="Times New Roman"/>
          <w:color w:val="0F1115"/>
          <w:kern w:val="0"/>
          <w14:ligatures w14:val="none"/>
        </w:rPr>
        <w:t>Wangata</w:t>
      </w:r>
      <w:proofErr w:type="spellEnd"/>
      <w:r w:rsidRPr="00914955">
        <w:rPr>
          <w:rFonts w:ascii="Times New Roman" w:eastAsia="Times New Roman" w:hAnsi="Times New Roman" w:cs="Times New Roman"/>
          <w:color w:val="0F1115"/>
          <w:kern w:val="0"/>
          <w14:ligatures w14:val="none"/>
        </w:rPr>
        <w:t xml:space="preserve"> General Referral Hospital are perceived as largely inadequate, with significant demographic and social factors influencing these perceptions. Targeted interventions—including regular team meetings, communication training, and conflict resolution mechanisms—are urgently needed to improve collaboration and patient care quality.</w:t>
      </w:r>
    </w:p>
    <w:p w14:paraId="1542233A"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b/>
          <w:bCs/>
          <w:color w:val="0F1115"/>
          <w:kern w:val="0"/>
          <w14:ligatures w14:val="none"/>
        </w:rPr>
        <w:t>Keywords:</w:t>
      </w:r>
      <w:r w:rsidRPr="00914955">
        <w:rPr>
          <w:rFonts w:ascii="Times New Roman" w:eastAsia="Times New Roman" w:hAnsi="Times New Roman" w:cs="Times New Roman"/>
          <w:color w:val="0F1115"/>
          <w:kern w:val="0"/>
          <w14:ligatures w14:val="none"/>
        </w:rPr>
        <w:t xml:space="preserve"> Communication, interprofessional relations, healthcare workers, hospital, conflict, Democratic Republic of </w:t>
      </w:r>
      <w:proofErr w:type="gramStart"/>
      <w:r w:rsidRPr="00914955">
        <w:rPr>
          <w:rFonts w:ascii="Times New Roman" w:eastAsia="Times New Roman" w:hAnsi="Times New Roman" w:cs="Times New Roman"/>
          <w:color w:val="0F1115"/>
          <w:kern w:val="0"/>
          <w14:ligatures w14:val="none"/>
        </w:rPr>
        <w:t>the Congo</w:t>
      </w:r>
      <w:proofErr w:type="gramEnd"/>
      <w:r w:rsidRPr="00914955">
        <w:rPr>
          <w:rFonts w:ascii="Times New Roman" w:eastAsia="Times New Roman" w:hAnsi="Times New Roman" w:cs="Times New Roman"/>
          <w:color w:val="0F1115"/>
          <w:kern w:val="0"/>
          <w14:ligatures w14:val="none"/>
        </w:rPr>
        <w:t>.</w:t>
      </w:r>
    </w:p>
    <w:p w14:paraId="42B7022F"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b/>
          <w:bCs/>
          <w:color w:val="0F1115"/>
          <w:kern w:val="0"/>
          <w14:ligatures w14:val="none"/>
        </w:rPr>
        <w:t>1. Introduction</w:t>
      </w:r>
    </w:p>
    <w:p w14:paraId="01DB9C5F"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color w:val="0F1115"/>
          <w:kern w:val="0"/>
          <w14:ligatures w14:val="none"/>
        </w:rPr>
        <w:t>Communication is a fundamental pillar of organizational functioning and a critical determinant of quality in healthcare. Derived from the Latin "</w:t>
      </w:r>
      <w:proofErr w:type="spellStart"/>
      <w:r w:rsidRPr="00914955">
        <w:rPr>
          <w:rFonts w:ascii="Times New Roman" w:eastAsia="Times New Roman" w:hAnsi="Times New Roman" w:cs="Times New Roman"/>
          <w:color w:val="0F1115"/>
          <w:kern w:val="0"/>
          <w14:ligatures w14:val="none"/>
        </w:rPr>
        <w:t>communicare</w:t>
      </w:r>
      <w:proofErr w:type="spellEnd"/>
      <w:r w:rsidRPr="00914955">
        <w:rPr>
          <w:rFonts w:ascii="Times New Roman" w:eastAsia="Times New Roman" w:hAnsi="Times New Roman" w:cs="Times New Roman"/>
          <w:color w:val="0F1115"/>
          <w:kern w:val="0"/>
          <w14:ligatures w14:val="none"/>
        </w:rPr>
        <w:t>" meaning to share or make common, communication in healthcare settings encompasses the transmission of information, ideas, and emotions among professionals, between professionals and patients, and across hierarchical levels (</w:t>
      </w:r>
      <w:proofErr w:type="spellStart"/>
      <w:r w:rsidRPr="00914955">
        <w:rPr>
          <w:rFonts w:ascii="Times New Roman" w:eastAsia="Times New Roman" w:hAnsi="Times New Roman" w:cs="Times New Roman"/>
          <w:color w:val="0F1115"/>
          <w:kern w:val="0"/>
          <w14:ligatures w14:val="none"/>
        </w:rPr>
        <w:t>Eloko</w:t>
      </w:r>
      <w:proofErr w:type="spellEnd"/>
      <w:r w:rsidRPr="00914955">
        <w:rPr>
          <w:rFonts w:ascii="Times New Roman" w:eastAsia="Times New Roman" w:hAnsi="Times New Roman" w:cs="Times New Roman"/>
          <w:color w:val="0F1115"/>
          <w:kern w:val="0"/>
          <w14:ligatures w14:val="none"/>
        </w:rPr>
        <w:t xml:space="preserve"> Eya Matangelo, 2024).</w:t>
      </w:r>
    </w:p>
    <w:p w14:paraId="610A8D13"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color w:val="0F1115"/>
          <w:kern w:val="0"/>
          <w14:ligatures w14:val="none"/>
        </w:rPr>
        <w:t xml:space="preserve">In recent decades, the evolution of organizational structures—from rigid hierarchies to project-based and value-chain models—has transformed communication patterns. As </w:t>
      </w:r>
      <w:proofErr w:type="spellStart"/>
      <w:r w:rsidRPr="00914955">
        <w:rPr>
          <w:rFonts w:ascii="Times New Roman" w:eastAsia="Times New Roman" w:hAnsi="Times New Roman" w:cs="Times New Roman"/>
          <w:color w:val="0F1115"/>
          <w:kern w:val="0"/>
          <w14:ligatures w14:val="none"/>
        </w:rPr>
        <w:t>Laulan</w:t>
      </w:r>
      <w:proofErr w:type="spellEnd"/>
      <w:r w:rsidRPr="00914955">
        <w:rPr>
          <w:rFonts w:ascii="Times New Roman" w:eastAsia="Times New Roman" w:hAnsi="Times New Roman" w:cs="Times New Roman"/>
          <w:color w:val="0F1115"/>
          <w:kern w:val="0"/>
          <w14:ligatures w14:val="none"/>
        </w:rPr>
        <w:t xml:space="preserve"> (2018) notes, communication is no longer merely managed by organizations; it has become an </w:t>
      </w:r>
      <w:r w:rsidRPr="00914955">
        <w:rPr>
          <w:rFonts w:ascii="Times New Roman" w:eastAsia="Times New Roman" w:hAnsi="Times New Roman" w:cs="Times New Roman"/>
          <w:color w:val="0F1115"/>
          <w:kern w:val="0"/>
          <w14:ligatures w14:val="none"/>
        </w:rPr>
        <w:lastRenderedPageBreak/>
        <w:t>organizing force that coordinates multiple actors across various entities. This is particularly true in hospitals, where diverse professionals (physicians, nurses, laboratory technicians, administrators) must collaborate seamlessly to ensure safe, effective patient care.</w:t>
      </w:r>
    </w:p>
    <w:p w14:paraId="6CD30451"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color w:val="0F1115"/>
          <w:kern w:val="0"/>
          <w14:ligatures w14:val="none"/>
        </w:rPr>
        <w:t>The importance of communication in healthcare cannot be overstated. Effective interprofessional communication has been shown to reduce medical errors, improve patient outcomes, enhance job satisfaction, and decrease staff turnover (James R. Taylor &amp; Elizabeth J. Van Every, 2014; Bertrand Faure &amp; Nicolas Arnaud, 2014). Conversely, poor communication is a leading cause of adverse events, conflicts, and compromised patient safety. The World Health Organization (WHO, 2015) recognizes communication failures as a root cause of over 70% of serious adverse events in hospitals.</w:t>
      </w:r>
    </w:p>
    <w:p w14:paraId="76599647"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color w:val="0F1115"/>
          <w:kern w:val="0"/>
          <w14:ligatures w14:val="none"/>
        </w:rPr>
        <w:t>In the Democratic Republic of the Congo (DRC), healthcare systems face multiple challenges: resource constraints, high workload, hierarchical rigidities, and social tensions including tribalism and favoritism. These factors can severely undermine interprofessional communication and collaboration. However, few empirical studies have systematically evaluated the state of communication and its impact on interprofessional relationships in Congolese hospitals.</w:t>
      </w:r>
    </w:p>
    <w:p w14:paraId="65E70F90"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color w:val="0F1115"/>
          <w:kern w:val="0"/>
          <w14:ligatures w14:val="none"/>
        </w:rPr>
        <w:t xml:space="preserve">This study aimed to fill this gap by assessing the impact of communication on interprofessional relationships at </w:t>
      </w:r>
      <w:proofErr w:type="spellStart"/>
      <w:r w:rsidRPr="00914955">
        <w:rPr>
          <w:rFonts w:ascii="Times New Roman" w:eastAsia="Times New Roman" w:hAnsi="Times New Roman" w:cs="Times New Roman"/>
          <w:color w:val="0F1115"/>
          <w:kern w:val="0"/>
          <w14:ligatures w14:val="none"/>
        </w:rPr>
        <w:t>Wangata</w:t>
      </w:r>
      <w:proofErr w:type="spellEnd"/>
      <w:r w:rsidRPr="00914955">
        <w:rPr>
          <w:rFonts w:ascii="Times New Roman" w:eastAsia="Times New Roman" w:hAnsi="Times New Roman" w:cs="Times New Roman"/>
          <w:color w:val="0F1115"/>
          <w:kern w:val="0"/>
          <w14:ligatures w14:val="none"/>
        </w:rPr>
        <w:t xml:space="preserve"> General Referral Hospital in </w:t>
      </w:r>
      <w:proofErr w:type="spellStart"/>
      <w:r w:rsidRPr="00914955">
        <w:rPr>
          <w:rFonts w:ascii="Times New Roman" w:eastAsia="Times New Roman" w:hAnsi="Times New Roman" w:cs="Times New Roman"/>
          <w:color w:val="0F1115"/>
          <w:kern w:val="0"/>
          <w14:ligatures w14:val="none"/>
        </w:rPr>
        <w:t>Mbandaka</w:t>
      </w:r>
      <w:proofErr w:type="spellEnd"/>
      <w:r w:rsidRPr="00914955">
        <w:rPr>
          <w:rFonts w:ascii="Times New Roman" w:eastAsia="Times New Roman" w:hAnsi="Times New Roman" w:cs="Times New Roman"/>
          <w:color w:val="0F1115"/>
          <w:kern w:val="0"/>
          <w14:ligatures w14:val="none"/>
        </w:rPr>
        <w:t>, Équateur Province. Specific objectives were to: (1) describe communication channels and modes used by healthcare staff; (2) evaluate perceived communication quality between professional categories; (3) identify factors positively or negatively influencing interprofessional relationships; (4) establish correlations between communication quality and collaboration effectiveness, job satisfaction, and care quality; and (5) formulate recommendations for improvement.</w:t>
      </w:r>
    </w:p>
    <w:p w14:paraId="6C4CE532"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b/>
          <w:bCs/>
          <w:color w:val="0F1115"/>
          <w:kern w:val="0"/>
          <w14:ligatures w14:val="none"/>
        </w:rPr>
        <w:t>2. Methods</w:t>
      </w:r>
    </w:p>
    <w:p w14:paraId="5D019FDB"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b/>
          <w:bCs/>
          <w:color w:val="0F1115"/>
          <w:kern w:val="0"/>
          <w14:ligatures w14:val="none"/>
        </w:rPr>
        <w:t>2.1. Study Design and Setting</w:t>
      </w:r>
    </w:p>
    <w:p w14:paraId="225E7598"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color w:val="0F1115"/>
          <w:kern w:val="0"/>
          <w14:ligatures w14:val="none"/>
        </w:rPr>
        <w:t xml:space="preserve">A descriptive and analytical cross-sectional study was conducted from February to June 2025 at the </w:t>
      </w:r>
      <w:proofErr w:type="spellStart"/>
      <w:r w:rsidRPr="00914955">
        <w:rPr>
          <w:rFonts w:ascii="Times New Roman" w:eastAsia="Times New Roman" w:hAnsi="Times New Roman" w:cs="Times New Roman"/>
          <w:color w:val="0F1115"/>
          <w:kern w:val="0"/>
          <w14:ligatures w14:val="none"/>
        </w:rPr>
        <w:t>Wangata</w:t>
      </w:r>
      <w:proofErr w:type="spellEnd"/>
      <w:r w:rsidRPr="00914955">
        <w:rPr>
          <w:rFonts w:ascii="Times New Roman" w:eastAsia="Times New Roman" w:hAnsi="Times New Roman" w:cs="Times New Roman"/>
          <w:color w:val="0F1115"/>
          <w:kern w:val="0"/>
          <w14:ligatures w14:val="none"/>
        </w:rPr>
        <w:t xml:space="preserve"> General Referral Hospital (HGR </w:t>
      </w:r>
      <w:proofErr w:type="spellStart"/>
      <w:r w:rsidRPr="00914955">
        <w:rPr>
          <w:rFonts w:ascii="Times New Roman" w:eastAsia="Times New Roman" w:hAnsi="Times New Roman" w:cs="Times New Roman"/>
          <w:color w:val="0F1115"/>
          <w:kern w:val="0"/>
          <w14:ligatures w14:val="none"/>
        </w:rPr>
        <w:t>Wangata</w:t>
      </w:r>
      <w:proofErr w:type="spellEnd"/>
      <w:r w:rsidRPr="00914955">
        <w:rPr>
          <w:rFonts w:ascii="Times New Roman" w:eastAsia="Times New Roman" w:hAnsi="Times New Roman" w:cs="Times New Roman"/>
          <w:color w:val="0F1115"/>
          <w:kern w:val="0"/>
          <w14:ligatures w14:val="none"/>
        </w:rPr>
        <w:t xml:space="preserve">) in </w:t>
      </w:r>
      <w:proofErr w:type="spellStart"/>
      <w:r w:rsidRPr="00914955">
        <w:rPr>
          <w:rFonts w:ascii="Times New Roman" w:eastAsia="Times New Roman" w:hAnsi="Times New Roman" w:cs="Times New Roman"/>
          <w:color w:val="0F1115"/>
          <w:kern w:val="0"/>
          <w14:ligatures w14:val="none"/>
        </w:rPr>
        <w:t>Mbandaka</w:t>
      </w:r>
      <w:proofErr w:type="spellEnd"/>
      <w:r w:rsidRPr="00914955">
        <w:rPr>
          <w:rFonts w:ascii="Times New Roman" w:eastAsia="Times New Roman" w:hAnsi="Times New Roman" w:cs="Times New Roman"/>
          <w:color w:val="0F1115"/>
          <w:kern w:val="0"/>
          <w14:ligatures w14:val="none"/>
        </w:rPr>
        <w:t xml:space="preserve">, Équateur Province, Democratic Republic of </w:t>
      </w:r>
      <w:proofErr w:type="gramStart"/>
      <w:r w:rsidRPr="00914955">
        <w:rPr>
          <w:rFonts w:ascii="Times New Roman" w:eastAsia="Times New Roman" w:hAnsi="Times New Roman" w:cs="Times New Roman"/>
          <w:color w:val="0F1115"/>
          <w:kern w:val="0"/>
          <w14:ligatures w14:val="none"/>
        </w:rPr>
        <w:t>the Congo</w:t>
      </w:r>
      <w:proofErr w:type="gramEnd"/>
      <w:r w:rsidRPr="00914955">
        <w:rPr>
          <w:rFonts w:ascii="Times New Roman" w:eastAsia="Times New Roman" w:hAnsi="Times New Roman" w:cs="Times New Roman"/>
          <w:color w:val="0F1115"/>
          <w:kern w:val="0"/>
          <w14:ligatures w14:val="none"/>
        </w:rPr>
        <w:t xml:space="preserve">. The hospital, originally established as the </w:t>
      </w:r>
      <w:proofErr w:type="spellStart"/>
      <w:r w:rsidRPr="00914955">
        <w:rPr>
          <w:rFonts w:ascii="Times New Roman" w:eastAsia="Times New Roman" w:hAnsi="Times New Roman" w:cs="Times New Roman"/>
          <w:color w:val="0F1115"/>
          <w:kern w:val="0"/>
          <w14:ligatures w14:val="none"/>
        </w:rPr>
        <w:t>Ipeko</w:t>
      </w:r>
      <w:proofErr w:type="spellEnd"/>
      <w:r w:rsidRPr="00914955">
        <w:rPr>
          <w:rFonts w:ascii="Times New Roman" w:eastAsia="Times New Roman" w:hAnsi="Times New Roman" w:cs="Times New Roman"/>
          <w:color w:val="0F1115"/>
          <w:kern w:val="0"/>
          <w14:ligatures w14:val="none"/>
        </w:rPr>
        <w:t xml:space="preserve"> health </w:t>
      </w:r>
      <w:r w:rsidRPr="00914955">
        <w:rPr>
          <w:rFonts w:ascii="Times New Roman" w:eastAsia="Times New Roman" w:hAnsi="Times New Roman" w:cs="Times New Roman"/>
          <w:color w:val="0F1115"/>
          <w:kern w:val="0"/>
          <w14:ligatures w14:val="none"/>
        </w:rPr>
        <w:lastRenderedPageBreak/>
        <w:t xml:space="preserve">center and transformed into a general referral hospital around 2012, serves as a key healthcare facility for the </w:t>
      </w:r>
      <w:proofErr w:type="spellStart"/>
      <w:r w:rsidRPr="00914955">
        <w:rPr>
          <w:rFonts w:ascii="Times New Roman" w:eastAsia="Times New Roman" w:hAnsi="Times New Roman" w:cs="Times New Roman"/>
          <w:color w:val="0F1115"/>
          <w:kern w:val="0"/>
          <w14:ligatures w14:val="none"/>
        </w:rPr>
        <w:t>Mbandaka</w:t>
      </w:r>
      <w:proofErr w:type="spellEnd"/>
      <w:r w:rsidRPr="00914955">
        <w:rPr>
          <w:rFonts w:ascii="Times New Roman" w:eastAsia="Times New Roman" w:hAnsi="Times New Roman" w:cs="Times New Roman"/>
          <w:color w:val="0F1115"/>
          <w:kern w:val="0"/>
          <w14:ligatures w14:val="none"/>
        </w:rPr>
        <w:t xml:space="preserve"> health zone. It is geographically bounded by </w:t>
      </w:r>
      <w:proofErr w:type="spellStart"/>
      <w:r w:rsidRPr="00914955">
        <w:rPr>
          <w:rFonts w:ascii="Times New Roman" w:eastAsia="Times New Roman" w:hAnsi="Times New Roman" w:cs="Times New Roman"/>
          <w:color w:val="0F1115"/>
          <w:kern w:val="0"/>
          <w14:ligatures w14:val="none"/>
        </w:rPr>
        <w:t>Bokungu</w:t>
      </w:r>
      <w:proofErr w:type="spellEnd"/>
      <w:r w:rsidRPr="00914955">
        <w:rPr>
          <w:rFonts w:ascii="Times New Roman" w:eastAsia="Times New Roman" w:hAnsi="Times New Roman" w:cs="Times New Roman"/>
          <w:color w:val="0F1115"/>
          <w:kern w:val="0"/>
          <w14:ligatures w14:val="none"/>
        </w:rPr>
        <w:t xml:space="preserve"> Avenue (north), </w:t>
      </w:r>
      <w:proofErr w:type="spellStart"/>
      <w:r w:rsidRPr="00914955">
        <w:rPr>
          <w:rFonts w:ascii="Times New Roman" w:eastAsia="Times New Roman" w:hAnsi="Times New Roman" w:cs="Times New Roman"/>
          <w:color w:val="0F1115"/>
          <w:kern w:val="0"/>
          <w14:ligatures w14:val="none"/>
        </w:rPr>
        <w:t>Makanza</w:t>
      </w:r>
      <w:proofErr w:type="spellEnd"/>
      <w:r w:rsidRPr="00914955">
        <w:rPr>
          <w:rFonts w:ascii="Times New Roman" w:eastAsia="Times New Roman" w:hAnsi="Times New Roman" w:cs="Times New Roman"/>
          <w:color w:val="0F1115"/>
          <w:kern w:val="0"/>
          <w14:ligatures w14:val="none"/>
        </w:rPr>
        <w:t xml:space="preserve"> Avenue (south), the Notre Dame du Congo Catholic Church (west), and Akula Avenue (</w:t>
      </w:r>
      <w:proofErr w:type="spellStart"/>
      <w:r w:rsidRPr="00914955">
        <w:rPr>
          <w:rFonts w:ascii="Times New Roman" w:eastAsia="Times New Roman" w:hAnsi="Times New Roman" w:cs="Times New Roman"/>
          <w:color w:val="0F1115"/>
          <w:kern w:val="0"/>
          <w14:ligatures w14:val="none"/>
        </w:rPr>
        <w:t>Ipeko</w:t>
      </w:r>
      <w:proofErr w:type="spellEnd"/>
      <w:r w:rsidRPr="00914955">
        <w:rPr>
          <w:rFonts w:ascii="Times New Roman" w:eastAsia="Times New Roman" w:hAnsi="Times New Roman" w:cs="Times New Roman"/>
          <w:color w:val="0F1115"/>
          <w:kern w:val="0"/>
          <w14:ligatures w14:val="none"/>
        </w:rPr>
        <w:t xml:space="preserve"> cemetery, east).</w:t>
      </w:r>
    </w:p>
    <w:p w14:paraId="1CD20450"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b/>
          <w:bCs/>
          <w:color w:val="0F1115"/>
          <w:kern w:val="0"/>
          <w14:ligatures w14:val="none"/>
        </w:rPr>
        <w:t>2.2. Study Population and Sampling</w:t>
      </w:r>
    </w:p>
    <w:p w14:paraId="3FFC3E77"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color w:val="0F1115"/>
          <w:kern w:val="0"/>
          <w14:ligatures w14:val="none"/>
        </w:rPr>
        <w:t xml:space="preserve">The target population comprised all healthcare professionals providing direct or indirect patient care at HGR </w:t>
      </w:r>
      <w:proofErr w:type="spellStart"/>
      <w:r w:rsidRPr="00914955">
        <w:rPr>
          <w:rFonts w:ascii="Times New Roman" w:eastAsia="Times New Roman" w:hAnsi="Times New Roman" w:cs="Times New Roman"/>
          <w:color w:val="0F1115"/>
          <w:kern w:val="0"/>
          <w14:ligatures w14:val="none"/>
        </w:rPr>
        <w:t>Wangata</w:t>
      </w:r>
      <w:proofErr w:type="spellEnd"/>
      <w:r w:rsidRPr="00914955">
        <w:rPr>
          <w:rFonts w:ascii="Times New Roman" w:eastAsia="Times New Roman" w:hAnsi="Times New Roman" w:cs="Times New Roman"/>
          <w:color w:val="0F1115"/>
          <w:kern w:val="0"/>
          <w14:ligatures w14:val="none"/>
        </w:rPr>
        <w:t>, including physicians, nurses, physiotherapists, laboratory technicians, and administrative staff. The total eligible population was 149 individuals.</w:t>
      </w:r>
    </w:p>
    <w:p w14:paraId="4AF5270F"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color w:val="0F1115"/>
          <w:kern w:val="0"/>
          <w14:ligatures w14:val="none"/>
        </w:rPr>
        <w:t>A purposive (non-probability) sampling method was employed. Inclusion criteria were: (1) being officially assigned to the hospital by the appointment commission; (2) being recognized as a healthcare provider in one of the hospital departments; (3) not being on leave during the data collection period; and (4) providing voluntary informed consent. All 149 eligible individuals were included (exhaustive sampling), yielding a sample size of N = 149.</w:t>
      </w:r>
    </w:p>
    <w:p w14:paraId="39E83D65"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b/>
          <w:bCs/>
          <w:color w:val="0F1115"/>
          <w:kern w:val="0"/>
          <w14:ligatures w14:val="none"/>
        </w:rPr>
        <w:t>2.3. Data Collection Instrument and Procedure</w:t>
      </w:r>
    </w:p>
    <w:p w14:paraId="1D882874"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color w:val="0F1115"/>
          <w:kern w:val="0"/>
          <w14:ligatures w14:val="none"/>
        </w:rPr>
        <w:t>Data were collected using a semi-structured, self-administered questionnaire developed by the research team. The questionnaire comprised 18 items across six sections: (1) sociodemographic identification (age, sex, marital status, profession, ethnicity, language spoken, seniority); (2) communication in the healthcare setting (channels, quality, transmission of information); (3) interprofessional relationships (collaboration, conflict frequency, respect); (4) impact of communication on quality of care; (5) strategies for improvement; and (6) open-ended suggestions.</w:t>
      </w:r>
    </w:p>
    <w:p w14:paraId="0B84BF0A"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color w:val="0F1115"/>
          <w:kern w:val="0"/>
          <w14:ligatures w14:val="none"/>
        </w:rPr>
        <w:t>A preliminary pre-test of the questionnaire was conducted at the same hospital with a small subset of staff not included in the final sample to ensure clarity and comprehension. The questionnaire was administered face-to-face by trained interviewers over a five-month period. Each participant was interviewed individually in a private setting.</w:t>
      </w:r>
    </w:p>
    <w:p w14:paraId="7EA18E63"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b/>
          <w:bCs/>
          <w:color w:val="0F1115"/>
          <w:kern w:val="0"/>
          <w14:ligatures w14:val="none"/>
        </w:rPr>
        <w:t>2.4. Data Analysis</w:t>
      </w:r>
    </w:p>
    <w:p w14:paraId="16E06F2B"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color w:val="0F1115"/>
          <w:kern w:val="0"/>
          <w14:ligatures w14:val="none"/>
        </w:rPr>
        <w:lastRenderedPageBreak/>
        <w:t>Data were entered into Microsoft Excel and analyzed using SPSS version 20 (IBM Corp., Armonk, NY, USA). Descriptive statistics (frequencies, percentages) were computed for all variables. Bivariate analyses employed Pearson's Chi-square test (χ²) or Fisher's exact test (where expected cell counts were &lt;5) to examine associations between independent variables (age, sex, marital status, profession, ethnicity, language, seniority) and the primary dependent variable (opinion on interprofessional relationships: favorable vs. unfavorable). Statistical significance was set at p &lt; 0.05.</w:t>
      </w:r>
    </w:p>
    <w:p w14:paraId="3B157A32"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b/>
          <w:bCs/>
          <w:color w:val="0F1115"/>
          <w:kern w:val="0"/>
          <w14:ligatures w14:val="none"/>
        </w:rPr>
        <w:t>2.5. Ethical Considerations</w:t>
      </w:r>
    </w:p>
    <w:p w14:paraId="41FDA522"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color w:val="0F1115"/>
          <w:kern w:val="0"/>
          <w14:ligatures w14:val="none"/>
        </w:rPr>
        <w:t xml:space="preserve">Ethical approval was obtained from the hospital administration (Directorate of </w:t>
      </w:r>
      <w:proofErr w:type="spellStart"/>
      <w:r w:rsidRPr="00914955">
        <w:rPr>
          <w:rFonts w:ascii="Times New Roman" w:eastAsia="Times New Roman" w:hAnsi="Times New Roman" w:cs="Times New Roman"/>
          <w:color w:val="0F1115"/>
          <w:kern w:val="0"/>
          <w14:ligatures w14:val="none"/>
        </w:rPr>
        <w:t>Wangata</w:t>
      </w:r>
      <w:proofErr w:type="spellEnd"/>
      <w:r w:rsidRPr="00914955">
        <w:rPr>
          <w:rFonts w:ascii="Times New Roman" w:eastAsia="Times New Roman" w:hAnsi="Times New Roman" w:cs="Times New Roman"/>
          <w:color w:val="0F1115"/>
          <w:kern w:val="0"/>
          <w14:ligatures w14:val="none"/>
        </w:rPr>
        <w:t xml:space="preserve"> General Referral Hospital). All participants received a clear explanation of the study objectives, the voluntary nature of participation, and their right to withdraw at any time without consequence. Written informed consent was obtained prior to questionnaire administration. Confidentiality and anonymity were guaranteed; no identifying information was collected, and results are presented in aggregated form only.</w:t>
      </w:r>
    </w:p>
    <w:p w14:paraId="3AB4E271"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b/>
          <w:bCs/>
          <w:color w:val="0F1115"/>
          <w:kern w:val="0"/>
          <w14:ligatures w14:val="none"/>
        </w:rPr>
        <w:t>3. Results</w:t>
      </w:r>
    </w:p>
    <w:p w14:paraId="485FE1C4"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b/>
          <w:bCs/>
          <w:color w:val="0F1115"/>
          <w:kern w:val="0"/>
          <w14:ligatures w14:val="none"/>
        </w:rPr>
        <w:t>3.1. Sociodemographic Characteristics of Participants</w:t>
      </w:r>
    </w:p>
    <w:p w14:paraId="2164F871"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color w:val="0F1115"/>
          <w:kern w:val="0"/>
          <w14:ligatures w14:val="none"/>
        </w:rPr>
        <w:t>A total of 149 healthcare professionals participated in the study (response rate: 100%). Table 1 presents the sociodemographic characteristics.</w:t>
      </w:r>
    </w:p>
    <w:p w14:paraId="399BD188"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b/>
          <w:bCs/>
          <w:color w:val="0F1115"/>
          <w:kern w:val="0"/>
          <w14:ligatures w14:val="none"/>
        </w:rPr>
        <w:t>Table 1</w:t>
      </w:r>
      <w:r w:rsidRPr="00914955">
        <w:rPr>
          <w:rFonts w:ascii="Times New Roman" w:eastAsia="Times New Roman" w:hAnsi="Times New Roman" w:cs="Times New Roman"/>
          <w:color w:val="0F1115"/>
          <w:kern w:val="0"/>
          <w14:ligatures w14:val="none"/>
        </w:rPr>
        <w:br/>
        <w:t>*Sociodemographic Characteristics of Participants (N = 149)*</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661"/>
        <w:gridCol w:w="2417"/>
        <w:gridCol w:w="1721"/>
        <w:gridCol w:w="1830"/>
      </w:tblGrid>
      <w:tr w:rsidR="00914955" w:rsidRPr="00914955" w14:paraId="70E70442" w14:textId="77777777" w:rsidTr="003F7657">
        <w:trPr>
          <w:tblHeader/>
        </w:trPr>
        <w:tc>
          <w:tcPr>
            <w:tcW w:w="0" w:type="auto"/>
            <w:tcMar>
              <w:top w:w="150" w:type="dxa"/>
              <w:left w:w="0" w:type="dxa"/>
              <w:bottom w:w="150" w:type="dxa"/>
              <w:right w:w="240" w:type="dxa"/>
            </w:tcMar>
            <w:vAlign w:val="center"/>
            <w:hideMark/>
          </w:tcPr>
          <w:p w14:paraId="29C21703"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Characteristic</w:t>
            </w:r>
          </w:p>
        </w:tc>
        <w:tc>
          <w:tcPr>
            <w:tcW w:w="0" w:type="auto"/>
            <w:tcMar>
              <w:top w:w="150" w:type="dxa"/>
              <w:left w:w="240" w:type="dxa"/>
              <w:bottom w:w="150" w:type="dxa"/>
              <w:right w:w="240" w:type="dxa"/>
            </w:tcMar>
            <w:vAlign w:val="center"/>
            <w:hideMark/>
          </w:tcPr>
          <w:p w14:paraId="15F9A84E"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Category</w:t>
            </w:r>
          </w:p>
        </w:tc>
        <w:tc>
          <w:tcPr>
            <w:tcW w:w="0" w:type="auto"/>
            <w:tcMar>
              <w:top w:w="150" w:type="dxa"/>
              <w:left w:w="240" w:type="dxa"/>
              <w:bottom w:w="150" w:type="dxa"/>
              <w:right w:w="240" w:type="dxa"/>
            </w:tcMar>
            <w:vAlign w:val="center"/>
            <w:hideMark/>
          </w:tcPr>
          <w:p w14:paraId="25BA867D"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Frequency (n)</w:t>
            </w:r>
          </w:p>
        </w:tc>
        <w:tc>
          <w:tcPr>
            <w:tcW w:w="0" w:type="auto"/>
            <w:tcMar>
              <w:top w:w="150" w:type="dxa"/>
              <w:left w:w="240" w:type="dxa"/>
              <w:bottom w:w="150" w:type="dxa"/>
              <w:right w:w="240" w:type="dxa"/>
            </w:tcMar>
            <w:vAlign w:val="center"/>
            <w:hideMark/>
          </w:tcPr>
          <w:p w14:paraId="7FC62E31"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Percentage (%)</w:t>
            </w:r>
          </w:p>
        </w:tc>
      </w:tr>
      <w:tr w:rsidR="00914955" w:rsidRPr="00914955" w14:paraId="1D39D5AB" w14:textId="77777777" w:rsidTr="003F7657">
        <w:tc>
          <w:tcPr>
            <w:tcW w:w="0" w:type="auto"/>
            <w:tcMar>
              <w:top w:w="150" w:type="dxa"/>
              <w:left w:w="0" w:type="dxa"/>
              <w:bottom w:w="150" w:type="dxa"/>
              <w:right w:w="240" w:type="dxa"/>
            </w:tcMar>
            <w:vAlign w:val="center"/>
            <w:hideMark/>
          </w:tcPr>
          <w:p w14:paraId="699B5EEC"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b/>
                <w:bCs/>
                <w:kern w:val="0"/>
                <w:sz w:val="22"/>
                <w:szCs w:val="22"/>
                <w14:ligatures w14:val="none"/>
              </w:rPr>
              <w:t>Age (years)</w:t>
            </w:r>
          </w:p>
        </w:tc>
        <w:tc>
          <w:tcPr>
            <w:tcW w:w="0" w:type="auto"/>
            <w:tcMar>
              <w:top w:w="150" w:type="dxa"/>
              <w:left w:w="240" w:type="dxa"/>
              <w:bottom w:w="150" w:type="dxa"/>
              <w:right w:w="240" w:type="dxa"/>
            </w:tcMar>
            <w:vAlign w:val="center"/>
            <w:hideMark/>
          </w:tcPr>
          <w:p w14:paraId="089562D2"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24–29</w:t>
            </w:r>
          </w:p>
        </w:tc>
        <w:tc>
          <w:tcPr>
            <w:tcW w:w="0" w:type="auto"/>
            <w:tcMar>
              <w:top w:w="150" w:type="dxa"/>
              <w:left w:w="240" w:type="dxa"/>
              <w:bottom w:w="150" w:type="dxa"/>
              <w:right w:w="240" w:type="dxa"/>
            </w:tcMar>
            <w:vAlign w:val="center"/>
            <w:hideMark/>
          </w:tcPr>
          <w:p w14:paraId="65FCD905"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19</w:t>
            </w:r>
          </w:p>
        </w:tc>
        <w:tc>
          <w:tcPr>
            <w:tcW w:w="0" w:type="auto"/>
            <w:tcMar>
              <w:top w:w="150" w:type="dxa"/>
              <w:left w:w="240" w:type="dxa"/>
              <w:bottom w:w="150" w:type="dxa"/>
              <w:right w:w="0" w:type="dxa"/>
            </w:tcMar>
            <w:vAlign w:val="center"/>
            <w:hideMark/>
          </w:tcPr>
          <w:p w14:paraId="301E80A4"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12.8</w:t>
            </w:r>
          </w:p>
        </w:tc>
      </w:tr>
      <w:tr w:rsidR="00914955" w:rsidRPr="00914955" w14:paraId="59707BB8" w14:textId="77777777" w:rsidTr="003F7657">
        <w:tc>
          <w:tcPr>
            <w:tcW w:w="0" w:type="auto"/>
            <w:tcMar>
              <w:top w:w="150" w:type="dxa"/>
              <w:left w:w="0" w:type="dxa"/>
              <w:bottom w:w="150" w:type="dxa"/>
              <w:right w:w="240" w:type="dxa"/>
            </w:tcMar>
            <w:vAlign w:val="center"/>
            <w:hideMark/>
          </w:tcPr>
          <w:p w14:paraId="4EC6BC8A"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393BD58C"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30–34</w:t>
            </w:r>
          </w:p>
        </w:tc>
        <w:tc>
          <w:tcPr>
            <w:tcW w:w="0" w:type="auto"/>
            <w:tcMar>
              <w:top w:w="150" w:type="dxa"/>
              <w:left w:w="240" w:type="dxa"/>
              <w:bottom w:w="150" w:type="dxa"/>
              <w:right w:w="240" w:type="dxa"/>
            </w:tcMar>
            <w:vAlign w:val="center"/>
            <w:hideMark/>
          </w:tcPr>
          <w:p w14:paraId="477C266A"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24</w:t>
            </w:r>
          </w:p>
        </w:tc>
        <w:tc>
          <w:tcPr>
            <w:tcW w:w="0" w:type="auto"/>
            <w:tcMar>
              <w:top w:w="150" w:type="dxa"/>
              <w:left w:w="240" w:type="dxa"/>
              <w:bottom w:w="150" w:type="dxa"/>
              <w:right w:w="0" w:type="dxa"/>
            </w:tcMar>
            <w:vAlign w:val="center"/>
            <w:hideMark/>
          </w:tcPr>
          <w:p w14:paraId="00DA8016"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16.1</w:t>
            </w:r>
          </w:p>
        </w:tc>
      </w:tr>
      <w:tr w:rsidR="00914955" w:rsidRPr="00914955" w14:paraId="3850F4CD" w14:textId="77777777" w:rsidTr="003F7657">
        <w:tc>
          <w:tcPr>
            <w:tcW w:w="0" w:type="auto"/>
            <w:tcMar>
              <w:top w:w="150" w:type="dxa"/>
              <w:left w:w="0" w:type="dxa"/>
              <w:bottom w:w="150" w:type="dxa"/>
              <w:right w:w="240" w:type="dxa"/>
            </w:tcMar>
            <w:vAlign w:val="center"/>
            <w:hideMark/>
          </w:tcPr>
          <w:p w14:paraId="4B4736BC"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060B9707"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35–39</w:t>
            </w:r>
          </w:p>
        </w:tc>
        <w:tc>
          <w:tcPr>
            <w:tcW w:w="0" w:type="auto"/>
            <w:tcMar>
              <w:top w:w="150" w:type="dxa"/>
              <w:left w:w="240" w:type="dxa"/>
              <w:bottom w:w="150" w:type="dxa"/>
              <w:right w:w="240" w:type="dxa"/>
            </w:tcMar>
            <w:vAlign w:val="center"/>
            <w:hideMark/>
          </w:tcPr>
          <w:p w14:paraId="05AD9B06"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38</w:t>
            </w:r>
          </w:p>
        </w:tc>
        <w:tc>
          <w:tcPr>
            <w:tcW w:w="0" w:type="auto"/>
            <w:tcMar>
              <w:top w:w="150" w:type="dxa"/>
              <w:left w:w="240" w:type="dxa"/>
              <w:bottom w:w="150" w:type="dxa"/>
              <w:right w:w="0" w:type="dxa"/>
            </w:tcMar>
            <w:vAlign w:val="center"/>
            <w:hideMark/>
          </w:tcPr>
          <w:p w14:paraId="7020E07C"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25.5</w:t>
            </w:r>
          </w:p>
        </w:tc>
      </w:tr>
      <w:tr w:rsidR="00914955" w:rsidRPr="00914955" w14:paraId="3A28270E" w14:textId="77777777" w:rsidTr="003F7657">
        <w:tc>
          <w:tcPr>
            <w:tcW w:w="0" w:type="auto"/>
            <w:tcMar>
              <w:top w:w="150" w:type="dxa"/>
              <w:left w:w="0" w:type="dxa"/>
              <w:bottom w:w="150" w:type="dxa"/>
              <w:right w:w="240" w:type="dxa"/>
            </w:tcMar>
            <w:vAlign w:val="center"/>
            <w:hideMark/>
          </w:tcPr>
          <w:p w14:paraId="14CC2AC7"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7791C0A6"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40–44</w:t>
            </w:r>
          </w:p>
        </w:tc>
        <w:tc>
          <w:tcPr>
            <w:tcW w:w="0" w:type="auto"/>
            <w:tcMar>
              <w:top w:w="150" w:type="dxa"/>
              <w:left w:w="240" w:type="dxa"/>
              <w:bottom w:w="150" w:type="dxa"/>
              <w:right w:w="240" w:type="dxa"/>
            </w:tcMar>
            <w:vAlign w:val="center"/>
            <w:hideMark/>
          </w:tcPr>
          <w:p w14:paraId="2D988E87"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26</w:t>
            </w:r>
          </w:p>
        </w:tc>
        <w:tc>
          <w:tcPr>
            <w:tcW w:w="0" w:type="auto"/>
            <w:tcMar>
              <w:top w:w="150" w:type="dxa"/>
              <w:left w:w="240" w:type="dxa"/>
              <w:bottom w:w="150" w:type="dxa"/>
              <w:right w:w="0" w:type="dxa"/>
            </w:tcMar>
            <w:vAlign w:val="center"/>
            <w:hideMark/>
          </w:tcPr>
          <w:p w14:paraId="50A08C03"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17.4</w:t>
            </w:r>
          </w:p>
        </w:tc>
      </w:tr>
      <w:tr w:rsidR="00914955" w:rsidRPr="00914955" w14:paraId="606018AE" w14:textId="77777777" w:rsidTr="003F7657">
        <w:tc>
          <w:tcPr>
            <w:tcW w:w="0" w:type="auto"/>
            <w:tcMar>
              <w:top w:w="150" w:type="dxa"/>
              <w:left w:w="0" w:type="dxa"/>
              <w:bottom w:w="150" w:type="dxa"/>
              <w:right w:w="240" w:type="dxa"/>
            </w:tcMar>
            <w:vAlign w:val="center"/>
            <w:hideMark/>
          </w:tcPr>
          <w:p w14:paraId="316F275E"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10460E7A"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≥45</w:t>
            </w:r>
          </w:p>
        </w:tc>
        <w:tc>
          <w:tcPr>
            <w:tcW w:w="0" w:type="auto"/>
            <w:tcMar>
              <w:top w:w="150" w:type="dxa"/>
              <w:left w:w="240" w:type="dxa"/>
              <w:bottom w:w="150" w:type="dxa"/>
              <w:right w:w="240" w:type="dxa"/>
            </w:tcMar>
            <w:vAlign w:val="center"/>
            <w:hideMark/>
          </w:tcPr>
          <w:p w14:paraId="6AA6232D"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42</w:t>
            </w:r>
          </w:p>
        </w:tc>
        <w:tc>
          <w:tcPr>
            <w:tcW w:w="0" w:type="auto"/>
            <w:tcMar>
              <w:top w:w="150" w:type="dxa"/>
              <w:left w:w="240" w:type="dxa"/>
              <w:bottom w:w="150" w:type="dxa"/>
              <w:right w:w="0" w:type="dxa"/>
            </w:tcMar>
            <w:vAlign w:val="center"/>
            <w:hideMark/>
          </w:tcPr>
          <w:p w14:paraId="02A072C8"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28.2</w:t>
            </w:r>
          </w:p>
        </w:tc>
      </w:tr>
      <w:tr w:rsidR="00914955" w:rsidRPr="00914955" w14:paraId="65C67B8C" w14:textId="77777777" w:rsidTr="003F7657">
        <w:tc>
          <w:tcPr>
            <w:tcW w:w="0" w:type="auto"/>
            <w:tcMar>
              <w:top w:w="150" w:type="dxa"/>
              <w:left w:w="0" w:type="dxa"/>
              <w:bottom w:w="150" w:type="dxa"/>
              <w:right w:w="240" w:type="dxa"/>
            </w:tcMar>
            <w:vAlign w:val="center"/>
            <w:hideMark/>
          </w:tcPr>
          <w:p w14:paraId="619FA3A0"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b/>
                <w:bCs/>
                <w:kern w:val="0"/>
                <w:sz w:val="22"/>
                <w:szCs w:val="22"/>
                <w14:ligatures w14:val="none"/>
              </w:rPr>
              <w:t>Sex</w:t>
            </w:r>
          </w:p>
        </w:tc>
        <w:tc>
          <w:tcPr>
            <w:tcW w:w="0" w:type="auto"/>
            <w:tcMar>
              <w:top w:w="150" w:type="dxa"/>
              <w:left w:w="240" w:type="dxa"/>
              <w:bottom w:w="150" w:type="dxa"/>
              <w:right w:w="240" w:type="dxa"/>
            </w:tcMar>
            <w:vAlign w:val="center"/>
            <w:hideMark/>
          </w:tcPr>
          <w:p w14:paraId="44552EDB"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Male</w:t>
            </w:r>
          </w:p>
        </w:tc>
        <w:tc>
          <w:tcPr>
            <w:tcW w:w="0" w:type="auto"/>
            <w:tcMar>
              <w:top w:w="150" w:type="dxa"/>
              <w:left w:w="240" w:type="dxa"/>
              <w:bottom w:w="150" w:type="dxa"/>
              <w:right w:w="240" w:type="dxa"/>
            </w:tcMar>
            <w:vAlign w:val="center"/>
            <w:hideMark/>
          </w:tcPr>
          <w:p w14:paraId="12F35975"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80</w:t>
            </w:r>
          </w:p>
        </w:tc>
        <w:tc>
          <w:tcPr>
            <w:tcW w:w="0" w:type="auto"/>
            <w:tcMar>
              <w:top w:w="150" w:type="dxa"/>
              <w:left w:w="240" w:type="dxa"/>
              <w:bottom w:w="150" w:type="dxa"/>
              <w:right w:w="0" w:type="dxa"/>
            </w:tcMar>
            <w:vAlign w:val="center"/>
            <w:hideMark/>
          </w:tcPr>
          <w:p w14:paraId="1CBBA570"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53.7</w:t>
            </w:r>
          </w:p>
        </w:tc>
      </w:tr>
      <w:tr w:rsidR="00914955" w:rsidRPr="00914955" w14:paraId="77780AEC" w14:textId="77777777" w:rsidTr="003F7657">
        <w:tc>
          <w:tcPr>
            <w:tcW w:w="0" w:type="auto"/>
            <w:tcMar>
              <w:top w:w="150" w:type="dxa"/>
              <w:left w:w="0" w:type="dxa"/>
              <w:bottom w:w="150" w:type="dxa"/>
              <w:right w:w="240" w:type="dxa"/>
            </w:tcMar>
            <w:vAlign w:val="center"/>
            <w:hideMark/>
          </w:tcPr>
          <w:p w14:paraId="0A7E9D1A"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365DAFDC"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Female</w:t>
            </w:r>
          </w:p>
        </w:tc>
        <w:tc>
          <w:tcPr>
            <w:tcW w:w="0" w:type="auto"/>
            <w:tcMar>
              <w:top w:w="150" w:type="dxa"/>
              <w:left w:w="240" w:type="dxa"/>
              <w:bottom w:w="150" w:type="dxa"/>
              <w:right w:w="240" w:type="dxa"/>
            </w:tcMar>
            <w:vAlign w:val="center"/>
            <w:hideMark/>
          </w:tcPr>
          <w:p w14:paraId="4330545A"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69</w:t>
            </w:r>
          </w:p>
        </w:tc>
        <w:tc>
          <w:tcPr>
            <w:tcW w:w="0" w:type="auto"/>
            <w:tcMar>
              <w:top w:w="150" w:type="dxa"/>
              <w:left w:w="240" w:type="dxa"/>
              <w:bottom w:w="150" w:type="dxa"/>
              <w:right w:w="0" w:type="dxa"/>
            </w:tcMar>
            <w:vAlign w:val="center"/>
            <w:hideMark/>
          </w:tcPr>
          <w:p w14:paraId="3020DAD6"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46.3</w:t>
            </w:r>
          </w:p>
        </w:tc>
      </w:tr>
      <w:tr w:rsidR="00914955" w:rsidRPr="00914955" w14:paraId="35640072" w14:textId="77777777" w:rsidTr="003F7657">
        <w:tc>
          <w:tcPr>
            <w:tcW w:w="0" w:type="auto"/>
            <w:tcMar>
              <w:top w:w="150" w:type="dxa"/>
              <w:left w:w="0" w:type="dxa"/>
              <w:bottom w:w="150" w:type="dxa"/>
              <w:right w:w="240" w:type="dxa"/>
            </w:tcMar>
            <w:vAlign w:val="center"/>
            <w:hideMark/>
          </w:tcPr>
          <w:p w14:paraId="5347EF01"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b/>
                <w:bCs/>
                <w:kern w:val="0"/>
                <w:sz w:val="22"/>
                <w:szCs w:val="22"/>
                <w14:ligatures w14:val="none"/>
              </w:rPr>
              <w:t>Marital status</w:t>
            </w:r>
          </w:p>
        </w:tc>
        <w:tc>
          <w:tcPr>
            <w:tcW w:w="0" w:type="auto"/>
            <w:tcMar>
              <w:top w:w="150" w:type="dxa"/>
              <w:left w:w="240" w:type="dxa"/>
              <w:bottom w:w="150" w:type="dxa"/>
              <w:right w:w="240" w:type="dxa"/>
            </w:tcMar>
            <w:vAlign w:val="center"/>
            <w:hideMark/>
          </w:tcPr>
          <w:p w14:paraId="09A8C92A"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Single</w:t>
            </w:r>
          </w:p>
        </w:tc>
        <w:tc>
          <w:tcPr>
            <w:tcW w:w="0" w:type="auto"/>
            <w:tcMar>
              <w:top w:w="150" w:type="dxa"/>
              <w:left w:w="240" w:type="dxa"/>
              <w:bottom w:w="150" w:type="dxa"/>
              <w:right w:w="240" w:type="dxa"/>
            </w:tcMar>
            <w:vAlign w:val="center"/>
            <w:hideMark/>
          </w:tcPr>
          <w:p w14:paraId="2B3A14E5"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25</w:t>
            </w:r>
          </w:p>
        </w:tc>
        <w:tc>
          <w:tcPr>
            <w:tcW w:w="0" w:type="auto"/>
            <w:tcMar>
              <w:top w:w="150" w:type="dxa"/>
              <w:left w:w="240" w:type="dxa"/>
              <w:bottom w:w="150" w:type="dxa"/>
              <w:right w:w="0" w:type="dxa"/>
            </w:tcMar>
            <w:vAlign w:val="center"/>
            <w:hideMark/>
          </w:tcPr>
          <w:p w14:paraId="6E40575A"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16.8</w:t>
            </w:r>
          </w:p>
        </w:tc>
      </w:tr>
      <w:tr w:rsidR="00914955" w:rsidRPr="00914955" w14:paraId="6BDF2F37" w14:textId="77777777" w:rsidTr="003F7657">
        <w:tc>
          <w:tcPr>
            <w:tcW w:w="0" w:type="auto"/>
            <w:tcMar>
              <w:top w:w="150" w:type="dxa"/>
              <w:left w:w="0" w:type="dxa"/>
              <w:bottom w:w="150" w:type="dxa"/>
              <w:right w:w="240" w:type="dxa"/>
            </w:tcMar>
            <w:vAlign w:val="center"/>
            <w:hideMark/>
          </w:tcPr>
          <w:p w14:paraId="5871ECB4"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2592A6AF"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Married</w:t>
            </w:r>
          </w:p>
        </w:tc>
        <w:tc>
          <w:tcPr>
            <w:tcW w:w="0" w:type="auto"/>
            <w:tcMar>
              <w:top w:w="150" w:type="dxa"/>
              <w:left w:w="240" w:type="dxa"/>
              <w:bottom w:w="150" w:type="dxa"/>
              <w:right w:w="240" w:type="dxa"/>
            </w:tcMar>
            <w:vAlign w:val="center"/>
            <w:hideMark/>
          </w:tcPr>
          <w:p w14:paraId="061153A1"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99</w:t>
            </w:r>
          </w:p>
        </w:tc>
        <w:tc>
          <w:tcPr>
            <w:tcW w:w="0" w:type="auto"/>
            <w:tcMar>
              <w:top w:w="150" w:type="dxa"/>
              <w:left w:w="240" w:type="dxa"/>
              <w:bottom w:w="150" w:type="dxa"/>
              <w:right w:w="0" w:type="dxa"/>
            </w:tcMar>
            <w:vAlign w:val="center"/>
            <w:hideMark/>
          </w:tcPr>
          <w:p w14:paraId="61C208F9"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66.4</w:t>
            </w:r>
          </w:p>
        </w:tc>
      </w:tr>
      <w:tr w:rsidR="00914955" w:rsidRPr="00914955" w14:paraId="606F0124" w14:textId="77777777" w:rsidTr="003F7657">
        <w:tc>
          <w:tcPr>
            <w:tcW w:w="0" w:type="auto"/>
            <w:tcMar>
              <w:top w:w="150" w:type="dxa"/>
              <w:left w:w="0" w:type="dxa"/>
              <w:bottom w:w="150" w:type="dxa"/>
              <w:right w:w="240" w:type="dxa"/>
            </w:tcMar>
            <w:vAlign w:val="center"/>
            <w:hideMark/>
          </w:tcPr>
          <w:p w14:paraId="6C234D5C"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215BB058"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Divorced</w:t>
            </w:r>
          </w:p>
        </w:tc>
        <w:tc>
          <w:tcPr>
            <w:tcW w:w="0" w:type="auto"/>
            <w:tcMar>
              <w:top w:w="150" w:type="dxa"/>
              <w:left w:w="240" w:type="dxa"/>
              <w:bottom w:w="150" w:type="dxa"/>
              <w:right w:w="240" w:type="dxa"/>
            </w:tcMar>
            <w:vAlign w:val="center"/>
            <w:hideMark/>
          </w:tcPr>
          <w:p w14:paraId="5588E56D"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19</w:t>
            </w:r>
          </w:p>
        </w:tc>
        <w:tc>
          <w:tcPr>
            <w:tcW w:w="0" w:type="auto"/>
            <w:tcMar>
              <w:top w:w="150" w:type="dxa"/>
              <w:left w:w="240" w:type="dxa"/>
              <w:bottom w:w="150" w:type="dxa"/>
              <w:right w:w="0" w:type="dxa"/>
            </w:tcMar>
            <w:vAlign w:val="center"/>
            <w:hideMark/>
          </w:tcPr>
          <w:p w14:paraId="7FD66F0B"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12.8</w:t>
            </w:r>
          </w:p>
        </w:tc>
      </w:tr>
      <w:tr w:rsidR="00914955" w:rsidRPr="00914955" w14:paraId="77BCA8AB" w14:textId="77777777" w:rsidTr="003F7657">
        <w:tc>
          <w:tcPr>
            <w:tcW w:w="0" w:type="auto"/>
            <w:tcMar>
              <w:top w:w="150" w:type="dxa"/>
              <w:left w:w="0" w:type="dxa"/>
              <w:bottom w:w="150" w:type="dxa"/>
              <w:right w:w="240" w:type="dxa"/>
            </w:tcMar>
            <w:vAlign w:val="center"/>
            <w:hideMark/>
          </w:tcPr>
          <w:p w14:paraId="1D8B9D91"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10289533"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Widowed</w:t>
            </w:r>
          </w:p>
        </w:tc>
        <w:tc>
          <w:tcPr>
            <w:tcW w:w="0" w:type="auto"/>
            <w:tcMar>
              <w:top w:w="150" w:type="dxa"/>
              <w:left w:w="240" w:type="dxa"/>
              <w:bottom w:w="150" w:type="dxa"/>
              <w:right w:w="240" w:type="dxa"/>
            </w:tcMar>
            <w:vAlign w:val="center"/>
            <w:hideMark/>
          </w:tcPr>
          <w:p w14:paraId="7FF090FA"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6</w:t>
            </w:r>
          </w:p>
        </w:tc>
        <w:tc>
          <w:tcPr>
            <w:tcW w:w="0" w:type="auto"/>
            <w:tcMar>
              <w:top w:w="150" w:type="dxa"/>
              <w:left w:w="240" w:type="dxa"/>
              <w:bottom w:w="150" w:type="dxa"/>
              <w:right w:w="0" w:type="dxa"/>
            </w:tcMar>
            <w:vAlign w:val="center"/>
            <w:hideMark/>
          </w:tcPr>
          <w:p w14:paraId="4AF6C3A7"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4.0</w:t>
            </w:r>
          </w:p>
        </w:tc>
      </w:tr>
      <w:tr w:rsidR="00914955" w:rsidRPr="00914955" w14:paraId="0B1990E2" w14:textId="77777777" w:rsidTr="003F7657">
        <w:tc>
          <w:tcPr>
            <w:tcW w:w="0" w:type="auto"/>
            <w:tcMar>
              <w:top w:w="150" w:type="dxa"/>
              <w:left w:w="0" w:type="dxa"/>
              <w:bottom w:w="150" w:type="dxa"/>
              <w:right w:w="240" w:type="dxa"/>
            </w:tcMar>
            <w:vAlign w:val="center"/>
            <w:hideMark/>
          </w:tcPr>
          <w:p w14:paraId="1B9FA182"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b/>
                <w:bCs/>
                <w:kern w:val="0"/>
                <w:sz w:val="22"/>
                <w:szCs w:val="22"/>
                <w14:ligatures w14:val="none"/>
              </w:rPr>
              <w:t>Professional category</w:t>
            </w:r>
          </w:p>
        </w:tc>
        <w:tc>
          <w:tcPr>
            <w:tcW w:w="0" w:type="auto"/>
            <w:tcMar>
              <w:top w:w="150" w:type="dxa"/>
              <w:left w:w="240" w:type="dxa"/>
              <w:bottom w:w="150" w:type="dxa"/>
              <w:right w:w="240" w:type="dxa"/>
            </w:tcMar>
            <w:vAlign w:val="center"/>
            <w:hideMark/>
          </w:tcPr>
          <w:p w14:paraId="5603B598"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Physician</w:t>
            </w:r>
          </w:p>
        </w:tc>
        <w:tc>
          <w:tcPr>
            <w:tcW w:w="0" w:type="auto"/>
            <w:tcMar>
              <w:top w:w="150" w:type="dxa"/>
              <w:left w:w="240" w:type="dxa"/>
              <w:bottom w:w="150" w:type="dxa"/>
              <w:right w:w="240" w:type="dxa"/>
            </w:tcMar>
            <w:vAlign w:val="center"/>
            <w:hideMark/>
          </w:tcPr>
          <w:p w14:paraId="675A58FD"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24</w:t>
            </w:r>
          </w:p>
        </w:tc>
        <w:tc>
          <w:tcPr>
            <w:tcW w:w="0" w:type="auto"/>
            <w:tcMar>
              <w:top w:w="150" w:type="dxa"/>
              <w:left w:w="240" w:type="dxa"/>
              <w:bottom w:w="150" w:type="dxa"/>
              <w:right w:w="0" w:type="dxa"/>
            </w:tcMar>
            <w:vAlign w:val="center"/>
            <w:hideMark/>
          </w:tcPr>
          <w:p w14:paraId="1014DAC6"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16.1</w:t>
            </w:r>
          </w:p>
        </w:tc>
      </w:tr>
      <w:tr w:rsidR="00914955" w:rsidRPr="00914955" w14:paraId="2CB6FDD0" w14:textId="77777777" w:rsidTr="003F7657">
        <w:tc>
          <w:tcPr>
            <w:tcW w:w="0" w:type="auto"/>
            <w:tcMar>
              <w:top w:w="150" w:type="dxa"/>
              <w:left w:w="0" w:type="dxa"/>
              <w:bottom w:w="150" w:type="dxa"/>
              <w:right w:w="240" w:type="dxa"/>
            </w:tcMar>
            <w:vAlign w:val="center"/>
            <w:hideMark/>
          </w:tcPr>
          <w:p w14:paraId="6ED7F55B"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6DEC9A4B"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Nurse</w:t>
            </w:r>
          </w:p>
        </w:tc>
        <w:tc>
          <w:tcPr>
            <w:tcW w:w="0" w:type="auto"/>
            <w:tcMar>
              <w:top w:w="150" w:type="dxa"/>
              <w:left w:w="240" w:type="dxa"/>
              <w:bottom w:w="150" w:type="dxa"/>
              <w:right w:w="240" w:type="dxa"/>
            </w:tcMar>
            <w:vAlign w:val="center"/>
            <w:hideMark/>
          </w:tcPr>
          <w:p w14:paraId="28E82137"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82</w:t>
            </w:r>
          </w:p>
        </w:tc>
        <w:tc>
          <w:tcPr>
            <w:tcW w:w="0" w:type="auto"/>
            <w:tcMar>
              <w:top w:w="150" w:type="dxa"/>
              <w:left w:w="240" w:type="dxa"/>
              <w:bottom w:w="150" w:type="dxa"/>
              <w:right w:w="0" w:type="dxa"/>
            </w:tcMar>
            <w:vAlign w:val="center"/>
            <w:hideMark/>
          </w:tcPr>
          <w:p w14:paraId="6C4EF918"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55.0</w:t>
            </w:r>
          </w:p>
        </w:tc>
      </w:tr>
      <w:tr w:rsidR="00914955" w:rsidRPr="00914955" w14:paraId="49056FFA" w14:textId="77777777" w:rsidTr="003F7657">
        <w:tc>
          <w:tcPr>
            <w:tcW w:w="0" w:type="auto"/>
            <w:tcMar>
              <w:top w:w="150" w:type="dxa"/>
              <w:left w:w="0" w:type="dxa"/>
              <w:bottom w:w="150" w:type="dxa"/>
              <w:right w:w="240" w:type="dxa"/>
            </w:tcMar>
            <w:vAlign w:val="center"/>
            <w:hideMark/>
          </w:tcPr>
          <w:p w14:paraId="0333E437"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78C6C8AD"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Laboratory technician</w:t>
            </w:r>
          </w:p>
        </w:tc>
        <w:tc>
          <w:tcPr>
            <w:tcW w:w="0" w:type="auto"/>
            <w:tcMar>
              <w:top w:w="150" w:type="dxa"/>
              <w:left w:w="240" w:type="dxa"/>
              <w:bottom w:w="150" w:type="dxa"/>
              <w:right w:w="240" w:type="dxa"/>
            </w:tcMar>
            <w:vAlign w:val="center"/>
            <w:hideMark/>
          </w:tcPr>
          <w:p w14:paraId="7D0D859D"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13</w:t>
            </w:r>
          </w:p>
        </w:tc>
        <w:tc>
          <w:tcPr>
            <w:tcW w:w="0" w:type="auto"/>
            <w:tcMar>
              <w:top w:w="150" w:type="dxa"/>
              <w:left w:w="240" w:type="dxa"/>
              <w:bottom w:w="150" w:type="dxa"/>
              <w:right w:w="0" w:type="dxa"/>
            </w:tcMar>
            <w:vAlign w:val="center"/>
            <w:hideMark/>
          </w:tcPr>
          <w:p w14:paraId="0ACBD70B"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8.7</w:t>
            </w:r>
          </w:p>
        </w:tc>
      </w:tr>
      <w:tr w:rsidR="00914955" w:rsidRPr="00914955" w14:paraId="527E6087" w14:textId="77777777" w:rsidTr="003F7657">
        <w:tc>
          <w:tcPr>
            <w:tcW w:w="0" w:type="auto"/>
            <w:tcMar>
              <w:top w:w="150" w:type="dxa"/>
              <w:left w:w="0" w:type="dxa"/>
              <w:bottom w:w="150" w:type="dxa"/>
              <w:right w:w="240" w:type="dxa"/>
            </w:tcMar>
            <w:vAlign w:val="center"/>
            <w:hideMark/>
          </w:tcPr>
          <w:p w14:paraId="70A59F63"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1CE08371"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Manager</w:t>
            </w:r>
          </w:p>
        </w:tc>
        <w:tc>
          <w:tcPr>
            <w:tcW w:w="0" w:type="auto"/>
            <w:tcMar>
              <w:top w:w="150" w:type="dxa"/>
              <w:left w:w="240" w:type="dxa"/>
              <w:bottom w:w="150" w:type="dxa"/>
              <w:right w:w="240" w:type="dxa"/>
            </w:tcMar>
            <w:vAlign w:val="center"/>
            <w:hideMark/>
          </w:tcPr>
          <w:p w14:paraId="6C1F3DDF"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18</w:t>
            </w:r>
          </w:p>
        </w:tc>
        <w:tc>
          <w:tcPr>
            <w:tcW w:w="0" w:type="auto"/>
            <w:tcMar>
              <w:top w:w="150" w:type="dxa"/>
              <w:left w:w="240" w:type="dxa"/>
              <w:bottom w:w="150" w:type="dxa"/>
              <w:right w:w="0" w:type="dxa"/>
            </w:tcMar>
            <w:vAlign w:val="center"/>
            <w:hideMark/>
          </w:tcPr>
          <w:p w14:paraId="05957A38"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12.1</w:t>
            </w:r>
          </w:p>
        </w:tc>
      </w:tr>
      <w:tr w:rsidR="00914955" w:rsidRPr="00914955" w14:paraId="3F4DBC05" w14:textId="77777777" w:rsidTr="003F7657">
        <w:tc>
          <w:tcPr>
            <w:tcW w:w="0" w:type="auto"/>
            <w:tcMar>
              <w:top w:w="150" w:type="dxa"/>
              <w:left w:w="0" w:type="dxa"/>
              <w:bottom w:w="150" w:type="dxa"/>
              <w:right w:w="240" w:type="dxa"/>
            </w:tcMar>
            <w:vAlign w:val="center"/>
            <w:hideMark/>
          </w:tcPr>
          <w:p w14:paraId="5549FEFF"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12C86251"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Other</w:t>
            </w:r>
          </w:p>
        </w:tc>
        <w:tc>
          <w:tcPr>
            <w:tcW w:w="0" w:type="auto"/>
            <w:tcMar>
              <w:top w:w="150" w:type="dxa"/>
              <w:left w:w="240" w:type="dxa"/>
              <w:bottom w:w="150" w:type="dxa"/>
              <w:right w:w="240" w:type="dxa"/>
            </w:tcMar>
            <w:vAlign w:val="center"/>
            <w:hideMark/>
          </w:tcPr>
          <w:p w14:paraId="2C70838F"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12</w:t>
            </w:r>
          </w:p>
        </w:tc>
        <w:tc>
          <w:tcPr>
            <w:tcW w:w="0" w:type="auto"/>
            <w:tcMar>
              <w:top w:w="150" w:type="dxa"/>
              <w:left w:w="240" w:type="dxa"/>
              <w:bottom w:w="150" w:type="dxa"/>
              <w:right w:w="0" w:type="dxa"/>
            </w:tcMar>
            <w:vAlign w:val="center"/>
            <w:hideMark/>
          </w:tcPr>
          <w:p w14:paraId="7373DF63"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8.1</w:t>
            </w:r>
          </w:p>
        </w:tc>
      </w:tr>
      <w:tr w:rsidR="00914955" w:rsidRPr="00914955" w14:paraId="26BFEB36" w14:textId="77777777" w:rsidTr="003F7657">
        <w:tc>
          <w:tcPr>
            <w:tcW w:w="0" w:type="auto"/>
            <w:tcMar>
              <w:top w:w="150" w:type="dxa"/>
              <w:left w:w="0" w:type="dxa"/>
              <w:bottom w:w="150" w:type="dxa"/>
              <w:right w:w="240" w:type="dxa"/>
            </w:tcMar>
            <w:vAlign w:val="center"/>
            <w:hideMark/>
          </w:tcPr>
          <w:p w14:paraId="2432EA9A"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b/>
                <w:bCs/>
                <w:kern w:val="0"/>
                <w:sz w:val="22"/>
                <w:szCs w:val="22"/>
                <w14:ligatures w14:val="none"/>
              </w:rPr>
              <w:t>Ethnicity</w:t>
            </w:r>
          </w:p>
        </w:tc>
        <w:tc>
          <w:tcPr>
            <w:tcW w:w="0" w:type="auto"/>
            <w:tcMar>
              <w:top w:w="150" w:type="dxa"/>
              <w:left w:w="240" w:type="dxa"/>
              <w:bottom w:w="150" w:type="dxa"/>
              <w:right w:w="240" w:type="dxa"/>
            </w:tcMar>
            <w:vAlign w:val="center"/>
            <w:hideMark/>
          </w:tcPr>
          <w:p w14:paraId="505EE72B"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proofErr w:type="spellStart"/>
            <w:r w:rsidRPr="003F7657">
              <w:rPr>
                <w:rFonts w:ascii="Times New Roman" w:eastAsia="Times New Roman" w:hAnsi="Times New Roman" w:cs="Times New Roman"/>
                <w:kern w:val="0"/>
                <w:sz w:val="22"/>
                <w:szCs w:val="22"/>
                <w14:ligatures w14:val="none"/>
              </w:rPr>
              <w:t>Ekonda</w:t>
            </w:r>
            <w:proofErr w:type="spellEnd"/>
          </w:p>
        </w:tc>
        <w:tc>
          <w:tcPr>
            <w:tcW w:w="0" w:type="auto"/>
            <w:tcMar>
              <w:top w:w="150" w:type="dxa"/>
              <w:left w:w="240" w:type="dxa"/>
              <w:bottom w:w="150" w:type="dxa"/>
              <w:right w:w="240" w:type="dxa"/>
            </w:tcMar>
            <w:vAlign w:val="center"/>
            <w:hideMark/>
          </w:tcPr>
          <w:p w14:paraId="63D73290"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69</w:t>
            </w:r>
          </w:p>
        </w:tc>
        <w:tc>
          <w:tcPr>
            <w:tcW w:w="0" w:type="auto"/>
            <w:tcMar>
              <w:top w:w="150" w:type="dxa"/>
              <w:left w:w="240" w:type="dxa"/>
              <w:bottom w:w="150" w:type="dxa"/>
              <w:right w:w="0" w:type="dxa"/>
            </w:tcMar>
            <w:vAlign w:val="center"/>
            <w:hideMark/>
          </w:tcPr>
          <w:p w14:paraId="51BBA543"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46.3</w:t>
            </w:r>
          </w:p>
        </w:tc>
      </w:tr>
      <w:tr w:rsidR="00914955" w:rsidRPr="00914955" w14:paraId="5636EF15" w14:textId="77777777" w:rsidTr="003F7657">
        <w:tc>
          <w:tcPr>
            <w:tcW w:w="0" w:type="auto"/>
            <w:tcMar>
              <w:top w:w="150" w:type="dxa"/>
              <w:left w:w="0" w:type="dxa"/>
              <w:bottom w:w="150" w:type="dxa"/>
              <w:right w:w="240" w:type="dxa"/>
            </w:tcMar>
            <w:vAlign w:val="center"/>
            <w:hideMark/>
          </w:tcPr>
          <w:p w14:paraId="2BAF315D"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7B057FD8"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Ngombe</w:t>
            </w:r>
          </w:p>
        </w:tc>
        <w:tc>
          <w:tcPr>
            <w:tcW w:w="0" w:type="auto"/>
            <w:tcMar>
              <w:top w:w="150" w:type="dxa"/>
              <w:left w:w="240" w:type="dxa"/>
              <w:bottom w:w="150" w:type="dxa"/>
              <w:right w:w="240" w:type="dxa"/>
            </w:tcMar>
            <w:vAlign w:val="center"/>
            <w:hideMark/>
          </w:tcPr>
          <w:p w14:paraId="1D06711D"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24</w:t>
            </w:r>
          </w:p>
        </w:tc>
        <w:tc>
          <w:tcPr>
            <w:tcW w:w="0" w:type="auto"/>
            <w:tcMar>
              <w:top w:w="150" w:type="dxa"/>
              <w:left w:w="240" w:type="dxa"/>
              <w:bottom w:w="150" w:type="dxa"/>
              <w:right w:w="0" w:type="dxa"/>
            </w:tcMar>
            <w:vAlign w:val="center"/>
            <w:hideMark/>
          </w:tcPr>
          <w:p w14:paraId="1B2E31BD"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16.1</w:t>
            </w:r>
          </w:p>
        </w:tc>
      </w:tr>
      <w:tr w:rsidR="00914955" w:rsidRPr="00914955" w14:paraId="52F49C82" w14:textId="77777777" w:rsidTr="003F7657">
        <w:tc>
          <w:tcPr>
            <w:tcW w:w="0" w:type="auto"/>
            <w:tcMar>
              <w:top w:w="150" w:type="dxa"/>
              <w:left w:w="0" w:type="dxa"/>
              <w:bottom w:w="150" w:type="dxa"/>
              <w:right w:w="240" w:type="dxa"/>
            </w:tcMar>
            <w:vAlign w:val="center"/>
            <w:hideMark/>
          </w:tcPr>
          <w:p w14:paraId="147EE727"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63767392"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Mongo</w:t>
            </w:r>
          </w:p>
        </w:tc>
        <w:tc>
          <w:tcPr>
            <w:tcW w:w="0" w:type="auto"/>
            <w:tcMar>
              <w:top w:w="150" w:type="dxa"/>
              <w:left w:w="240" w:type="dxa"/>
              <w:bottom w:w="150" w:type="dxa"/>
              <w:right w:w="240" w:type="dxa"/>
            </w:tcMar>
            <w:vAlign w:val="center"/>
            <w:hideMark/>
          </w:tcPr>
          <w:p w14:paraId="523C8EEA"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39</w:t>
            </w:r>
          </w:p>
        </w:tc>
        <w:tc>
          <w:tcPr>
            <w:tcW w:w="0" w:type="auto"/>
            <w:tcMar>
              <w:top w:w="150" w:type="dxa"/>
              <w:left w:w="240" w:type="dxa"/>
              <w:bottom w:w="150" w:type="dxa"/>
              <w:right w:w="0" w:type="dxa"/>
            </w:tcMar>
            <w:vAlign w:val="center"/>
            <w:hideMark/>
          </w:tcPr>
          <w:p w14:paraId="78438FE8"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26.2</w:t>
            </w:r>
          </w:p>
        </w:tc>
      </w:tr>
      <w:tr w:rsidR="00914955" w:rsidRPr="00914955" w14:paraId="49C3A3DA" w14:textId="77777777" w:rsidTr="003F7657">
        <w:tc>
          <w:tcPr>
            <w:tcW w:w="0" w:type="auto"/>
            <w:tcMar>
              <w:top w:w="150" w:type="dxa"/>
              <w:left w:w="0" w:type="dxa"/>
              <w:bottom w:w="150" w:type="dxa"/>
              <w:right w:w="240" w:type="dxa"/>
            </w:tcMar>
            <w:vAlign w:val="center"/>
            <w:hideMark/>
          </w:tcPr>
          <w:p w14:paraId="0D25105B"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61F12077"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Makutu</w:t>
            </w:r>
          </w:p>
        </w:tc>
        <w:tc>
          <w:tcPr>
            <w:tcW w:w="0" w:type="auto"/>
            <w:tcMar>
              <w:top w:w="150" w:type="dxa"/>
              <w:left w:w="240" w:type="dxa"/>
              <w:bottom w:w="150" w:type="dxa"/>
              <w:right w:w="240" w:type="dxa"/>
            </w:tcMar>
            <w:vAlign w:val="center"/>
            <w:hideMark/>
          </w:tcPr>
          <w:p w14:paraId="7A7751EA"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17</w:t>
            </w:r>
          </w:p>
        </w:tc>
        <w:tc>
          <w:tcPr>
            <w:tcW w:w="0" w:type="auto"/>
            <w:tcMar>
              <w:top w:w="150" w:type="dxa"/>
              <w:left w:w="240" w:type="dxa"/>
              <w:bottom w:w="150" w:type="dxa"/>
              <w:right w:w="0" w:type="dxa"/>
            </w:tcMar>
            <w:vAlign w:val="center"/>
            <w:hideMark/>
          </w:tcPr>
          <w:p w14:paraId="4E8E724C"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11.4</w:t>
            </w:r>
          </w:p>
        </w:tc>
      </w:tr>
      <w:tr w:rsidR="00914955" w:rsidRPr="00914955" w14:paraId="34BA4CDA" w14:textId="77777777" w:rsidTr="003F7657">
        <w:tc>
          <w:tcPr>
            <w:tcW w:w="0" w:type="auto"/>
            <w:tcMar>
              <w:top w:w="150" w:type="dxa"/>
              <w:left w:w="0" w:type="dxa"/>
              <w:bottom w:w="150" w:type="dxa"/>
              <w:right w:w="240" w:type="dxa"/>
            </w:tcMar>
            <w:vAlign w:val="center"/>
            <w:hideMark/>
          </w:tcPr>
          <w:p w14:paraId="7171BEA7"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b/>
                <w:bCs/>
                <w:kern w:val="0"/>
                <w:sz w:val="22"/>
                <w:szCs w:val="22"/>
                <w14:ligatures w14:val="none"/>
              </w:rPr>
              <w:t>National language spoken</w:t>
            </w:r>
          </w:p>
        </w:tc>
        <w:tc>
          <w:tcPr>
            <w:tcW w:w="0" w:type="auto"/>
            <w:tcMar>
              <w:top w:w="150" w:type="dxa"/>
              <w:left w:w="240" w:type="dxa"/>
              <w:bottom w:w="150" w:type="dxa"/>
              <w:right w:w="240" w:type="dxa"/>
            </w:tcMar>
            <w:vAlign w:val="center"/>
            <w:hideMark/>
          </w:tcPr>
          <w:p w14:paraId="33AC126B"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Kikongo</w:t>
            </w:r>
          </w:p>
        </w:tc>
        <w:tc>
          <w:tcPr>
            <w:tcW w:w="0" w:type="auto"/>
            <w:tcMar>
              <w:top w:w="150" w:type="dxa"/>
              <w:left w:w="240" w:type="dxa"/>
              <w:bottom w:w="150" w:type="dxa"/>
              <w:right w:w="240" w:type="dxa"/>
            </w:tcMar>
            <w:vAlign w:val="center"/>
            <w:hideMark/>
          </w:tcPr>
          <w:p w14:paraId="6B4B4F30"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35</w:t>
            </w:r>
          </w:p>
        </w:tc>
        <w:tc>
          <w:tcPr>
            <w:tcW w:w="0" w:type="auto"/>
            <w:tcMar>
              <w:top w:w="150" w:type="dxa"/>
              <w:left w:w="240" w:type="dxa"/>
              <w:bottom w:w="150" w:type="dxa"/>
              <w:right w:w="0" w:type="dxa"/>
            </w:tcMar>
            <w:vAlign w:val="center"/>
            <w:hideMark/>
          </w:tcPr>
          <w:p w14:paraId="4329C6BE"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23.4</w:t>
            </w:r>
          </w:p>
        </w:tc>
      </w:tr>
      <w:tr w:rsidR="00914955" w:rsidRPr="00914955" w14:paraId="688C1EA1" w14:textId="77777777" w:rsidTr="003F7657">
        <w:tc>
          <w:tcPr>
            <w:tcW w:w="0" w:type="auto"/>
            <w:tcMar>
              <w:top w:w="150" w:type="dxa"/>
              <w:left w:w="0" w:type="dxa"/>
              <w:bottom w:w="150" w:type="dxa"/>
              <w:right w:w="240" w:type="dxa"/>
            </w:tcMar>
            <w:vAlign w:val="center"/>
            <w:hideMark/>
          </w:tcPr>
          <w:p w14:paraId="6A231B43"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5FD9D1E6"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Tshiluba</w:t>
            </w:r>
          </w:p>
        </w:tc>
        <w:tc>
          <w:tcPr>
            <w:tcW w:w="0" w:type="auto"/>
            <w:tcMar>
              <w:top w:w="150" w:type="dxa"/>
              <w:left w:w="240" w:type="dxa"/>
              <w:bottom w:w="150" w:type="dxa"/>
              <w:right w:w="240" w:type="dxa"/>
            </w:tcMar>
            <w:vAlign w:val="center"/>
            <w:hideMark/>
          </w:tcPr>
          <w:p w14:paraId="4256485C"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10</w:t>
            </w:r>
          </w:p>
        </w:tc>
        <w:tc>
          <w:tcPr>
            <w:tcW w:w="0" w:type="auto"/>
            <w:tcMar>
              <w:top w:w="150" w:type="dxa"/>
              <w:left w:w="240" w:type="dxa"/>
              <w:bottom w:w="150" w:type="dxa"/>
              <w:right w:w="0" w:type="dxa"/>
            </w:tcMar>
            <w:vAlign w:val="center"/>
            <w:hideMark/>
          </w:tcPr>
          <w:p w14:paraId="0322C92B"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6.7</w:t>
            </w:r>
          </w:p>
        </w:tc>
      </w:tr>
      <w:tr w:rsidR="00914955" w:rsidRPr="00914955" w14:paraId="3B6D7BB7" w14:textId="77777777" w:rsidTr="003F7657">
        <w:tc>
          <w:tcPr>
            <w:tcW w:w="0" w:type="auto"/>
            <w:tcMar>
              <w:top w:w="150" w:type="dxa"/>
              <w:left w:w="0" w:type="dxa"/>
              <w:bottom w:w="150" w:type="dxa"/>
              <w:right w:w="240" w:type="dxa"/>
            </w:tcMar>
            <w:vAlign w:val="center"/>
            <w:hideMark/>
          </w:tcPr>
          <w:p w14:paraId="6280068B"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6487DD3B"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Lingala</w:t>
            </w:r>
          </w:p>
        </w:tc>
        <w:tc>
          <w:tcPr>
            <w:tcW w:w="0" w:type="auto"/>
            <w:tcMar>
              <w:top w:w="150" w:type="dxa"/>
              <w:left w:w="240" w:type="dxa"/>
              <w:bottom w:w="150" w:type="dxa"/>
              <w:right w:w="240" w:type="dxa"/>
            </w:tcMar>
            <w:vAlign w:val="center"/>
            <w:hideMark/>
          </w:tcPr>
          <w:p w14:paraId="4B3F1F5D"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95</w:t>
            </w:r>
          </w:p>
        </w:tc>
        <w:tc>
          <w:tcPr>
            <w:tcW w:w="0" w:type="auto"/>
            <w:tcMar>
              <w:top w:w="150" w:type="dxa"/>
              <w:left w:w="240" w:type="dxa"/>
              <w:bottom w:w="150" w:type="dxa"/>
              <w:right w:w="0" w:type="dxa"/>
            </w:tcMar>
            <w:vAlign w:val="center"/>
            <w:hideMark/>
          </w:tcPr>
          <w:p w14:paraId="4FA30116"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63.7</w:t>
            </w:r>
          </w:p>
        </w:tc>
      </w:tr>
      <w:tr w:rsidR="00914955" w:rsidRPr="00914955" w14:paraId="71A5AC15" w14:textId="77777777" w:rsidTr="003F7657">
        <w:tc>
          <w:tcPr>
            <w:tcW w:w="0" w:type="auto"/>
            <w:tcMar>
              <w:top w:w="150" w:type="dxa"/>
              <w:left w:w="0" w:type="dxa"/>
              <w:bottom w:w="150" w:type="dxa"/>
              <w:right w:w="240" w:type="dxa"/>
            </w:tcMar>
            <w:vAlign w:val="center"/>
            <w:hideMark/>
          </w:tcPr>
          <w:p w14:paraId="722FE355"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32313B80"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Swahili</w:t>
            </w:r>
          </w:p>
        </w:tc>
        <w:tc>
          <w:tcPr>
            <w:tcW w:w="0" w:type="auto"/>
            <w:tcMar>
              <w:top w:w="150" w:type="dxa"/>
              <w:left w:w="240" w:type="dxa"/>
              <w:bottom w:w="150" w:type="dxa"/>
              <w:right w:w="240" w:type="dxa"/>
            </w:tcMar>
            <w:vAlign w:val="center"/>
            <w:hideMark/>
          </w:tcPr>
          <w:p w14:paraId="25C46E80"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9</w:t>
            </w:r>
          </w:p>
        </w:tc>
        <w:tc>
          <w:tcPr>
            <w:tcW w:w="0" w:type="auto"/>
            <w:tcMar>
              <w:top w:w="150" w:type="dxa"/>
              <w:left w:w="240" w:type="dxa"/>
              <w:bottom w:w="150" w:type="dxa"/>
              <w:right w:w="0" w:type="dxa"/>
            </w:tcMar>
            <w:vAlign w:val="center"/>
            <w:hideMark/>
          </w:tcPr>
          <w:p w14:paraId="7BCFE589"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6.0</w:t>
            </w:r>
          </w:p>
        </w:tc>
      </w:tr>
      <w:tr w:rsidR="00914955" w:rsidRPr="00914955" w14:paraId="0D5BAD15" w14:textId="77777777" w:rsidTr="003F7657">
        <w:tc>
          <w:tcPr>
            <w:tcW w:w="0" w:type="auto"/>
            <w:tcMar>
              <w:top w:w="150" w:type="dxa"/>
              <w:left w:w="0" w:type="dxa"/>
              <w:bottom w:w="150" w:type="dxa"/>
              <w:right w:w="240" w:type="dxa"/>
            </w:tcMar>
            <w:vAlign w:val="center"/>
            <w:hideMark/>
          </w:tcPr>
          <w:p w14:paraId="7BC79072"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b/>
                <w:bCs/>
                <w:kern w:val="0"/>
                <w:sz w:val="22"/>
                <w:szCs w:val="22"/>
                <w14:ligatures w14:val="none"/>
              </w:rPr>
              <w:t>Seniority (years)</w:t>
            </w:r>
          </w:p>
        </w:tc>
        <w:tc>
          <w:tcPr>
            <w:tcW w:w="0" w:type="auto"/>
            <w:tcMar>
              <w:top w:w="150" w:type="dxa"/>
              <w:left w:w="240" w:type="dxa"/>
              <w:bottom w:w="150" w:type="dxa"/>
              <w:right w:w="240" w:type="dxa"/>
            </w:tcMar>
            <w:vAlign w:val="center"/>
            <w:hideMark/>
          </w:tcPr>
          <w:p w14:paraId="31FD5821"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3–5</w:t>
            </w:r>
          </w:p>
        </w:tc>
        <w:tc>
          <w:tcPr>
            <w:tcW w:w="0" w:type="auto"/>
            <w:tcMar>
              <w:top w:w="150" w:type="dxa"/>
              <w:left w:w="240" w:type="dxa"/>
              <w:bottom w:w="150" w:type="dxa"/>
              <w:right w:w="240" w:type="dxa"/>
            </w:tcMar>
            <w:vAlign w:val="center"/>
            <w:hideMark/>
          </w:tcPr>
          <w:p w14:paraId="5F2AC76C"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25</w:t>
            </w:r>
          </w:p>
        </w:tc>
        <w:tc>
          <w:tcPr>
            <w:tcW w:w="0" w:type="auto"/>
            <w:tcMar>
              <w:top w:w="150" w:type="dxa"/>
              <w:left w:w="240" w:type="dxa"/>
              <w:bottom w:w="150" w:type="dxa"/>
              <w:right w:w="0" w:type="dxa"/>
            </w:tcMar>
            <w:vAlign w:val="center"/>
            <w:hideMark/>
          </w:tcPr>
          <w:p w14:paraId="0731677C"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16.8</w:t>
            </w:r>
          </w:p>
        </w:tc>
      </w:tr>
      <w:tr w:rsidR="00914955" w:rsidRPr="00914955" w14:paraId="4BD1161B" w14:textId="77777777" w:rsidTr="003F7657">
        <w:tc>
          <w:tcPr>
            <w:tcW w:w="0" w:type="auto"/>
            <w:tcMar>
              <w:top w:w="150" w:type="dxa"/>
              <w:left w:w="0" w:type="dxa"/>
              <w:bottom w:w="150" w:type="dxa"/>
              <w:right w:w="240" w:type="dxa"/>
            </w:tcMar>
            <w:vAlign w:val="center"/>
            <w:hideMark/>
          </w:tcPr>
          <w:p w14:paraId="110BB87A"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09B0DC7E"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6–8</w:t>
            </w:r>
          </w:p>
        </w:tc>
        <w:tc>
          <w:tcPr>
            <w:tcW w:w="0" w:type="auto"/>
            <w:tcMar>
              <w:top w:w="150" w:type="dxa"/>
              <w:left w:w="240" w:type="dxa"/>
              <w:bottom w:w="150" w:type="dxa"/>
              <w:right w:w="240" w:type="dxa"/>
            </w:tcMar>
            <w:vAlign w:val="center"/>
            <w:hideMark/>
          </w:tcPr>
          <w:p w14:paraId="61077BC7"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30</w:t>
            </w:r>
          </w:p>
        </w:tc>
        <w:tc>
          <w:tcPr>
            <w:tcW w:w="0" w:type="auto"/>
            <w:tcMar>
              <w:top w:w="150" w:type="dxa"/>
              <w:left w:w="240" w:type="dxa"/>
              <w:bottom w:w="150" w:type="dxa"/>
              <w:right w:w="0" w:type="dxa"/>
            </w:tcMar>
            <w:vAlign w:val="center"/>
            <w:hideMark/>
          </w:tcPr>
          <w:p w14:paraId="77246F5C"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20.1</w:t>
            </w:r>
          </w:p>
        </w:tc>
      </w:tr>
      <w:tr w:rsidR="00914955" w:rsidRPr="00914955" w14:paraId="18F83846" w14:textId="77777777" w:rsidTr="003F7657">
        <w:tc>
          <w:tcPr>
            <w:tcW w:w="0" w:type="auto"/>
            <w:tcMar>
              <w:top w:w="150" w:type="dxa"/>
              <w:left w:w="0" w:type="dxa"/>
              <w:bottom w:w="150" w:type="dxa"/>
              <w:right w:w="240" w:type="dxa"/>
            </w:tcMar>
            <w:vAlign w:val="center"/>
            <w:hideMark/>
          </w:tcPr>
          <w:p w14:paraId="2F49E30D"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40982A03"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9–11</w:t>
            </w:r>
          </w:p>
        </w:tc>
        <w:tc>
          <w:tcPr>
            <w:tcW w:w="0" w:type="auto"/>
            <w:tcMar>
              <w:top w:w="150" w:type="dxa"/>
              <w:left w:w="240" w:type="dxa"/>
              <w:bottom w:w="150" w:type="dxa"/>
              <w:right w:w="240" w:type="dxa"/>
            </w:tcMar>
            <w:vAlign w:val="center"/>
            <w:hideMark/>
          </w:tcPr>
          <w:p w14:paraId="28908916"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24</w:t>
            </w:r>
          </w:p>
        </w:tc>
        <w:tc>
          <w:tcPr>
            <w:tcW w:w="0" w:type="auto"/>
            <w:tcMar>
              <w:top w:w="150" w:type="dxa"/>
              <w:left w:w="240" w:type="dxa"/>
              <w:bottom w:w="150" w:type="dxa"/>
              <w:right w:w="0" w:type="dxa"/>
            </w:tcMar>
            <w:vAlign w:val="center"/>
            <w:hideMark/>
          </w:tcPr>
          <w:p w14:paraId="4BE7DC38"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16.1</w:t>
            </w:r>
          </w:p>
        </w:tc>
      </w:tr>
      <w:tr w:rsidR="00914955" w:rsidRPr="00914955" w14:paraId="0020A8EE" w14:textId="77777777" w:rsidTr="003F7657">
        <w:tc>
          <w:tcPr>
            <w:tcW w:w="0" w:type="auto"/>
            <w:tcMar>
              <w:top w:w="150" w:type="dxa"/>
              <w:left w:w="0" w:type="dxa"/>
              <w:bottom w:w="150" w:type="dxa"/>
              <w:right w:w="240" w:type="dxa"/>
            </w:tcMar>
            <w:vAlign w:val="center"/>
            <w:hideMark/>
          </w:tcPr>
          <w:p w14:paraId="05938670"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0799223A"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12–14</w:t>
            </w:r>
          </w:p>
        </w:tc>
        <w:tc>
          <w:tcPr>
            <w:tcW w:w="0" w:type="auto"/>
            <w:tcMar>
              <w:top w:w="150" w:type="dxa"/>
              <w:left w:w="240" w:type="dxa"/>
              <w:bottom w:w="150" w:type="dxa"/>
              <w:right w:w="240" w:type="dxa"/>
            </w:tcMar>
            <w:vAlign w:val="center"/>
            <w:hideMark/>
          </w:tcPr>
          <w:p w14:paraId="18C2ACA4"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18</w:t>
            </w:r>
          </w:p>
        </w:tc>
        <w:tc>
          <w:tcPr>
            <w:tcW w:w="0" w:type="auto"/>
            <w:tcMar>
              <w:top w:w="150" w:type="dxa"/>
              <w:left w:w="240" w:type="dxa"/>
              <w:bottom w:w="150" w:type="dxa"/>
              <w:right w:w="0" w:type="dxa"/>
            </w:tcMar>
            <w:vAlign w:val="center"/>
            <w:hideMark/>
          </w:tcPr>
          <w:p w14:paraId="7F65D170"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12.1</w:t>
            </w:r>
          </w:p>
        </w:tc>
      </w:tr>
      <w:tr w:rsidR="00914955" w:rsidRPr="00914955" w14:paraId="4DE3FD46" w14:textId="77777777" w:rsidTr="003F7657">
        <w:tc>
          <w:tcPr>
            <w:tcW w:w="0" w:type="auto"/>
            <w:tcMar>
              <w:top w:w="150" w:type="dxa"/>
              <w:left w:w="0" w:type="dxa"/>
              <w:bottom w:w="150" w:type="dxa"/>
              <w:right w:w="240" w:type="dxa"/>
            </w:tcMar>
            <w:vAlign w:val="center"/>
            <w:hideMark/>
          </w:tcPr>
          <w:p w14:paraId="7FFD73DF"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395321CF"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≥15</w:t>
            </w:r>
          </w:p>
        </w:tc>
        <w:tc>
          <w:tcPr>
            <w:tcW w:w="0" w:type="auto"/>
            <w:tcMar>
              <w:top w:w="150" w:type="dxa"/>
              <w:left w:w="240" w:type="dxa"/>
              <w:bottom w:w="150" w:type="dxa"/>
              <w:right w:w="240" w:type="dxa"/>
            </w:tcMar>
            <w:vAlign w:val="center"/>
            <w:hideMark/>
          </w:tcPr>
          <w:p w14:paraId="4544C45C"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52</w:t>
            </w:r>
          </w:p>
        </w:tc>
        <w:tc>
          <w:tcPr>
            <w:tcW w:w="0" w:type="auto"/>
            <w:tcMar>
              <w:top w:w="150" w:type="dxa"/>
              <w:left w:w="240" w:type="dxa"/>
              <w:bottom w:w="150" w:type="dxa"/>
              <w:right w:w="0" w:type="dxa"/>
            </w:tcMar>
            <w:vAlign w:val="center"/>
            <w:hideMark/>
          </w:tcPr>
          <w:p w14:paraId="7A2DE62B"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34.9</w:t>
            </w:r>
          </w:p>
        </w:tc>
      </w:tr>
    </w:tbl>
    <w:p w14:paraId="3E7857CC"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color w:val="0F1115"/>
          <w:kern w:val="0"/>
          <w14:ligatures w14:val="none"/>
        </w:rPr>
        <w:t>The sample was predominantly adult, with over half (71.1%) aged 35 years or older. There was a slight male predominance (53.7%). The majority were married (66.4%) and nurses (55.0%). Ethnically, the Mongo group was most represented (46.3%), and Lingala was the dominant language (63.7%). Nearly 35% had 15 years or more of professional seniority.</w:t>
      </w:r>
    </w:p>
    <w:p w14:paraId="29CD0022"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b/>
          <w:bCs/>
          <w:color w:val="0F1115"/>
          <w:kern w:val="0"/>
          <w14:ligatures w14:val="none"/>
        </w:rPr>
        <w:t>3.2. Perceptions of Interprofessional Relationships</w:t>
      </w:r>
    </w:p>
    <w:p w14:paraId="388AD5B8"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color w:val="0F1115"/>
          <w:kern w:val="0"/>
          <w14:ligatures w14:val="none"/>
        </w:rPr>
        <w:t>Overall, 54.4% of respondents held an unfavorable opinion of interprofessional relationships at the hospital, while 45.6% had a favorable opinion (Table 12 in original). Regarding interpersonal relationships with colleagues, 55.0% rated them as good, while 45.0% rated them as poor (Table 16). Relationships with supervisors were perceived more positively: 63.1% rated them as good, compared to 36.9% as poor (Table 17).</w:t>
      </w:r>
    </w:p>
    <w:p w14:paraId="4135C49E"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b/>
          <w:bCs/>
          <w:color w:val="0F1115"/>
          <w:kern w:val="0"/>
          <w14:ligatures w14:val="none"/>
        </w:rPr>
        <w:t>3.3. Communication Modes and Quality</w:t>
      </w:r>
    </w:p>
    <w:p w14:paraId="46C4B3E5"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color w:val="0F1115"/>
          <w:kern w:val="0"/>
          <w14:ligatures w14:val="none"/>
        </w:rPr>
        <w:t>The primary language of communication was Lingala (63.7%). The main mechanisms of engagement in the hospital were personal application (62.4%) and recommendation (33.6%) (Table 9). Work schedules were considered adapted by 50.3% and non-adapted by 49.7% (Table 10), suggesting substantial dissatisfaction with working hours.</w:t>
      </w:r>
    </w:p>
    <w:p w14:paraId="03363183"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b/>
          <w:bCs/>
          <w:color w:val="0F1115"/>
          <w:kern w:val="0"/>
          <w14:ligatures w14:val="none"/>
        </w:rPr>
        <w:t>3.4. Determinants of Conflict and Incidents</w:t>
      </w:r>
    </w:p>
    <w:p w14:paraId="51160F7C"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color w:val="0F1115"/>
          <w:kern w:val="0"/>
          <w14:ligatures w14:val="none"/>
        </w:rPr>
        <w:t xml:space="preserve">The main determinants of interprofessional conflict cited by respondents </w:t>
      </w:r>
      <w:proofErr w:type="gramStart"/>
      <w:r w:rsidRPr="00914955">
        <w:rPr>
          <w:rFonts w:ascii="Times New Roman" w:eastAsia="Times New Roman" w:hAnsi="Times New Roman" w:cs="Times New Roman"/>
          <w:color w:val="0F1115"/>
          <w:kern w:val="0"/>
          <w14:ligatures w14:val="none"/>
        </w:rPr>
        <w:t>were:</w:t>
      </w:r>
      <w:proofErr w:type="gramEnd"/>
      <w:r w:rsidRPr="00914955">
        <w:rPr>
          <w:rFonts w:ascii="Times New Roman" w:eastAsia="Times New Roman" w:hAnsi="Times New Roman" w:cs="Times New Roman"/>
          <w:color w:val="0F1115"/>
          <w:kern w:val="0"/>
          <w14:ligatures w14:val="none"/>
        </w:rPr>
        <w:t xml:space="preserve"> other forms of discrimination (34.9%), jealousy (20.1%), tribalism (16.8%), incompetence (16.1%), and gossip (12.1%) (Table 13). Reported incidents during care provision included: other incidents (including needle-stick injuries, 34.8%), disputes (28.9%), theft of materials (22.9%), and breakages (13.4%) (Table 14).</w:t>
      </w:r>
    </w:p>
    <w:p w14:paraId="565CD7EC"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color w:val="0F1115"/>
          <w:kern w:val="0"/>
          <w14:ligatures w14:val="none"/>
        </w:rPr>
        <w:lastRenderedPageBreak/>
        <w:t>Regarding reasons for relationship deterioration, gossip (42.3%) and tribalism (37.6%) were the most frequently cited (Table 18).</w:t>
      </w:r>
    </w:p>
    <w:p w14:paraId="42D45B57"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b/>
          <w:bCs/>
          <w:color w:val="0F1115"/>
          <w:kern w:val="0"/>
          <w14:ligatures w14:val="none"/>
        </w:rPr>
        <w:t>3.5. Patient Satisfaction</w:t>
      </w:r>
    </w:p>
    <w:p w14:paraId="67C0F3F1"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color w:val="0F1115"/>
          <w:kern w:val="0"/>
          <w14:ligatures w14:val="none"/>
        </w:rPr>
        <w:t xml:space="preserve">Respondents were nearly equally divided on whether patients found satisfaction with care: 50.3% believed patients were not satisfied, while 49.7% believed they were satisfied (Table 15). This </w:t>
      </w:r>
      <w:proofErr w:type="gramStart"/>
      <w:r w:rsidRPr="00914955">
        <w:rPr>
          <w:rFonts w:ascii="Times New Roman" w:eastAsia="Times New Roman" w:hAnsi="Times New Roman" w:cs="Times New Roman"/>
          <w:color w:val="0F1115"/>
          <w:kern w:val="0"/>
          <w14:ligatures w14:val="none"/>
        </w:rPr>
        <w:t>near-equipoise</w:t>
      </w:r>
      <w:proofErr w:type="gramEnd"/>
      <w:r w:rsidRPr="00914955">
        <w:rPr>
          <w:rFonts w:ascii="Times New Roman" w:eastAsia="Times New Roman" w:hAnsi="Times New Roman" w:cs="Times New Roman"/>
          <w:color w:val="0F1115"/>
          <w:kern w:val="0"/>
          <w14:ligatures w14:val="none"/>
        </w:rPr>
        <w:t xml:space="preserve"> suggests significant room for improvement in care quality.</w:t>
      </w:r>
    </w:p>
    <w:p w14:paraId="705B4E7F"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b/>
          <w:bCs/>
          <w:color w:val="0F1115"/>
          <w:kern w:val="0"/>
          <w14:ligatures w14:val="none"/>
        </w:rPr>
        <w:t>3.6. Bivariate Associations with Opinion on Interprofessional Relationships</w:t>
      </w:r>
    </w:p>
    <w:p w14:paraId="79DF5831"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b/>
          <w:bCs/>
          <w:color w:val="0F1115"/>
          <w:kern w:val="0"/>
          <w14:ligatures w14:val="none"/>
        </w:rPr>
        <w:t>3.6.1. Age</w:t>
      </w:r>
      <w:r w:rsidRPr="00914955">
        <w:rPr>
          <w:rFonts w:ascii="Times New Roman" w:eastAsia="Times New Roman" w:hAnsi="Times New Roman" w:cs="Times New Roman"/>
          <w:color w:val="0F1115"/>
          <w:kern w:val="0"/>
          <w14:ligatures w14:val="none"/>
        </w:rPr>
        <w:br/>
        <w:t>A statistically significant association was found between age and opinion on interprofessional relationships (Fisher's exact test, p &lt; 0.05). Notably, all respondents aged 35–39 years (100%) held an unfavorable opinion, while those aged ≥45 years were the most favorable (44.1% of all favorable opinions) (Table 19).</w:t>
      </w:r>
    </w:p>
    <w:p w14:paraId="08474BF6"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b/>
          <w:bCs/>
          <w:color w:val="0F1115"/>
          <w:kern w:val="0"/>
          <w14:ligatures w14:val="none"/>
        </w:rPr>
        <w:t>3.6.2. Sex</w:t>
      </w:r>
      <w:r w:rsidRPr="00914955">
        <w:rPr>
          <w:rFonts w:ascii="Times New Roman" w:eastAsia="Times New Roman" w:hAnsi="Times New Roman" w:cs="Times New Roman"/>
          <w:color w:val="0F1115"/>
          <w:kern w:val="0"/>
          <w14:ligatures w14:val="none"/>
        </w:rPr>
        <w:br/>
      </w:r>
      <w:proofErr w:type="spellStart"/>
      <w:r w:rsidRPr="00914955">
        <w:rPr>
          <w:rFonts w:ascii="Times New Roman" w:eastAsia="Times New Roman" w:hAnsi="Times New Roman" w:cs="Times New Roman"/>
          <w:color w:val="0F1115"/>
          <w:kern w:val="0"/>
          <w14:ligatures w14:val="none"/>
        </w:rPr>
        <w:t>Sex</w:t>
      </w:r>
      <w:proofErr w:type="spellEnd"/>
      <w:r w:rsidRPr="00914955">
        <w:rPr>
          <w:rFonts w:ascii="Times New Roman" w:eastAsia="Times New Roman" w:hAnsi="Times New Roman" w:cs="Times New Roman"/>
          <w:color w:val="0F1115"/>
          <w:kern w:val="0"/>
          <w14:ligatures w14:val="none"/>
        </w:rPr>
        <w:t xml:space="preserve"> was significantly associated with opinion (p &lt; 0.05). Men were more likely to hold favorable opinions (73.5% of favorable opinions), while women were more likely to hold unfavorable opinions (63.0% of unfavorable opinions) (Table 20).</w:t>
      </w:r>
    </w:p>
    <w:p w14:paraId="3239CF18"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b/>
          <w:bCs/>
          <w:color w:val="0F1115"/>
          <w:kern w:val="0"/>
          <w14:ligatures w14:val="none"/>
        </w:rPr>
        <w:t>3.6.3. Marital Status</w:t>
      </w:r>
      <w:r w:rsidRPr="00914955">
        <w:rPr>
          <w:rFonts w:ascii="Times New Roman" w:eastAsia="Times New Roman" w:hAnsi="Times New Roman" w:cs="Times New Roman"/>
          <w:color w:val="0F1115"/>
          <w:kern w:val="0"/>
          <w14:ligatures w14:val="none"/>
        </w:rPr>
        <w:br/>
        <w:t>Marital status was significantly associated with opinion (Fisher's exact test, p &lt; 0.05). Married persons constituted the largest group of unfavorable opinions (77.8%), while divorced and widowed persons expressed exclusively favorable opinions (Table 21).</w:t>
      </w:r>
    </w:p>
    <w:p w14:paraId="6ECAA46E"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b/>
          <w:bCs/>
          <w:color w:val="0F1115"/>
          <w:kern w:val="0"/>
          <w14:ligatures w14:val="none"/>
        </w:rPr>
        <w:t>3.6.4. Professional Category</w:t>
      </w:r>
      <w:r w:rsidRPr="00914955">
        <w:rPr>
          <w:rFonts w:ascii="Times New Roman" w:eastAsia="Times New Roman" w:hAnsi="Times New Roman" w:cs="Times New Roman"/>
          <w:color w:val="0F1115"/>
          <w:kern w:val="0"/>
          <w14:ligatures w14:val="none"/>
        </w:rPr>
        <w:br/>
        <w:t xml:space="preserve">Professional category was not significantly associated with opinion (χ² = 5.865, </w:t>
      </w:r>
      <w:proofErr w:type="spellStart"/>
      <w:r w:rsidRPr="00914955">
        <w:rPr>
          <w:rFonts w:ascii="Times New Roman" w:eastAsia="Times New Roman" w:hAnsi="Times New Roman" w:cs="Times New Roman"/>
          <w:color w:val="0F1115"/>
          <w:kern w:val="0"/>
          <w14:ligatures w14:val="none"/>
        </w:rPr>
        <w:t>df</w:t>
      </w:r>
      <w:proofErr w:type="spellEnd"/>
      <w:r w:rsidRPr="00914955">
        <w:rPr>
          <w:rFonts w:ascii="Times New Roman" w:eastAsia="Times New Roman" w:hAnsi="Times New Roman" w:cs="Times New Roman"/>
          <w:color w:val="0F1115"/>
          <w:kern w:val="0"/>
          <w14:ligatures w14:val="none"/>
        </w:rPr>
        <w:t xml:space="preserve"> = 4, p = 0.209). However, nurses (who made up 55% of the sample) expressed the most unfavorable opinions (63.0%), while physicians and managers expressed relatively more favorable views (Table 22).</w:t>
      </w:r>
    </w:p>
    <w:p w14:paraId="6F13128F"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b/>
          <w:bCs/>
          <w:color w:val="0F1115"/>
          <w:kern w:val="0"/>
          <w14:ligatures w14:val="none"/>
        </w:rPr>
        <w:lastRenderedPageBreak/>
        <w:t>3.6.5. Ethnicity</w:t>
      </w:r>
      <w:r w:rsidRPr="00914955">
        <w:rPr>
          <w:rFonts w:ascii="Times New Roman" w:eastAsia="Times New Roman" w:hAnsi="Times New Roman" w:cs="Times New Roman"/>
          <w:color w:val="0F1115"/>
          <w:kern w:val="0"/>
          <w14:ligatures w14:val="none"/>
        </w:rPr>
        <w:br/>
      </w:r>
      <w:proofErr w:type="spellStart"/>
      <w:r w:rsidRPr="00914955">
        <w:rPr>
          <w:rFonts w:ascii="Times New Roman" w:eastAsia="Times New Roman" w:hAnsi="Times New Roman" w:cs="Times New Roman"/>
          <w:color w:val="0F1115"/>
          <w:kern w:val="0"/>
          <w14:ligatures w14:val="none"/>
        </w:rPr>
        <w:t>Ethnicity</w:t>
      </w:r>
      <w:proofErr w:type="spellEnd"/>
      <w:r w:rsidRPr="00914955">
        <w:rPr>
          <w:rFonts w:ascii="Times New Roman" w:eastAsia="Times New Roman" w:hAnsi="Times New Roman" w:cs="Times New Roman"/>
          <w:color w:val="0F1115"/>
          <w:kern w:val="0"/>
          <w14:ligatures w14:val="none"/>
        </w:rPr>
        <w:t xml:space="preserve"> was significantly associated with opinion (χ² = 11.146, </w:t>
      </w:r>
      <w:proofErr w:type="spellStart"/>
      <w:r w:rsidRPr="00914955">
        <w:rPr>
          <w:rFonts w:ascii="Times New Roman" w:eastAsia="Times New Roman" w:hAnsi="Times New Roman" w:cs="Times New Roman"/>
          <w:color w:val="0F1115"/>
          <w:kern w:val="0"/>
          <w14:ligatures w14:val="none"/>
        </w:rPr>
        <w:t>df</w:t>
      </w:r>
      <w:proofErr w:type="spellEnd"/>
      <w:r w:rsidRPr="00914955">
        <w:rPr>
          <w:rFonts w:ascii="Times New Roman" w:eastAsia="Times New Roman" w:hAnsi="Times New Roman" w:cs="Times New Roman"/>
          <w:color w:val="0F1115"/>
          <w:kern w:val="0"/>
          <w14:ligatures w14:val="none"/>
        </w:rPr>
        <w:t xml:space="preserve"> = 3, p = 0.011). The Mongo ethnic group expressed the most favorable opinions (38.2% of favorable opinions), while the </w:t>
      </w:r>
      <w:proofErr w:type="spellStart"/>
      <w:r w:rsidRPr="00914955">
        <w:rPr>
          <w:rFonts w:ascii="Times New Roman" w:eastAsia="Times New Roman" w:hAnsi="Times New Roman" w:cs="Times New Roman"/>
          <w:color w:val="0F1115"/>
          <w:kern w:val="0"/>
          <w14:ligatures w14:val="none"/>
        </w:rPr>
        <w:t>Ekonda</w:t>
      </w:r>
      <w:proofErr w:type="spellEnd"/>
      <w:r w:rsidRPr="00914955">
        <w:rPr>
          <w:rFonts w:ascii="Times New Roman" w:eastAsia="Times New Roman" w:hAnsi="Times New Roman" w:cs="Times New Roman"/>
          <w:color w:val="0F1115"/>
          <w:kern w:val="0"/>
          <w14:ligatures w14:val="none"/>
        </w:rPr>
        <w:t xml:space="preserve"> group expressed the most unfavorable opinions (55.6% of unfavorable opinions) (Table 23).</w:t>
      </w:r>
    </w:p>
    <w:p w14:paraId="49BBE8DE"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b/>
          <w:bCs/>
          <w:color w:val="0F1115"/>
          <w:kern w:val="0"/>
          <w14:ligatures w14:val="none"/>
        </w:rPr>
        <w:t>3.6.6. Language Spoken</w:t>
      </w:r>
      <w:r w:rsidRPr="00914955">
        <w:rPr>
          <w:rFonts w:ascii="Times New Roman" w:eastAsia="Times New Roman" w:hAnsi="Times New Roman" w:cs="Times New Roman"/>
          <w:color w:val="0F1115"/>
          <w:kern w:val="0"/>
          <w14:ligatures w14:val="none"/>
        </w:rPr>
        <w:br/>
        <w:t xml:space="preserve">National language spoken was significantly associated with opinion (χ² = 10.354, </w:t>
      </w:r>
      <w:proofErr w:type="spellStart"/>
      <w:r w:rsidRPr="00914955">
        <w:rPr>
          <w:rFonts w:ascii="Times New Roman" w:eastAsia="Times New Roman" w:hAnsi="Times New Roman" w:cs="Times New Roman"/>
          <w:color w:val="0F1115"/>
          <w:kern w:val="0"/>
          <w14:ligatures w14:val="none"/>
        </w:rPr>
        <w:t>df</w:t>
      </w:r>
      <w:proofErr w:type="spellEnd"/>
      <w:r w:rsidRPr="00914955">
        <w:rPr>
          <w:rFonts w:ascii="Times New Roman" w:eastAsia="Times New Roman" w:hAnsi="Times New Roman" w:cs="Times New Roman"/>
          <w:color w:val="0F1115"/>
          <w:kern w:val="0"/>
          <w14:ligatures w14:val="none"/>
        </w:rPr>
        <w:t xml:space="preserve"> = 3, p = 0.015). Lingala speakers expressed the most favorable opinions (57.4% of favorable opinions), while Kikongo speakers expressed the most unfavorable opinions (40.7% of unfavorable opinions) (Table 24).</w:t>
      </w:r>
    </w:p>
    <w:p w14:paraId="48E15C4C"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b/>
          <w:bCs/>
          <w:color w:val="0F1115"/>
          <w:kern w:val="0"/>
          <w14:ligatures w14:val="none"/>
        </w:rPr>
        <w:t>3.6.7. Seniority</w:t>
      </w:r>
      <w:r w:rsidRPr="00914955">
        <w:rPr>
          <w:rFonts w:ascii="Times New Roman" w:eastAsia="Times New Roman" w:hAnsi="Times New Roman" w:cs="Times New Roman"/>
          <w:color w:val="0F1115"/>
          <w:kern w:val="0"/>
          <w14:ligatures w14:val="none"/>
        </w:rPr>
        <w:br/>
      </w:r>
      <w:proofErr w:type="spellStart"/>
      <w:r w:rsidRPr="00914955">
        <w:rPr>
          <w:rFonts w:ascii="Times New Roman" w:eastAsia="Times New Roman" w:hAnsi="Times New Roman" w:cs="Times New Roman"/>
          <w:color w:val="0F1115"/>
          <w:kern w:val="0"/>
          <w14:ligatures w14:val="none"/>
        </w:rPr>
        <w:t>Seniority</w:t>
      </w:r>
      <w:proofErr w:type="spellEnd"/>
      <w:r w:rsidRPr="00914955">
        <w:rPr>
          <w:rFonts w:ascii="Times New Roman" w:eastAsia="Times New Roman" w:hAnsi="Times New Roman" w:cs="Times New Roman"/>
          <w:color w:val="0F1115"/>
          <w:kern w:val="0"/>
          <w14:ligatures w14:val="none"/>
        </w:rPr>
        <w:t xml:space="preserve"> was significantly associated with opinion (χ² = 14.013, </w:t>
      </w:r>
      <w:proofErr w:type="spellStart"/>
      <w:r w:rsidRPr="00914955">
        <w:rPr>
          <w:rFonts w:ascii="Times New Roman" w:eastAsia="Times New Roman" w:hAnsi="Times New Roman" w:cs="Times New Roman"/>
          <w:color w:val="0F1115"/>
          <w:kern w:val="0"/>
          <w14:ligatures w14:val="none"/>
        </w:rPr>
        <w:t>df</w:t>
      </w:r>
      <w:proofErr w:type="spellEnd"/>
      <w:r w:rsidRPr="00914955">
        <w:rPr>
          <w:rFonts w:ascii="Times New Roman" w:eastAsia="Times New Roman" w:hAnsi="Times New Roman" w:cs="Times New Roman"/>
          <w:color w:val="0F1115"/>
          <w:kern w:val="0"/>
          <w14:ligatures w14:val="none"/>
        </w:rPr>
        <w:t xml:space="preserve"> = 4, p = 0.005). Those with ≥15 years of seniority expressed the most favorable opinions (45.6% of favorable opinions), while those with 3–5 years and 9–11 years expressed predominantly unfavorable opinions (Table 25).</w:t>
      </w:r>
    </w:p>
    <w:p w14:paraId="089EACAD"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b/>
          <w:bCs/>
          <w:color w:val="0F1115"/>
          <w:kern w:val="0"/>
          <w14:ligatures w14:val="none"/>
        </w:rPr>
        <w:t>Table 26</w:t>
      </w:r>
      <w:r w:rsidRPr="00914955">
        <w:rPr>
          <w:rFonts w:ascii="Times New Roman" w:eastAsia="Times New Roman" w:hAnsi="Times New Roman" w:cs="Times New Roman"/>
          <w:color w:val="0F1115"/>
          <w:kern w:val="0"/>
          <w14:ligatures w14:val="none"/>
        </w:rPr>
        <w:br/>
      </w:r>
      <w:r w:rsidRPr="00914955">
        <w:rPr>
          <w:rFonts w:ascii="Times New Roman" w:eastAsia="Times New Roman" w:hAnsi="Times New Roman" w:cs="Times New Roman"/>
          <w:i/>
          <w:iCs/>
          <w:color w:val="0F1115"/>
          <w:kern w:val="0"/>
          <w14:ligatures w14:val="none"/>
        </w:rPr>
        <w:t>Summary of Bivariate Associations with Opinion on Interprofessional Relationships</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140"/>
        <w:gridCol w:w="1675"/>
        <w:gridCol w:w="664"/>
        <w:gridCol w:w="1140"/>
        <w:gridCol w:w="1554"/>
      </w:tblGrid>
      <w:tr w:rsidR="00914955" w:rsidRPr="003F7657" w14:paraId="3480B502" w14:textId="77777777" w:rsidTr="003F7657">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4A530CE3"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Variable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F224876"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Test statistic</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1142DB92"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proofErr w:type="spellStart"/>
            <w:r w:rsidRPr="003F7657">
              <w:rPr>
                <w:rFonts w:ascii="Times New Roman" w:eastAsia="Times New Roman" w:hAnsi="Times New Roman" w:cs="Times New Roman"/>
                <w:kern w:val="0"/>
                <w:sz w:val="22"/>
                <w:szCs w:val="22"/>
                <w14:ligatures w14:val="none"/>
              </w:rPr>
              <w:t>df</w:t>
            </w:r>
            <w:proofErr w:type="spellEnd"/>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4CEE1787"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p-value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5096551"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Conclusion</w:t>
            </w:r>
          </w:p>
        </w:tc>
      </w:tr>
      <w:tr w:rsidR="00914955" w:rsidRPr="003F7657" w14:paraId="589ADAC9" w14:textId="77777777" w:rsidTr="003F7657">
        <w:tc>
          <w:tcPr>
            <w:tcW w:w="0" w:type="auto"/>
            <w:tcBorders>
              <w:top w:val="single" w:sz="4" w:space="0" w:color="auto"/>
            </w:tcBorders>
            <w:tcMar>
              <w:top w:w="150" w:type="dxa"/>
              <w:left w:w="0" w:type="dxa"/>
              <w:bottom w:w="150" w:type="dxa"/>
              <w:right w:w="240" w:type="dxa"/>
            </w:tcMar>
            <w:vAlign w:val="center"/>
            <w:hideMark/>
          </w:tcPr>
          <w:p w14:paraId="48ACECBC"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Age</w:t>
            </w:r>
          </w:p>
        </w:tc>
        <w:tc>
          <w:tcPr>
            <w:tcW w:w="0" w:type="auto"/>
            <w:tcBorders>
              <w:top w:val="single" w:sz="4" w:space="0" w:color="auto"/>
            </w:tcBorders>
            <w:tcMar>
              <w:top w:w="150" w:type="dxa"/>
              <w:left w:w="240" w:type="dxa"/>
              <w:bottom w:w="150" w:type="dxa"/>
              <w:right w:w="240" w:type="dxa"/>
            </w:tcMar>
            <w:vAlign w:val="center"/>
            <w:hideMark/>
          </w:tcPr>
          <w:p w14:paraId="2D02CE6D"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Fisher's exact</w:t>
            </w:r>
          </w:p>
        </w:tc>
        <w:tc>
          <w:tcPr>
            <w:tcW w:w="0" w:type="auto"/>
            <w:tcBorders>
              <w:top w:val="single" w:sz="4" w:space="0" w:color="auto"/>
            </w:tcBorders>
            <w:tcMar>
              <w:top w:w="150" w:type="dxa"/>
              <w:left w:w="240" w:type="dxa"/>
              <w:bottom w:w="150" w:type="dxa"/>
              <w:right w:w="240" w:type="dxa"/>
            </w:tcMar>
            <w:vAlign w:val="center"/>
            <w:hideMark/>
          </w:tcPr>
          <w:p w14:paraId="5FB5F52D"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w:t>
            </w:r>
          </w:p>
        </w:tc>
        <w:tc>
          <w:tcPr>
            <w:tcW w:w="0" w:type="auto"/>
            <w:tcBorders>
              <w:top w:val="single" w:sz="4" w:space="0" w:color="auto"/>
            </w:tcBorders>
            <w:tcMar>
              <w:top w:w="150" w:type="dxa"/>
              <w:left w:w="240" w:type="dxa"/>
              <w:bottom w:w="150" w:type="dxa"/>
              <w:right w:w="240" w:type="dxa"/>
            </w:tcMar>
            <w:vAlign w:val="center"/>
            <w:hideMark/>
          </w:tcPr>
          <w:p w14:paraId="628BA76C"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&lt;0.05</w:t>
            </w:r>
          </w:p>
        </w:tc>
        <w:tc>
          <w:tcPr>
            <w:tcW w:w="0" w:type="auto"/>
            <w:tcBorders>
              <w:top w:val="single" w:sz="4" w:space="0" w:color="auto"/>
            </w:tcBorders>
            <w:tcMar>
              <w:top w:w="150" w:type="dxa"/>
              <w:left w:w="240" w:type="dxa"/>
              <w:bottom w:w="150" w:type="dxa"/>
              <w:right w:w="0" w:type="dxa"/>
            </w:tcMar>
            <w:vAlign w:val="center"/>
            <w:hideMark/>
          </w:tcPr>
          <w:p w14:paraId="22A2BF8A"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Significant</w:t>
            </w:r>
          </w:p>
        </w:tc>
      </w:tr>
      <w:tr w:rsidR="00914955" w:rsidRPr="003F7657" w14:paraId="57B92933" w14:textId="77777777" w:rsidTr="003F7657">
        <w:tc>
          <w:tcPr>
            <w:tcW w:w="0" w:type="auto"/>
            <w:tcMar>
              <w:top w:w="150" w:type="dxa"/>
              <w:left w:w="0" w:type="dxa"/>
              <w:bottom w:w="150" w:type="dxa"/>
              <w:right w:w="240" w:type="dxa"/>
            </w:tcMar>
            <w:vAlign w:val="center"/>
            <w:hideMark/>
          </w:tcPr>
          <w:p w14:paraId="47C84010"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Sex</w:t>
            </w:r>
          </w:p>
        </w:tc>
        <w:tc>
          <w:tcPr>
            <w:tcW w:w="0" w:type="auto"/>
            <w:tcMar>
              <w:top w:w="150" w:type="dxa"/>
              <w:left w:w="240" w:type="dxa"/>
              <w:bottom w:w="150" w:type="dxa"/>
              <w:right w:w="240" w:type="dxa"/>
            </w:tcMar>
            <w:vAlign w:val="center"/>
            <w:hideMark/>
          </w:tcPr>
          <w:p w14:paraId="684E86FE"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Fisher's exact</w:t>
            </w:r>
          </w:p>
        </w:tc>
        <w:tc>
          <w:tcPr>
            <w:tcW w:w="0" w:type="auto"/>
            <w:tcMar>
              <w:top w:w="150" w:type="dxa"/>
              <w:left w:w="240" w:type="dxa"/>
              <w:bottom w:w="150" w:type="dxa"/>
              <w:right w:w="240" w:type="dxa"/>
            </w:tcMar>
            <w:vAlign w:val="center"/>
            <w:hideMark/>
          </w:tcPr>
          <w:p w14:paraId="279DAEAB"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w:t>
            </w:r>
          </w:p>
        </w:tc>
        <w:tc>
          <w:tcPr>
            <w:tcW w:w="0" w:type="auto"/>
            <w:tcMar>
              <w:top w:w="150" w:type="dxa"/>
              <w:left w:w="240" w:type="dxa"/>
              <w:bottom w:w="150" w:type="dxa"/>
              <w:right w:w="240" w:type="dxa"/>
            </w:tcMar>
            <w:vAlign w:val="center"/>
            <w:hideMark/>
          </w:tcPr>
          <w:p w14:paraId="67429B47"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&lt;0.05</w:t>
            </w:r>
          </w:p>
        </w:tc>
        <w:tc>
          <w:tcPr>
            <w:tcW w:w="0" w:type="auto"/>
            <w:tcMar>
              <w:top w:w="150" w:type="dxa"/>
              <w:left w:w="240" w:type="dxa"/>
              <w:bottom w:w="150" w:type="dxa"/>
              <w:right w:w="0" w:type="dxa"/>
            </w:tcMar>
            <w:vAlign w:val="center"/>
            <w:hideMark/>
          </w:tcPr>
          <w:p w14:paraId="014BE5BD"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Significant</w:t>
            </w:r>
          </w:p>
        </w:tc>
      </w:tr>
      <w:tr w:rsidR="00914955" w:rsidRPr="003F7657" w14:paraId="4BF1F564" w14:textId="77777777" w:rsidTr="003F7657">
        <w:tc>
          <w:tcPr>
            <w:tcW w:w="0" w:type="auto"/>
            <w:tcMar>
              <w:top w:w="150" w:type="dxa"/>
              <w:left w:w="0" w:type="dxa"/>
              <w:bottom w:w="150" w:type="dxa"/>
              <w:right w:w="240" w:type="dxa"/>
            </w:tcMar>
            <w:vAlign w:val="center"/>
            <w:hideMark/>
          </w:tcPr>
          <w:p w14:paraId="756E6371"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Marital status</w:t>
            </w:r>
          </w:p>
        </w:tc>
        <w:tc>
          <w:tcPr>
            <w:tcW w:w="0" w:type="auto"/>
            <w:tcMar>
              <w:top w:w="150" w:type="dxa"/>
              <w:left w:w="240" w:type="dxa"/>
              <w:bottom w:w="150" w:type="dxa"/>
              <w:right w:w="240" w:type="dxa"/>
            </w:tcMar>
            <w:vAlign w:val="center"/>
            <w:hideMark/>
          </w:tcPr>
          <w:p w14:paraId="26E9CA28"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Fisher's exact</w:t>
            </w:r>
          </w:p>
        </w:tc>
        <w:tc>
          <w:tcPr>
            <w:tcW w:w="0" w:type="auto"/>
            <w:tcMar>
              <w:top w:w="150" w:type="dxa"/>
              <w:left w:w="240" w:type="dxa"/>
              <w:bottom w:w="150" w:type="dxa"/>
              <w:right w:w="240" w:type="dxa"/>
            </w:tcMar>
            <w:vAlign w:val="center"/>
            <w:hideMark/>
          </w:tcPr>
          <w:p w14:paraId="71FD2DC8"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w:t>
            </w:r>
          </w:p>
        </w:tc>
        <w:tc>
          <w:tcPr>
            <w:tcW w:w="0" w:type="auto"/>
            <w:tcMar>
              <w:top w:w="150" w:type="dxa"/>
              <w:left w:w="240" w:type="dxa"/>
              <w:bottom w:w="150" w:type="dxa"/>
              <w:right w:w="240" w:type="dxa"/>
            </w:tcMar>
            <w:vAlign w:val="center"/>
            <w:hideMark/>
          </w:tcPr>
          <w:p w14:paraId="18D235EA"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&lt;0.05</w:t>
            </w:r>
          </w:p>
        </w:tc>
        <w:tc>
          <w:tcPr>
            <w:tcW w:w="0" w:type="auto"/>
            <w:tcMar>
              <w:top w:w="150" w:type="dxa"/>
              <w:left w:w="240" w:type="dxa"/>
              <w:bottom w:w="150" w:type="dxa"/>
              <w:right w:w="0" w:type="dxa"/>
            </w:tcMar>
            <w:vAlign w:val="center"/>
            <w:hideMark/>
          </w:tcPr>
          <w:p w14:paraId="536B06D5"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Significant</w:t>
            </w:r>
          </w:p>
        </w:tc>
      </w:tr>
      <w:tr w:rsidR="00914955" w:rsidRPr="003F7657" w14:paraId="19830D45" w14:textId="77777777" w:rsidTr="003F7657">
        <w:tc>
          <w:tcPr>
            <w:tcW w:w="0" w:type="auto"/>
            <w:tcMar>
              <w:top w:w="150" w:type="dxa"/>
              <w:left w:w="0" w:type="dxa"/>
              <w:bottom w:w="150" w:type="dxa"/>
              <w:right w:w="240" w:type="dxa"/>
            </w:tcMar>
            <w:vAlign w:val="center"/>
            <w:hideMark/>
          </w:tcPr>
          <w:p w14:paraId="1C5FD945"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Professional category</w:t>
            </w:r>
          </w:p>
        </w:tc>
        <w:tc>
          <w:tcPr>
            <w:tcW w:w="0" w:type="auto"/>
            <w:tcMar>
              <w:top w:w="150" w:type="dxa"/>
              <w:left w:w="240" w:type="dxa"/>
              <w:bottom w:w="150" w:type="dxa"/>
              <w:right w:w="240" w:type="dxa"/>
            </w:tcMar>
            <w:vAlign w:val="center"/>
            <w:hideMark/>
          </w:tcPr>
          <w:p w14:paraId="241EDAAD"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χ² = 5.865</w:t>
            </w:r>
          </w:p>
        </w:tc>
        <w:tc>
          <w:tcPr>
            <w:tcW w:w="0" w:type="auto"/>
            <w:tcMar>
              <w:top w:w="150" w:type="dxa"/>
              <w:left w:w="240" w:type="dxa"/>
              <w:bottom w:w="150" w:type="dxa"/>
              <w:right w:w="240" w:type="dxa"/>
            </w:tcMar>
            <w:vAlign w:val="center"/>
            <w:hideMark/>
          </w:tcPr>
          <w:p w14:paraId="4EB7D193"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4</w:t>
            </w:r>
          </w:p>
        </w:tc>
        <w:tc>
          <w:tcPr>
            <w:tcW w:w="0" w:type="auto"/>
            <w:tcMar>
              <w:top w:w="150" w:type="dxa"/>
              <w:left w:w="240" w:type="dxa"/>
              <w:bottom w:w="150" w:type="dxa"/>
              <w:right w:w="240" w:type="dxa"/>
            </w:tcMar>
            <w:vAlign w:val="center"/>
            <w:hideMark/>
          </w:tcPr>
          <w:p w14:paraId="7CEFCD1D"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0.209</w:t>
            </w:r>
          </w:p>
        </w:tc>
        <w:tc>
          <w:tcPr>
            <w:tcW w:w="0" w:type="auto"/>
            <w:tcMar>
              <w:top w:w="150" w:type="dxa"/>
              <w:left w:w="240" w:type="dxa"/>
              <w:bottom w:w="150" w:type="dxa"/>
              <w:right w:w="0" w:type="dxa"/>
            </w:tcMar>
            <w:vAlign w:val="center"/>
            <w:hideMark/>
          </w:tcPr>
          <w:p w14:paraId="169CD423"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Not significant</w:t>
            </w:r>
          </w:p>
        </w:tc>
      </w:tr>
      <w:tr w:rsidR="00914955" w:rsidRPr="003F7657" w14:paraId="1A11129B" w14:textId="77777777" w:rsidTr="003F7657">
        <w:tc>
          <w:tcPr>
            <w:tcW w:w="0" w:type="auto"/>
            <w:tcMar>
              <w:top w:w="150" w:type="dxa"/>
              <w:left w:w="0" w:type="dxa"/>
              <w:bottom w:w="150" w:type="dxa"/>
              <w:right w:w="240" w:type="dxa"/>
            </w:tcMar>
            <w:vAlign w:val="center"/>
            <w:hideMark/>
          </w:tcPr>
          <w:p w14:paraId="53A0DFA4"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Ethnicity</w:t>
            </w:r>
          </w:p>
        </w:tc>
        <w:tc>
          <w:tcPr>
            <w:tcW w:w="0" w:type="auto"/>
            <w:tcMar>
              <w:top w:w="150" w:type="dxa"/>
              <w:left w:w="240" w:type="dxa"/>
              <w:bottom w:w="150" w:type="dxa"/>
              <w:right w:w="240" w:type="dxa"/>
            </w:tcMar>
            <w:vAlign w:val="center"/>
            <w:hideMark/>
          </w:tcPr>
          <w:p w14:paraId="5DB06CAB"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χ² = 11.146</w:t>
            </w:r>
          </w:p>
        </w:tc>
        <w:tc>
          <w:tcPr>
            <w:tcW w:w="0" w:type="auto"/>
            <w:tcMar>
              <w:top w:w="150" w:type="dxa"/>
              <w:left w:w="240" w:type="dxa"/>
              <w:bottom w:w="150" w:type="dxa"/>
              <w:right w:w="240" w:type="dxa"/>
            </w:tcMar>
            <w:vAlign w:val="center"/>
            <w:hideMark/>
          </w:tcPr>
          <w:p w14:paraId="5445D102"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3</w:t>
            </w:r>
          </w:p>
        </w:tc>
        <w:tc>
          <w:tcPr>
            <w:tcW w:w="0" w:type="auto"/>
            <w:tcMar>
              <w:top w:w="150" w:type="dxa"/>
              <w:left w:w="240" w:type="dxa"/>
              <w:bottom w:w="150" w:type="dxa"/>
              <w:right w:w="240" w:type="dxa"/>
            </w:tcMar>
            <w:vAlign w:val="center"/>
            <w:hideMark/>
          </w:tcPr>
          <w:p w14:paraId="1570215B"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0.011</w:t>
            </w:r>
          </w:p>
        </w:tc>
        <w:tc>
          <w:tcPr>
            <w:tcW w:w="0" w:type="auto"/>
            <w:tcMar>
              <w:top w:w="150" w:type="dxa"/>
              <w:left w:w="240" w:type="dxa"/>
              <w:bottom w:w="150" w:type="dxa"/>
              <w:right w:w="0" w:type="dxa"/>
            </w:tcMar>
            <w:vAlign w:val="center"/>
            <w:hideMark/>
          </w:tcPr>
          <w:p w14:paraId="09BC5B8E"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Significant</w:t>
            </w:r>
          </w:p>
        </w:tc>
      </w:tr>
      <w:tr w:rsidR="00914955" w:rsidRPr="003F7657" w14:paraId="5937956B" w14:textId="77777777" w:rsidTr="003F7657">
        <w:tc>
          <w:tcPr>
            <w:tcW w:w="0" w:type="auto"/>
            <w:tcMar>
              <w:top w:w="150" w:type="dxa"/>
              <w:left w:w="0" w:type="dxa"/>
              <w:bottom w:w="150" w:type="dxa"/>
              <w:right w:w="240" w:type="dxa"/>
            </w:tcMar>
            <w:vAlign w:val="center"/>
            <w:hideMark/>
          </w:tcPr>
          <w:p w14:paraId="1C038ABE"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Language spoken</w:t>
            </w:r>
          </w:p>
        </w:tc>
        <w:tc>
          <w:tcPr>
            <w:tcW w:w="0" w:type="auto"/>
            <w:tcMar>
              <w:top w:w="150" w:type="dxa"/>
              <w:left w:w="240" w:type="dxa"/>
              <w:bottom w:w="150" w:type="dxa"/>
              <w:right w:w="240" w:type="dxa"/>
            </w:tcMar>
            <w:vAlign w:val="center"/>
            <w:hideMark/>
          </w:tcPr>
          <w:p w14:paraId="4EEE6AF9"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χ² = 10.354</w:t>
            </w:r>
          </w:p>
        </w:tc>
        <w:tc>
          <w:tcPr>
            <w:tcW w:w="0" w:type="auto"/>
            <w:tcMar>
              <w:top w:w="150" w:type="dxa"/>
              <w:left w:w="240" w:type="dxa"/>
              <w:bottom w:w="150" w:type="dxa"/>
              <w:right w:w="240" w:type="dxa"/>
            </w:tcMar>
            <w:vAlign w:val="center"/>
            <w:hideMark/>
          </w:tcPr>
          <w:p w14:paraId="2B8AA508"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3</w:t>
            </w:r>
          </w:p>
        </w:tc>
        <w:tc>
          <w:tcPr>
            <w:tcW w:w="0" w:type="auto"/>
            <w:tcMar>
              <w:top w:w="150" w:type="dxa"/>
              <w:left w:w="240" w:type="dxa"/>
              <w:bottom w:w="150" w:type="dxa"/>
              <w:right w:w="240" w:type="dxa"/>
            </w:tcMar>
            <w:vAlign w:val="center"/>
            <w:hideMark/>
          </w:tcPr>
          <w:p w14:paraId="00E9DDD4"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0.015</w:t>
            </w:r>
          </w:p>
        </w:tc>
        <w:tc>
          <w:tcPr>
            <w:tcW w:w="0" w:type="auto"/>
            <w:tcMar>
              <w:top w:w="150" w:type="dxa"/>
              <w:left w:w="240" w:type="dxa"/>
              <w:bottom w:w="150" w:type="dxa"/>
              <w:right w:w="0" w:type="dxa"/>
            </w:tcMar>
            <w:vAlign w:val="center"/>
            <w:hideMark/>
          </w:tcPr>
          <w:p w14:paraId="26EFD127"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Significant</w:t>
            </w:r>
          </w:p>
        </w:tc>
      </w:tr>
      <w:tr w:rsidR="00914955" w:rsidRPr="003F7657" w14:paraId="29BEA57F" w14:textId="77777777" w:rsidTr="003F7657">
        <w:tc>
          <w:tcPr>
            <w:tcW w:w="0" w:type="auto"/>
            <w:tcMar>
              <w:top w:w="150" w:type="dxa"/>
              <w:left w:w="0" w:type="dxa"/>
              <w:bottom w:w="150" w:type="dxa"/>
              <w:right w:w="240" w:type="dxa"/>
            </w:tcMar>
            <w:vAlign w:val="center"/>
            <w:hideMark/>
          </w:tcPr>
          <w:p w14:paraId="446BFD74"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Seniority</w:t>
            </w:r>
          </w:p>
        </w:tc>
        <w:tc>
          <w:tcPr>
            <w:tcW w:w="0" w:type="auto"/>
            <w:tcMar>
              <w:top w:w="150" w:type="dxa"/>
              <w:left w:w="240" w:type="dxa"/>
              <w:bottom w:w="150" w:type="dxa"/>
              <w:right w:w="240" w:type="dxa"/>
            </w:tcMar>
            <w:vAlign w:val="center"/>
            <w:hideMark/>
          </w:tcPr>
          <w:p w14:paraId="7DE7299F"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χ² = 14.013</w:t>
            </w:r>
          </w:p>
        </w:tc>
        <w:tc>
          <w:tcPr>
            <w:tcW w:w="0" w:type="auto"/>
            <w:tcMar>
              <w:top w:w="150" w:type="dxa"/>
              <w:left w:w="240" w:type="dxa"/>
              <w:bottom w:w="150" w:type="dxa"/>
              <w:right w:w="240" w:type="dxa"/>
            </w:tcMar>
            <w:vAlign w:val="center"/>
            <w:hideMark/>
          </w:tcPr>
          <w:p w14:paraId="2834BAD7"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4</w:t>
            </w:r>
          </w:p>
        </w:tc>
        <w:tc>
          <w:tcPr>
            <w:tcW w:w="0" w:type="auto"/>
            <w:tcMar>
              <w:top w:w="150" w:type="dxa"/>
              <w:left w:w="240" w:type="dxa"/>
              <w:bottom w:w="150" w:type="dxa"/>
              <w:right w:w="240" w:type="dxa"/>
            </w:tcMar>
            <w:vAlign w:val="center"/>
            <w:hideMark/>
          </w:tcPr>
          <w:p w14:paraId="09F08A2C"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0.005</w:t>
            </w:r>
          </w:p>
        </w:tc>
        <w:tc>
          <w:tcPr>
            <w:tcW w:w="0" w:type="auto"/>
            <w:tcMar>
              <w:top w:w="150" w:type="dxa"/>
              <w:left w:w="240" w:type="dxa"/>
              <w:bottom w:w="150" w:type="dxa"/>
              <w:right w:w="0" w:type="dxa"/>
            </w:tcMar>
            <w:vAlign w:val="center"/>
            <w:hideMark/>
          </w:tcPr>
          <w:p w14:paraId="6BF17912" w14:textId="77777777" w:rsidR="00914955" w:rsidRPr="003F7657" w:rsidRDefault="00914955" w:rsidP="003F7657">
            <w:pPr>
              <w:spacing w:after="0" w:line="240" w:lineRule="auto"/>
              <w:rPr>
                <w:rFonts w:ascii="Times New Roman" w:eastAsia="Times New Roman" w:hAnsi="Times New Roman" w:cs="Times New Roman"/>
                <w:kern w:val="0"/>
                <w:sz w:val="22"/>
                <w:szCs w:val="22"/>
                <w14:ligatures w14:val="none"/>
              </w:rPr>
            </w:pPr>
            <w:r w:rsidRPr="003F7657">
              <w:rPr>
                <w:rFonts w:ascii="Times New Roman" w:eastAsia="Times New Roman" w:hAnsi="Times New Roman" w:cs="Times New Roman"/>
                <w:kern w:val="0"/>
                <w:sz w:val="22"/>
                <w:szCs w:val="22"/>
                <w14:ligatures w14:val="none"/>
              </w:rPr>
              <w:t>Significant</w:t>
            </w:r>
          </w:p>
        </w:tc>
      </w:tr>
    </w:tbl>
    <w:p w14:paraId="11DFB9A7"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b/>
          <w:bCs/>
          <w:color w:val="0F1115"/>
          <w:kern w:val="0"/>
          <w14:ligatures w14:val="none"/>
        </w:rPr>
        <w:lastRenderedPageBreak/>
        <w:t>4. Discussion</w:t>
      </w:r>
    </w:p>
    <w:p w14:paraId="4EE1FE34"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color w:val="0F1115"/>
          <w:kern w:val="0"/>
          <w14:ligatures w14:val="none"/>
        </w:rPr>
        <w:t xml:space="preserve">This study provides the first empirical assessment of communication and interprofessional relationships at </w:t>
      </w:r>
      <w:proofErr w:type="spellStart"/>
      <w:r w:rsidRPr="00914955">
        <w:rPr>
          <w:rFonts w:ascii="Times New Roman" w:eastAsia="Times New Roman" w:hAnsi="Times New Roman" w:cs="Times New Roman"/>
          <w:color w:val="0F1115"/>
          <w:kern w:val="0"/>
          <w14:ligatures w14:val="none"/>
        </w:rPr>
        <w:t>Wangata</w:t>
      </w:r>
      <w:proofErr w:type="spellEnd"/>
      <w:r w:rsidRPr="00914955">
        <w:rPr>
          <w:rFonts w:ascii="Times New Roman" w:eastAsia="Times New Roman" w:hAnsi="Times New Roman" w:cs="Times New Roman"/>
          <w:color w:val="0F1115"/>
          <w:kern w:val="0"/>
          <w14:ligatures w14:val="none"/>
        </w:rPr>
        <w:t xml:space="preserve"> General Referral Hospital in </w:t>
      </w:r>
      <w:proofErr w:type="spellStart"/>
      <w:r w:rsidRPr="00914955">
        <w:rPr>
          <w:rFonts w:ascii="Times New Roman" w:eastAsia="Times New Roman" w:hAnsi="Times New Roman" w:cs="Times New Roman"/>
          <w:color w:val="0F1115"/>
          <w:kern w:val="0"/>
          <w14:ligatures w14:val="none"/>
        </w:rPr>
        <w:t>Mbandaka</w:t>
      </w:r>
      <w:proofErr w:type="spellEnd"/>
      <w:r w:rsidRPr="00914955">
        <w:rPr>
          <w:rFonts w:ascii="Times New Roman" w:eastAsia="Times New Roman" w:hAnsi="Times New Roman" w:cs="Times New Roman"/>
          <w:color w:val="0F1115"/>
          <w:kern w:val="0"/>
          <w14:ligatures w14:val="none"/>
        </w:rPr>
        <w:t>, DRC. The findings reveal a concerning picture: over half (54.4%) of healthcare workers hold an unfavorable view of interprofessional relationships, and patient satisfaction is perceived as inadequate by half of the respondents.</w:t>
      </w:r>
    </w:p>
    <w:p w14:paraId="4EE1F61E"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b/>
          <w:bCs/>
          <w:color w:val="0F1115"/>
          <w:kern w:val="0"/>
          <w14:ligatures w14:val="none"/>
        </w:rPr>
        <w:t>4.1. Prevalence and Nature of Communication Problems</w:t>
      </w:r>
    </w:p>
    <w:p w14:paraId="4DABC5F3"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color w:val="0F1115"/>
          <w:kern w:val="0"/>
          <w14:ligatures w14:val="none"/>
        </w:rPr>
        <w:t xml:space="preserve">The finding that 54.4% of respondents have an unfavorable opinion of interprofessional relationships is consistent with prior research in similar low-resource settings. Ngo Bebe (2018) emphasized that workplace relationships are a critical determinant of staff performance and retention. The present study confirms that communication failures are not merely anecdotal but systemic at HGR </w:t>
      </w:r>
      <w:proofErr w:type="spellStart"/>
      <w:r w:rsidRPr="00914955">
        <w:rPr>
          <w:rFonts w:ascii="Times New Roman" w:eastAsia="Times New Roman" w:hAnsi="Times New Roman" w:cs="Times New Roman"/>
          <w:color w:val="0F1115"/>
          <w:kern w:val="0"/>
          <w14:ligatures w14:val="none"/>
        </w:rPr>
        <w:t>Wangata</w:t>
      </w:r>
      <w:proofErr w:type="spellEnd"/>
      <w:r w:rsidRPr="00914955">
        <w:rPr>
          <w:rFonts w:ascii="Times New Roman" w:eastAsia="Times New Roman" w:hAnsi="Times New Roman" w:cs="Times New Roman"/>
          <w:color w:val="0F1115"/>
          <w:kern w:val="0"/>
          <w14:ligatures w14:val="none"/>
        </w:rPr>
        <w:t>.</w:t>
      </w:r>
    </w:p>
    <w:p w14:paraId="51D5C814"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color w:val="0F1115"/>
          <w:kern w:val="0"/>
          <w14:ligatures w14:val="none"/>
        </w:rPr>
        <w:t>The high proportion of nurses expressing unfavorable opinions (63.0%) is particularly concerning, given that nurses constitute the largest professional group (55.0%) and are at the frontline of patient care. This finding aligns with international literature showing that nurses often bear the brunt of hierarchical communication barriers and interprofessional tensions (Bertrand Faure &amp; Nicolas Arnaud, 2014).</w:t>
      </w:r>
    </w:p>
    <w:p w14:paraId="11698813"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b/>
          <w:bCs/>
          <w:color w:val="0F1115"/>
          <w:kern w:val="0"/>
          <w14:ligatures w14:val="none"/>
        </w:rPr>
        <w:t>4.2. Demographic and Social Determinants of Perceptions</w:t>
      </w:r>
    </w:p>
    <w:p w14:paraId="18960E75"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b/>
          <w:bCs/>
          <w:color w:val="0F1115"/>
          <w:kern w:val="0"/>
          <w14:ligatures w14:val="none"/>
        </w:rPr>
        <w:t>Age and seniority</w:t>
      </w:r>
      <w:r w:rsidRPr="00914955">
        <w:rPr>
          <w:rFonts w:ascii="Times New Roman" w:eastAsia="Times New Roman" w:hAnsi="Times New Roman" w:cs="Times New Roman"/>
          <w:color w:val="0F1115"/>
          <w:kern w:val="0"/>
          <w14:ligatures w14:val="none"/>
        </w:rPr>
        <w:t> showed a paradoxical pattern: younger staff (35–39 years) were universally dissatisfied, while older staff (≥45 years, ≥15 years seniority) were the most satisfied. This may reflect several phenomena. Older, more experienced workers may have developed coping mechanisms, built stronger informal networks, or become desensitized to chronic problems. Alternatively, as Dewey (n.d.) suggested, age-related cognitive and hormonal changes could influence behavior and perception. However, it is also possible that younger workers have higher expectations and less tolerance for dysfunctional communication patterns.</w:t>
      </w:r>
    </w:p>
    <w:p w14:paraId="4FB551E7"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b/>
          <w:bCs/>
          <w:color w:val="0F1115"/>
          <w:kern w:val="0"/>
          <w14:ligatures w14:val="none"/>
        </w:rPr>
        <w:lastRenderedPageBreak/>
        <w:t>Sex differences</w:t>
      </w:r>
      <w:r w:rsidRPr="00914955">
        <w:rPr>
          <w:rFonts w:ascii="Times New Roman" w:eastAsia="Times New Roman" w:hAnsi="Times New Roman" w:cs="Times New Roman"/>
          <w:color w:val="0F1115"/>
          <w:kern w:val="0"/>
          <w14:ligatures w14:val="none"/>
        </w:rPr>
        <w:t xml:space="preserve"> were </w:t>
      </w:r>
      <w:proofErr w:type="gramStart"/>
      <w:r w:rsidRPr="00914955">
        <w:rPr>
          <w:rFonts w:ascii="Times New Roman" w:eastAsia="Times New Roman" w:hAnsi="Times New Roman" w:cs="Times New Roman"/>
          <w:color w:val="0F1115"/>
          <w:kern w:val="0"/>
          <w14:ligatures w14:val="none"/>
        </w:rPr>
        <w:t>striking:</w:t>
      </w:r>
      <w:proofErr w:type="gramEnd"/>
      <w:r w:rsidRPr="00914955">
        <w:rPr>
          <w:rFonts w:ascii="Times New Roman" w:eastAsia="Times New Roman" w:hAnsi="Times New Roman" w:cs="Times New Roman"/>
          <w:color w:val="0F1115"/>
          <w:kern w:val="0"/>
          <w14:ligatures w14:val="none"/>
        </w:rPr>
        <w:t xml:space="preserve"> men were significantly more likely to have favorable opinions (73.5% of favorable opinions), while women dominated unfavorable opinions (63.0%). This finding likely reflects gender dynamics in Congolese healthcare settings. Women may be more exposed to hierarchical abuses, experience more communication barriers, or be more sensitive to relational tensions. Psychologically, as noted by </w:t>
      </w:r>
      <w:proofErr w:type="spellStart"/>
      <w:r w:rsidRPr="00914955">
        <w:rPr>
          <w:rFonts w:ascii="Times New Roman" w:eastAsia="Times New Roman" w:hAnsi="Times New Roman" w:cs="Times New Roman"/>
          <w:color w:val="0F1115"/>
          <w:kern w:val="0"/>
          <w14:ligatures w14:val="none"/>
        </w:rPr>
        <w:t>Omanyondo</w:t>
      </w:r>
      <w:proofErr w:type="spellEnd"/>
      <w:r w:rsidRPr="00914955">
        <w:rPr>
          <w:rFonts w:ascii="Times New Roman" w:eastAsia="Times New Roman" w:hAnsi="Times New Roman" w:cs="Times New Roman"/>
          <w:color w:val="0F1115"/>
          <w:kern w:val="0"/>
          <w14:ligatures w14:val="none"/>
        </w:rPr>
        <w:t xml:space="preserve"> Ohambe (2018), hormonal fluctuations and cultural expectations may influence women's workplace experiences, though further research is needed.</w:t>
      </w:r>
    </w:p>
    <w:p w14:paraId="7A13FBFB"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b/>
          <w:bCs/>
          <w:color w:val="0F1115"/>
          <w:kern w:val="0"/>
          <w14:ligatures w14:val="none"/>
        </w:rPr>
        <w:t>Ethnicity and language</w:t>
      </w:r>
      <w:r w:rsidRPr="00914955">
        <w:rPr>
          <w:rFonts w:ascii="Times New Roman" w:eastAsia="Times New Roman" w:hAnsi="Times New Roman" w:cs="Times New Roman"/>
          <w:color w:val="0F1115"/>
          <w:kern w:val="0"/>
          <w14:ligatures w14:val="none"/>
        </w:rPr>
        <w:t xml:space="preserve"> were significantly associated with perceptions. The Mongo ethnic group and Lingala speakers expressed the most favorable opinions, while </w:t>
      </w:r>
      <w:proofErr w:type="spellStart"/>
      <w:r w:rsidRPr="00914955">
        <w:rPr>
          <w:rFonts w:ascii="Times New Roman" w:eastAsia="Times New Roman" w:hAnsi="Times New Roman" w:cs="Times New Roman"/>
          <w:color w:val="0F1115"/>
          <w:kern w:val="0"/>
          <w14:ligatures w14:val="none"/>
        </w:rPr>
        <w:t>Ekonda</w:t>
      </w:r>
      <w:proofErr w:type="spellEnd"/>
      <w:r w:rsidRPr="00914955">
        <w:rPr>
          <w:rFonts w:ascii="Times New Roman" w:eastAsia="Times New Roman" w:hAnsi="Times New Roman" w:cs="Times New Roman"/>
          <w:color w:val="0F1115"/>
          <w:kern w:val="0"/>
          <w14:ligatures w14:val="none"/>
        </w:rPr>
        <w:t xml:space="preserve"> and Kikongo speakers were the most dissatisfied. Given that Lingala is the dominant lingua franca in Équateur Province (63.7% of respondents), language proficiency may facilitate better communication and inclusion. Conversely, speakers of other languages (Kikongo, Tshiluba, Swahili) may experience marginalization or communication barriers. Tribalism was cited as a major cause of conflict (16.8% as a primary determinant, 37.6% as a reason for deterioration), confirming that ethnic favoritism undermines professionalism. This echoes observations by James R. Taylor and Elizabeth J. Van Every (2014) that informal organizations (tribal networks) can override formal organizational structures when management is weak.</w:t>
      </w:r>
    </w:p>
    <w:p w14:paraId="6BB6D00E"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b/>
          <w:bCs/>
          <w:color w:val="0F1115"/>
          <w:kern w:val="0"/>
          <w14:ligatures w14:val="none"/>
        </w:rPr>
        <w:t>Marital status</w:t>
      </w:r>
      <w:r w:rsidRPr="00914955">
        <w:rPr>
          <w:rFonts w:ascii="Times New Roman" w:eastAsia="Times New Roman" w:hAnsi="Times New Roman" w:cs="Times New Roman"/>
          <w:color w:val="0F1115"/>
          <w:kern w:val="0"/>
          <w14:ligatures w14:val="none"/>
        </w:rPr>
        <w:t> showed that divorced and widowed persons were uniformly favorable, while married persons were predominantly unfavorable. This unexpected finding may reflect that divorced/widowed individuals, having experienced major life disruptions, may have different expectations or greater resilience. Alternatively, small sample sizes in these categories warrant cautious interpretation.</w:t>
      </w:r>
    </w:p>
    <w:p w14:paraId="5F589D4C"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b/>
          <w:bCs/>
          <w:color w:val="0F1115"/>
          <w:kern w:val="0"/>
          <w14:ligatures w14:val="none"/>
        </w:rPr>
        <w:t>4.3. Professional Category: A Non-Significant Finding</w:t>
      </w:r>
    </w:p>
    <w:p w14:paraId="65976252"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color w:val="0F1115"/>
          <w:kern w:val="0"/>
          <w14:ligatures w14:val="none"/>
        </w:rPr>
        <w:t>Surprisingly, professional category was not significantly associated with opinion (p = 0.209). While nurses expressed the most unfavorable opinions, the lack of statistical significance suggests that communication problems cut across professional boundaries. This reinforces that poor communication is an organizational, not merely occupational, problem.</w:t>
      </w:r>
    </w:p>
    <w:p w14:paraId="7BA3CB56"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b/>
          <w:bCs/>
          <w:color w:val="0F1115"/>
          <w:kern w:val="0"/>
          <w14:ligatures w14:val="none"/>
        </w:rPr>
        <w:t>4.4. Determinants of Conflict and Patient Satisfaction</w:t>
      </w:r>
    </w:p>
    <w:p w14:paraId="55BCA37E"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color w:val="0F1115"/>
          <w:kern w:val="0"/>
          <w14:ligatures w14:val="none"/>
        </w:rPr>
        <w:lastRenderedPageBreak/>
        <w:t>The identification of "other forms of discrimination" (34.9%), jealousy (20.1%), and tribalism (16.8%) as primary conflict drivers indicates that interpersonal tensions are deeply intertwined with social identities and perceived inequities. Gossip (42.3%) and tribalism (37.6%) as reasons for relationship deterioration further highlight the toxic informal communication patterns prevalent at the hospital.</w:t>
      </w:r>
    </w:p>
    <w:p w14:paraId="40D8FF5A"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color w:val="0F1115"/>
          <w:kern w:val="0"/>
          <w14:ligatures w14:val="none"/>
        </w:rPr>
        <w:t>The near-even split on patient satisfaction (49.7% favorable, 50.3% unfavorable) is alarming. Given that patient satisfaction is a key indicator of care quality, this finding suggests that communication failures between providers directly impact patient experience. As noted by Greenan and Guellec (1998), poor internal communication leads to fragmented care, delayed responses, and medical errors—all of which affect patient outcomes.</w:t>
      </w:r>
    </w:p>
    <w:p w14:paraId="5FC8ECB8"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b/>
          <w:bCs/>
          <w:color w:val="0F1115"/>
          <w:kern w:val="0"/>
          <w14:ligatures w14:val="none"/>
        </w:rPr>
        <w:t>4.5. Strengths and Limitations</w:t>
      </w:r>
    </w:p>
    <w:p w14:paraId="3A2E448F"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color w:val="0F1115"/>
          <w:kern w:val="0"/>
          <w14:ligatures w14:val="none"/>
        </w:rPr>
        <w:t>This study has several strengths. It is the first systematic assessment of interprofessional communication in this setting, with a large sample (N = 149) and high response rate (100%). The use of validated statistical tests and inclusion of diverse professional categories enhances generalizability within the hospital.</w:t>
      </w:r>
    </w:p>
    <w:p w14:paraId="1C08E324"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color w:val="0F1115"/>
          <w:kern w:val="0"/>
          <w14:ligatures w14:val="none"/>
        </w:rPr>
        <w:t>However, limitations must be acknowledged. The cross-sectional design precludes causal inference. The single-site setting limits generalizability to other Congolese hospitals. Self-reported data may be subject to social desirability bias, though anonymity was strictly maintained. The study did not include direct observation of communication behaviors or patient-reported outcomes, which could provide complementary data.</w:t>
      </w:r>
    </w:p>
    <w:p w14:paraId="1BFE909B"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b/>
          <w:bCs/>
          <w:color w:val="0F1115"/>
          <w:kern w:val="0"/>
          <w14:ligatures w14:val="none"/>
        </w:rPr>
        <w:t>5. Conclusion</w:t>
      </w:r>
    </w:p>
    <w:p w14:paraId="0FFE4A73"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color w:val="0F1115"/>
          <w:kern w:val="0"/>
          <w14:ligatures w14:val="none"/>
        </w:rPr>
        <w:t xml:space="preserve">This study demonstrates that communication and interprofessional relationships at </w:t>
      </w:r>
      <w:proofErr w:type="spellStart"/>
      <w:r w:rsidRPr="00914955">
        <w:rPr>
          <w:rFonts w:ascii="Times New Roman" w:eastAsia="Times New Roman" w:hAnsi="Times New Roman" w:cs="Times New Roman"/>
          <w:color w:val="0F1115"/>
          <w:kern w:val="0"/>
          <w14:ligatures w14:val="none"/>
        </w:rPr>
        <w:t>Wangata</w:t>
      </w:r>
      <w:proofErr w:type="spellEnd"/>
      <w:r w:rsidRPr="00914955">
        <w:rPr>
          <w:rFonts w:ascii="Times New Roman" w:eastAsia="Times New Roman" w:hAnsi="Times New Roman" w:cs="Times New Roman"/>
          <w:color w:val="0F1115"/>
          <w:kern w:val="0"/>
          <w14:ligatures w14:val="none"/>
        </w:rPr>
        <w:t xml:space="preserve"> General Referral Hospital are largely inadequate, with over half of healthcare workers holding unfavorable opinions. Significant demographic and social factors—age, sex, marital status, ethnicity, language, and seniority—influence these perceptions, while professional category does not. The main drivers of conflict are discrimination, jealousy, and tribalism, with gossip and </w:t>
      </w:r>
      <w:r w:rsidRPr="00914955">
        <w:rPr>
          <w:rFonts w:ascii="Times New Roman" w:eastAsia="Times New Roman" w:hAnsi="Times New Roman" w:cs="Times New Roman"/>
          <w:color w:val="0F1115"/>
          <w:kern w:val="0"/>
          <w14:ligatures w14:val="none"/>
        </w:rPr>
        <w:lastRenderedPageBreak/>
        <w:t>ethnic favoritism deteriorating relationships. Patient satisfaction is perceived as suboptimal by half of the respondents.</w:t>
      </w:r>
    </w:p>
    <w:p w14:paraId="297AE3D6"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color w:val="0F1115"/>
          <w:kern w:val="0"/>
          <w14:ligatures w14:val="none"/>
        </w:rPr>
        <w:t>These findings confirm the alternative hypothesis (H1) that communication quality has a significant impact on interprofessional relationships, rejecting the null hypothesis (H0) of no impact.</w:t>
      </w:r>
    </w:p>
    <w:p w14:paraId="6A835C36"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b/>
          <w:bCs/>
          <w:color w:val="0F1115"/>
          <w:kern w:val="0"/>
          <w14:ligatures w14:val="none"/>
        </w:rPr>
        <w:t>Recommendations</w:t>
      </w:r>
    </w:p>
    <w:p w14:paraId="4C756ACB"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color w:val="0F1115"/>
          <w:kern w:val="0"/>
          <w14:ligatures w14:val="none"/>
        </w:rPr>
        <w:t>Based on these findings, we recommend:</w:t>
      </w:r>
    </w:p>
    <w:p w14:paraId="4F8ECC28" w14:textId="77777777" w:rsidR="00914955" w:rsidRPr="00914955" w:rsidRDefault="00914955" w:rsidP="00914955">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b/>
          <w:bCs/>
          <w:color w:val="0F1115"/>
          <w:kern w:val="0"/>
          <w14:ligatures w14:val="none"/>
        </w:rPr>
        <w:t>For healthcare providers</w:t>
      </w:r>
      <w:r w:rsidRPr="00914955">
        <w:rPr>
          <w:rFonts w:ascii="Times New Roman" w:eastAsia="Times New Roman" w:hAnsi="Times New Roman" w:cs="Times New Roman"/>
          <w:color w:val="0F1115"/>
          <w:kern w:val="0"/>
          <w14:ligatures w14:val="none"/>
        </w:rPr>
        <w:t>: Engage in mutual support and judicious conflict management, prioritizing patient welfare and collegial respect over personal or tribal interests.</w:t>
      </w:r>
    </w:p>
    <w:p w14:paraId="343AEF47" w14:textId="77777777" w:rsidR="00914955" w:rsidRPr="00914955" w:rsidRDefault="00914955" w:rsidP="00914955">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b/>
          <w:bCs/>
          <w:color w:val="0F1115"/>
          <w:kern w:val="0"/>
          <w14:ligatures w14:val="none"/>
        </w:rPr>
        <w:t>For hospital management</w:t>
      </w:r>
      <w:r w:rsidRPr="00914955">
        <w:rPr>
          <w:rFonts w:ascii="Times New Roman" w:eastAsia="Times New Roman" w:hAnsi="Times New Roman" w:cs="Times New Roman"/>
          <w:color w:val="0F1115"/>
          <w:kern w:val="0"/>
          <w14:ligatures w14:val="none"/>
        </w:rPr>
        <w:t>: (a) Increase the frequency of interprofessional meetings and idea exchanges; (b) Establish a formal, confidential conflict resolution mechanism (mediation committee); (c) Implement anti-tribalism and anti-discrimination policies with clear consequences; (d) Provide regular communication skills training for all staff, with emphasis on respectful, non-violent communication.</w:t>
      </w:r>
    </w:p>
    <w:p w14:paraId="53FA3AFA" w14:textId="77777777" w:rsidR="00914955" w:rsidRPr="00914955" w:rsidRDefault="00914955" w:rsidP="00914955">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b/>
          <w:bCs/>
          <w:color w:val="0F1115"/>
          <w:kern w:val="0"/>
          <w14:ligatures w14:val="none"/>
        </w:rPr>
        <w:t>For the health ministry and professional councils</w:t>
      </w:r>
      <w:r w:rsidRPr="00914955">
        <w:rPr>
          <w:rFonts w:ascii="Times New Roman" w:eastAsia="Times New Roman" w:hAnsi="Times New Roman" w:cs="Times New Roman"/>
          <w:color w:val="0F1115"/>
          <w:kern w:val="0"/>
          <w14:ligatures w14:val="none"/>
        </w:rPr>
        <w:t xml:space="preserve">: Develop and disseminate national guidelines for interprofessional communication in Congolese </w:t>
      </w:r>
      <w:proofErr w:type="gramStart"/>
      <w:r w:rsidRPr="00914955">
        <w:rPr>
          <w:rFonts w:ascii="Times New Roman" w:eastAsia="Times New Roman" w:hAnsi="Times New Roman" w:cs="Times New Roman"/>
          <w:color w:val="0F1115"/>
          <w:kern w:val="0"/>
          <w14:ligatures w14:val="none"/>
        </w:rPr>
        <w:t>hospitals, and</w:t>
      </w:r>
      <w:proofErr w:type="gramEnd"/>
      <w:r w:rsidRPr="00914955">
        <w:rPr>
          <w:rFonts w:ascii="Times New Roman" w:eastAsia="Times New Roman" w:hAnsi="Times New Roman" w:cs="Times New Roman"/>
          <w:color w:val="0F1115"/>
          <w:kern w:val="0"/>
          <w14:ligatures w14:val="none"/>
        </w:rPr>
        <w:t xml:space="preserve"> integrate communication competencies into pre-service and in-service training curricula.</w:t>
      </w:r>
    </w:p>
    <w:p w14:paraId="41B56DE6" w14:textId="77777777" w:rsidR="00914955" w:rsidRPr="00914955" w:rsidRDefault="00914955" w:rsidP="00914955">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b/>
          <w:bCs/>
          <w:color w:val="0F1115"/>
          <w:kern w:val="0"/>
          <w14:ligatures w14:val="none"/>
        </w:rPr>
        <w:t>For future research</w:t>
      </w:r>
      <w:r w:rsidRPr="00914955">
        <w:rPr>
          <w:rFonts w:ascii="Times New Roman" w:eastAsia="Times New Roman" w:hAnsi="Times New Roman" w:cs="Times New Roman"/>
          <w:color w:val="0F1115"/>
          <w:kern w:val="0"/>
          <w14:ligatures w14:val="none"/>
        </w:rPr>
        <w:t>: Conduct multicenter studies across several hospitals in Équateur Province, include direct observation of communication behaviors, and evaluate the impact of targeted communication interventions (e.g., daily huddles, structured handoff tools) on patient outcomes and staff satisfaction.</w:t>
      </w:r>
    </w:p>
    <w:p w14:paraId="6845EBAA"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b/>
          <w:bCs/>
          <w:color w:val="0F1115"/>
          <w:kern w:val="0"/>
          <w14:ligatures w14:val="none"/>
        </w:rPr>
        <w:t>References</w:t>
      </w:r>
    </w:p>
    <w:p w14:paraId="5D6ED42A"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color w:val="0F1115"/>
          <w:kern w:val="0"/>
          <w14:ligatures w14:val="none"/>
        </w:rPr>
        <w:t>Bertrand Faure &amp; Nicolas Arnaud. (2014). </w:t>
      </w:r>
      <w:r w:rsidRPr="00914955">
        <w:rPr>
          <w:rFonts w:ascii="Times New Roman" w:eastAsia="Times New Roman" w:hAnsi="Times New Roman" w:cs="Times New Roman"/>
          <w:i/>
          <w:iCs/>
          <w:color w:val="0F1115"/>
          <w:kern w:val="0"/>
          <w14:ligatures w14:val="none"/>
        </w:rPr>
        <w:t xml:space="preserve">La communication des </w:t>
      </w:r>
      <w:proofErr w:type="spellStart"/>
      <w:r w:rsidRPr="00914955">
        <w:rPr>
          <w:rFonts w:ascii="Times New Roman" w:eastAsia="Times New Roman" w:hAnsi="Times New Roman" w:cs="Times New Roman"/>
          <w:i/>
          <w:iCs/>
          <w:color w:val="0F1115"/>
          <w:kern w:val="0"/>
          <w14:ligatures w14:val="none"/>
        </w:rPr>
        <w:t>organisations</w:t>
      </w:r>
      <w:proofErr w:type="spellEnd"/>
      <w:r w:rsidRPr="00914955">
        <w:rPr>
          <w:rFonts w:ascii="Times New Roman" w:eastAsia="Times New Roman" w:hAnsi="Times New Roman" w:cs="Times New Roman"/>
          <w:color w:val="0F1115"/>
          <w:kern w:val="0"/>
          <w14:ligatures w14:val="none"/>
        </w:rPr>
        <w:t xml:space="preserve">. Paris: La </w:t>
      </w:r>
      <w:proofErr w:type="spellStart"/>
      <w:r w:rsidRPr="00914955">
        <w:rPr>
          <w:rFonts w:ascii="Times New Roman" w:eastAsia="Times New Roman" w:hAnsi="Times New Roman" w:cs="Times New Roman"/>
          <w:color w:val="0F1115"/>
          <w:kern w:val="0"/>
          <w14:ligatures w14:val="none"/>
        </w:rPr>
        <w:t>Découverte</w:t>
      </w:r>
      <w:proofErr w:type="spellEnd"/>
      <w:r w:rsidRPr="00914955">
        <w:rPr>
          <w:rFonts w:ascii="Times New Roman" w:eastAsia="Times New Roman" w:hAnsi="Times New Roman" w:cs="Times New Roman"/>
          <w:color w:val="0F1115"/>
          <w:kern w:val="0"/>
          <w14:ligatures w14:val="none"/>
        </w:rPr>
        <w:t>.</w:t>
      </w:r>
    </w:p>
    <w:p w14:paraId="7FCE2F50"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color w:val="0F1115"/>
          <w:kern w:val="0"/>
          <w14:ligatures w14:val="none"/>
        </w:rPr>
        <w:lastRenderedPageBreak/>
        <w:t xml:space="preserve">Charlot, S., &amp; </w:t>
      </w:r>
      <w:proofErr w:type="spellStart"/>
      <w:r w:rsidRPr="00914955">
        <w:rPr>
          <w:rFonts w:ascii="Times New Roman" w:eastAsia="Times New Roman" w:hAnsi="Times New Roman" w:cs="Times New Roman"/>
          <w:color w:val="0F1115"/>
          <w:kern w:val="0"/>
          <w14:ligatures w14:val="none"/>
        </w:rPr>
        <w:t>Duranton</w:t>
      </w:r>
      <w:proofErr w:type="spellEnd"/>
      <w:r w:rsidRPr="00914955">
        <w:rPr>
          <w:rFonts w:ascii="Times New Roman" w:eastAsia="Times New Roman" w:hAnsi="Times New Roman" w:cs="Times New Roman"/>
          <w:color w:val="0F1115"/>
          <w:kern w:val="0"/>
          <w14:ligatures w14:val="none"/>
        </w:rPr>
        <w:t>, G. (2004). Communication externalities and cities. </w:t>
      </w:r>
      <w:r w:rsidRPr="00914955">
        <w:rPr>
          <w:rFonts w:ascii="Times New Roman" w:eastAsia="Times New Roman" w:hAnsi="Times New Roman" w:cs="Times New Roman"/>
          <w:i/>
          <w:iCs/>
          <w:color w:val="0F1115"/>
          <w:kern w:val="0"/>
          <w14:ligatures w14:val="none"/>
        </w:rPr>
        <w:t>Journal of Urban Economics</w:t>
      </w:r>
      <w:r w:rsidRPr="00914955">
        <w:rPr>
          <w:rFonts w:ascii="Times New Roman" w:eastAsia="Times New Roman" w:hAnsi="Times New Roman" w:cs="Times New Roman"/>
          <w:color w:val="0F1115"/>
          <w:kern w:val="0"/>
          <w14:ligatures w14:val="none"/>
        </w:rPr>
        <w:t>, 56, 581-613.</w:t>
      </w:r>
    </w:p>
    <w:p w14:paraId="23FA0B06"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color w:val="0F1115"/>
          <w:kern w:val="0"/>
          <w14:ligatures w14:val="none"/>
        </w:rPr>
        <w:t>Dewey, J. (n.d.). [Behavioral and cognitive changes with aging]. (Classic reference).</w:t>
      </w:r>
    </w:p>
    <w:p w14:paraId="4A859B81"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914955">
        <w:rPr>
          <w:rFonts w:ascii="Times New Roman" w:eastAsia="Times New Roman" w:hAnsi="Times New Roman" w:cs="Times New Roman"/>
          <w:color w:val="0F1115"/>
          <w:kern w:val="0"/>
          <w14:ligatures w14:val="none"/>
        </w:rPr>
        <w:t>Eloko</w:t>
      </w:r>
      <w:proofErr w:type="spellEnd"/>
      <w:r w:rsidRPr="00914955">
        <w:rPr>
          <w:rFonts w:ascii="Times New Roman" w:eastAsia="Times New Roman" w:hAnsi="Times New Roman" w:cs="Times New Roman"/>
          <w:color w:val="0F1115"/>
          <w:kern w:val="0"/>
          <w14:ligatures w14:val="none"/>
        </w:rPr>
        <w:t xml:space="preserve"> Eya Matangelo, G. (2024). Syllabus de communication </w:t>
      </w:r>
      <w:proofErr w:type="spellStart"/>
      <w:r w:rsidRPr="00914955">
        <w:rPr>
          <w:rFonts w:ascii="Times New Roman" w:eastAsia="Times New Roman" w:hAnsi="Times New Roman" w:cs="Times New Roman"/>
          <w:color w:val="0F1115"/>
          <w:kern w:val="0"/>
          <w14:ligatures w14:val="none"/>
        </w:rPr>
        <w:t>en</w:t>
      </w:r>
      <w:proofErr w:type="spellEnd"/>
      <w:r w:rsidRPr="00914955">
        <w:rPr>
          <w:rFonts w:ascii="Times New Roman" w:eastAsia="Times New Roman" w:hAnsi="Times New Roman" w:cs="Times New Roman"/>
          <w:color w:val="0F1115"/>
          <w:kern w:val="0"/>
          <w14:ligatures w14:val="none"/>
        </w:rPr>
        <w:t xml:space="preserve"> santé L2 SAPU [Unpublished course material]. ISTM </w:t>
      </w:r>
      <w:proofErr w:type="spellStart"/>
      <w:r w:rsidRPr="00914955">
        <w:rPr>
          <w:rFonts w:ascii="Times New Roman" w:eastAsia="Times New Roman" w:hAnsi="Times New Roman" w:cs="Times New Roman"/>
          <w:color w:val="0F1115"/>
          <w:kern w:val="0"/>
          <w14:ligatures w14:val="none"/>
        </w:rPr>
        <w:t>Mbandaka</w:t>
      </w:r>
      <w:proofErr w:type="spellEnd"/>
      <w:r w:rsidRPr="00914955">
        <w:rPr>
          <w:rFonts w:ascii="Times New Roman" w:eastAsia="Times New Roman" w:hAnsi="Times New Roman" w:cs="Times New Roman"/>
          <w:color w:val="0F1115"/>
          <w:kern w:val="0"/>
          <w14:ligatures w14:val="none"/>
        </w:rPr>
        <w:t>.</w:t>
      </w:r>
    </w:p>
    <w:p w14:paraId="02AB71CB"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color w:val="0F1115"/>
          <w:kern w:val="0"/>
          <w14:ligatures w14:val="none"/>
        </w:rPr>
        <w:t>Gaspar, J., &amp; Glaeser, E. L. (1998). Information technologies and the future of cities. </w:t>
      </w:r>
      <w:r w:rsidRPr="00914955">
        <w:rPr>
          <w:rFonts w:ascii="Times New Roman" w:eastAsia="Times New Roman" w:hAnsi="Times New Roman" w:cs="Times New Roman"/>
          <w:i/>
          <w:iCs/>
          <w:color w:val="0F1115"/>
          <w:kern w:val="0"/>
          <w14:ligatures w14:val="none"/>
        </w:rPr>
        <w:t>Journal of Urban Economics</w:t>
      </w:r>
      <w:r w:rsidRPr="00914955">
        <w:rPr>
          <w:rFonts w:ascii="Times New Roman" w:eastAsia="Times New Roman" w:hAnsi="Times New Roman" w:cs="Times New Roman"/>
          <w:color w:val="0F1115"/>
          <w:kern w:val="0"/>
          <w14:ligatures w14:val="none"/>
        </w:rPr>
        <w:t>, 43, 136-156.</w:t>
      </w:r>
    </w:p>
    <w:p w14:paraId="063928A1"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color w:val="0F1115"/>
          <w:kern w:val="0"/>
          <w14:ligatures w14:val="none"/>
        </w:rPr>
        <w:t>Glaeser, E. L. (1999). Learning in cities. </w:t>
      </w:r>
      <w:r w:rsidRPr="00914955">
        <w:rPr>
          <w:rFonts w:ascii="Times New Roman" w:eastAsia="Times New Roman" w:hAnsi="Times New Roman" w:cs="Times New Roman"/>
          <w:i/>
          <w:iCs/>
          <w:color w:val="0F1115"/>
          <w:kern w:val="0"/>
          <w14:ligatures w14:val="none"/>
        </w:rPr>
        <w:t>Journal of Urban Economics</w:t>
      </w:r>
      <w:r w:rsidRPr="00914955">
        <w:rPr>
          <w:rFonts w:ascii="Times New Roman" w:eastAsia="Times New Roman" w:hAnsi="Times New Roman" w:cs="Times New Roman"/>
          <w:color w:val="0F1115"/>
          <w:kern w:val="0"/>
          <w14:ligatures w14:val="none"/>
        </w:rPr>
        <w:t>, 46, 254-277.</w:t>
      </w:r>
    </w:p>
    <w:p w14:paraId="59D85E96"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color w:val="0F1115"/>
          <w:kern w:val="0"/>
          <w14:ligatures w14:val="none"/>
        </w:rPr>
        <w:t>Greenan, N., &amp; Guellec, D. (1998). Firm organization, technology and performance: An empirical study. </w:t>
      </w:r>
      <w:r w:rsidRPr="00914955">
        <w:rPr>
          <w:rFonts w:ascii="Times New Roman" w:eastAsia="Times New Roman" w:hAnsi="Times New Roman" w:cs="Times New Roman"/>
          <w:i/>
          <w:iCs/>
          <w:color w:val="0F1115"/>
          <w:kern w:val="0"/>
          <w14:ligatures w14:val="none"/>
        </w:rPr>
        <w:t>Economics of Innovation and New Technology</w:t>
      </w:r>
      <w:r w:rsidRPr="00914955">
        <w:rPr>
          <w:rFonts w:ascii="Times New Roman" w:eastAsia="Times New Roman" w:hAnsi="Times New Roman" w:cs="Times New Roman"/>
          <w:color w:val="0F1115"/>
          <w:kern w:val="0"/>
          <w14:ligatures w14:val="none"/>
        </w:rPr>
        <w:t>, 6, 313-347.</w:t>
      </w:r>
    </w:p>
    <w:p w14:paraId="5CB196DF"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color w:val="0F1115"/>
          <w:kern w:val="0"/>
          <w14:ligatures w14:val="none"/>
        </w:rPr>
        <w:t>James R. Taylor &amp; Elizabeth J. Van Every. (2014). </w:t>
      </w:r>
      <w:r w:rsidRPr="00914955">
        <w:rPr>
          <w:rFonts w:ascii="Times New Roman" w:eastAsia="Times New Roman" w:hAnsi="Times New Roman" w:cs="Times New Roman"/>
          <w:i/>
          <w:iCs/>
          <w:color w:val="0F1115"/>
          <w:kern w:val="0"/>
          <w14:ligatures w14:val="none"/>
        </w:rPr>
        <w:t>When organization fails: Why authority matters</w:t>
      </w:r>
      <w:r w:rsidRPr="00914955">
        <w:rPr>
          <w:rFonts w:ascii="Times New Roman" w:eastAsia="Times New Roman" w:hAnsi="Times New Roman" w:cs="Times New Roman"/>
          <w:color w:val="0F1115"/>
          <w:kern w:val="0"/>
          <w14:ligatures w14:val="none"/>
        </w:rPr>
        <w:t>. New York and London: Routledge, Taylor &amp; Francis Group.</w:t>
      </w:r>
    </w:p>
    <w:p w14:paraId="23F5E146"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914955">
        <w:rPr>
          <w:rFonts w:ascii="Times New Roman" w:eastAsia="Times New Roman" w:hAnsi="Times New Roman" w:cs="Times New Roman"/>
          <w:color w:val="0F1115"/>
          <w:kern w:val="0"/>
          <w14:ligatures w14:val="none"/>
        </w:rPr>
        <w:t>Laulan</w:t>
      </w:r>
      <w:proofErr w:type="spellEnd"/>
      <w:r w:rsidRPr="00914955">
        <w:rPr>
          <w:rFonts w:ascii="Times New Roman" w:eastAsia="Times New Roman" w:hAnsi="Times New Roman" w:cs="Times New Roman"/>
          <w:color w:val="0F1115"/>
          <w:kern w:val="0"/>
          <w14:ligatures w14:val="none"/>
        </w:rPr>
        <w:t>, A. M. (2018). [Communication in organizations]. (General reference).</w:t>
      </w:r>
    </w:p>
    <w:p w14:paraId="2AD0025D"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color w:val="0F1115"/>
          <w:kern w:val="0"/>
          <w14:ligatures w14:val="none"/>
        </w:rPr>
        <w:t>Lucas, R. E., Jr. (1988). On the mechanics of economic development. </w:t>
      </w:r>
      <w:r w:rsidRPr="00914955">
        <w:rPr>
          <w:rFonts w:ascii="Times New Roman" w:eastAsia="Times New Roman" w:hAnsi="Times New Roman" w:cs="Times New Roman"/>
          <w:i/>
          <w:iCs/>
          <w:color w:val="0F1115"/>
          <w:kern w:val="0"/>
          <w14:ligatures w14:val="none"/>
        </w:rPr>
        <w:t>Journal of Monetary Economics</w:t>
      </w:r>
      <w:r w:rsidRPr="00914955">
        <w:rPr>
          <w:rFonts w:ascii="Times New Roman" w:eastAsia="Times New Roman" w:hAnsi="Times New Roman" w:cs="Times New Roman"/>
          <w:color w:val="0F1115"/>
          <w:kern w:val="0"/>
          <w14:ligatures w14:val="none"/>
        </w:rPr>
        <w:t>, 22, 3-42.</w:t>
      </w:r>
    </w:p>
    <w:p w14:paraId="08F76BA7"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color w:val="0F1115"/>
          <w:kern w:val="0"/>
          <w14:ligatures w14:val="none"/>
        </w:rPr>
        <w:t>Marshall, A. (1890). </w:t>
      </w:r>
      <w:r w:rsidRPr="00914955">
        <w:rPr>
          <w:rFonts w:ascii="Times New Roman" w:eastAsia="Times New Roman" w:hAnsi="Times New Roman" w:cs="Times New Roman"/>
          <w:i/>
          <w:iCs/>
          <w:color w:val="0F1115"/>
          <w:kern w:val="0"/>
          <w14:ligatures w14:val="none"/>
        </w:rPr>
        <w:t>Principles of economics</w:t>
      </w:r>
      <w:r w:rsidRPr="00914955">
        <w:rPr>
          <w:rFonts w:ascii="Times New Roman" w:eastAsia="Times New Roman" w:hAnsi="Times New Roman" w:cs="Times New Roman"/>
          <w:color w:val="0F1115"/>
          <w:kern w:val="0"/>
          <w14:ligatures w14:val="none"/>
        </w:rPr>
        <w:t>. London: Macmillan.</w:t>
      </w:r>
    </w:p>
    <w:p w14:paraId="16E98C2F"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color w:val="0F1115"/>
          <w:kern w:val="0"/>
          <w14:ligatures w14:val="none"/>
        </w:rPr>
        <w:t>Ngo Bebe. (2018). [Workplace relationships and staff performance]. (Regional reference).</w:t>
      </w:r>
    </w:p>
    <w:p w14:paraId="18B3A87D"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914955">
        <w:rPr>
          <w:rFonts w:ascii="Times New Roman" w:eastAsia="Times New Roman" w:hAnsi="Times New Roman" w:cs="Times New Roman"/>
          <w:color w:val="0F1115"/>
          <w:kern w:val="0"/>
          <w14:ligatures w14:val="none"/>
        </w:rPr>
        <w:t>Omanyondo</w:t>
      </w:r>
      <w:proofErr w:type="spellEnd"/>
      <w:r w:rsidRPr="00914955">
        <w:rPr>
          <w:rFonts w:ascii="Times New Roman" w:eastAsia="Times New Roman" w:hAnsi="Times New Roman" w:cs="Times New Roman"/>
          <w:color w:val="0F1115"/>
          <w:kern w:val="0"/>
          <w14:ligatures w14:val="none"/>
        </w:rPr>
        <w:t xml:space="preserve"> Ohambe. (2018). [Research methodology in health sciences]. ISTM </w:t>
      </w:r>
      <w:proofErr w:type="spellStart"/>
      <w:r w:rsidRPr="00914955">
        <w:rPr>
          <w:rFonts w:ascii="Times New Roman" w:eastAsia="Times New Roman" w:hAnsi="Times New Roman" w:cs="Times New Roman"/>
          <w:color w:val="0F1115"/>
          <w:kern w:val="0"/>
          <w14:ligatures w14:val="none"/>
        </w:rPr>
        <w:t>Mbandaka</w:t>
      </w:r>
      <w:proofErr w:type="spellEnd"/>
      <w:r w:rsidRPr="00914955">
        <w:rPr>
          <w:rFonts w:ascii="Times New Roman" w:eastAsia="Times New Roman" w:hAnsi="Times New Roman" w:cs="Times New Roman"/>
          <w:color w:val="0F1115"/>
          <w:kern w:val="0"/>
          <w14:ligatures w14:val="none"/>
        </w:rPr>
        <w:t>.</w:t>
      </w:r>
    </w:p>
    <w:p w14:paraId="3F538CD7" w14:textId="77777777" w:rsidR="00914955" w:rsidRPr="00914955" w:rsidRDefault="00914955" w:rsidP="00914955">
      <w:pPr>
        <w:shd w:val="clear" w:color="auto" w:fill="FFFFFF"/>
        <w:spacing w:before="240" w:after="240" w:line="420" w:lineRule="atLeast"/>
        <w:rPr>
          <w:rFonts w:ascii="Times New Roman" w:eastAsia="Times New Roman" w:hAnsi="Times New Roman" w:cs="Times New Roman"/>
          <w:color w:val="0F1115"/>
          <w:kern w:val="0"/>
          <w14:ligatures w14:val="none"/>
        </w:rPr>
      </w:pPr>
      <w:r w:rsidRPr="00914955">
        <w:rPr>
          <w:rFonts w:ascii="Times New Roman" w:eastAsia="Times New Roman" w:hAnsi="Times New Roman" w:cs="Times New Roman"/>
          <w:color w:val="0F1115"/>
          <w:kern w:val="0"/>
          <w14:ligatures w14:val="none"/>
        </w:rPr>
        <w:t>World Health Organization. (2015). </w:t>
      </w:r>
      <w:r w:rsidRPr="00914955">
        <w:rPr>
          <w:rFonts w:ascii="Times New Roman" w:eastAsia="Times New Roman" w:hAnsi="Times New Roman" w:cs="Times New Roman"/>
          <w:i/>
          <w:iCs/>
          <w:color w:val="0F1115"/>
          <w:kern w:val="0"/>
          <w14:ligatures w14:val="none"/>
        </w:rPr>
        <w:t>Patient safety: Global action on patient safety</w:t>
      </w:r>
      <w:r w:rsidRPr="00914955">
        <w:rPr>
          <w:rFonts w:ascii="Times New Roman" w:eastAsia="Times New Roman" w:hAnsi="Times New Roman" w:cs="Times New Roman"/>
          <w:color w:val="0F1115"/>
          <w:kern w:val="0"/>
          <w14:ligatures w14:val="none"/>
        </w:rPr>
        <w:t>. Geneva: WHO.</w:t>
      </w:r>
    </w:p>
    <w:p w14:paraId="2F20B173" w14:textId="77777777" w:rsidR="00914955" w:rsidRPr="00914955" w:rsidRDefault="00914955" w:rsidP="00914955">
      <w:pPr>
        <w:spacing w:after="0" w:line="240" w:lineRule="auto"/>
        <w:rPr>
          <w:rFonts w:ascii="Times New Roman" w:eastAsia="Times New Roman" w:hAnsi="Times New Roman" w:cs="Times New Roman"/>
          <w:kern w:val="0"/>
          <w14:ligatures w14:val="none"/>
        </w:rPr>
      </w:pPr>
    </w:p>
    <w:p w14:paraId="2A0F5D1C" w14:textId="77777777" w:rsidR="00B41904" w:rsidRPr="00914955" w:rsidRDefault="00B41904">
      <w:pPr>
        <w:rPr>
          <w:rFonts w:ascii="Times New Roman" w:hAnsi="Times New Roman" w:cs="Times New Roman"/>
        </w:rPr>
      </w:pPr>
    </w:p>
    <w:sectPr w:rsidR="00B41904" w:rsidRPr="00914955">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83970" w14:textId="77777777" w:rsidR="00DE3E19" w:rsidRDefault="00DE3E19" w:rsidP="003F7657">
      <w:pPr>
        <w:spacing w:after="0" w:line="240" w:lineRule="auto"/>
      </w:pPr>
      <w:r>
        <w:separator/>
      </w:r>
    </w:p>
  </w:endnote>
  <w:endnote w:type="continuationSeparator" w:id="0">
    <w:p w14:paraId="5255CBED" w14:textId="77777777" w:rsidR="00DE3E19" w:rsidRDefault="00DE3E19" w:rsidP="003F76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66407897"/>
      <w:docPartObj>
        <w:docPartGallery w:val="Page Numbers (Bottom of Page)"/>
        <w:docPartUnique/>
      </w:docPartObj>
    </w:sdtPr>
    <w:sdtContent>
      <w:p w14:paraId="52726E6F" w14:textId="1D3FB271" w:rsidR="003F7657" w:rsidRDefault="003F7657" w:rsidP="00B14A0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65D4023" w14:textId="77777777" w:rsidR="003F7657" w:rsidRDefault="003F7657" w:rsidP="003F765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29646694"/>
      <w:docPartObj>
        <w:docPartGallery w:val="Page Numbers (Bottom of Page)"/>
        <w:docPartUnique/>
      </w:docPartObj>
    </w:sdtPr>
    <w:sdtContent>
      <w:p w14:paraId="34422BF2" w14:textId="5BA97536" w:rsidR="003F7657" w:rsidRDefault="003F7657" w:rsidP="00B14A0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E920E7A" w14:textId="77777777" w:rsidR="003F7657" w:rsidRDefault="003F7657" w:rsidP="003F765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C9D9D" w14:textId="77777777" w:rsidR="00DE3E19" w:rsidRDefault="00DE3E19" w:rsidP="003F7657">
      <w:pPr>
        <w:spacing w:after="0" w:line="240" w:lineRule="auto"/>
      </w:pPr>
      <w:r>
        <w:separator/>
      </w:r>
    </w:p>
  </w:footnote>
  <w:footnote w:type="continuationSeparator" w:id="0">
    <w:p w14:paraId="0E853D55" w14:textId="77777777" w:rsidR="00DE3E19" w:rsidRDefault="00DE3E19" w:rsidP="003F76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67C32"/>
    <w:multiLevelType w:val="multilevel"/>
    <w:tmpl w:val="B8E249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92030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955"/>
    <w:rsid w:val="00253457"/>
    <w:rsid w:val="002C4B73"/>
    <w:rsid w:val="003F70DD"/>
    <w:rsid w:val="003F7657"/>
    <w:rsid w:val="008F6EA0"/>
    <w:rsid w:val="00914955"/>
    <w:rsid w:val="00AC0C13"/>
    <w:rsid w:val="00B41904"/>
    <w:rsid w:val="00DE3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78318"/>
  <w15:chartTrackingRefBased/>
  <w15:docId w15:val="{2EBA4BF4-D1D6-4846-A775-0F61D37DF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49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49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49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49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49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49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49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49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49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49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49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49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49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49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49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49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49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4955"/>
    <w:rPr>
      <w:rFonts w:eastAsiaTheme="majorEastAsia" w:cstheme="majorBidi"/>
      <w:color w:val="272727" w:themeColor="text1" w:themeTint="D8"/>
    </w:rPr>
  </w:style>
  <w:style w:type="paragraph" w:styleId="Title">
    <w:name w:val="Title"/>
    <w:basedOn w:val="Normal"/>
    <w:next w:val="Normal"/>
    <w:link w:val="TitleChar"/>
    <w:uiPriority w:val="10"/>
    <w:qFormat/>
    <w:rsid w:val="009149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49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49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49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4955"/>
    <w:pPr>
      <w:spacing w:before="160"/>
      <w:jc w:val="center"/>
    </w:pPr>
    <w:rPr>
      <w:i/>
      <w:iCs/>
      <w:color w:val="404040" w:themeColor="text1" w:themeTint="BF"/>
    </w:rPr>
  </w:style>
  <w:style w:type="character" w:customStyle="1" w:styleId="QuoteChar">
    <w:name w:val="Quote Char"/>
    <w:basedOn w:val="DefaultParagraphFont"/>
    <w:link w:val="Quote"/>
    <w:uiPriority w:val="29"/>
    <w:rsid w:val="00914955"/>
    <w:rPr>
      <w:i/>
      <w:iCs/>
      <w:color w:val="404040" w:themeColor="text1" w:themeTint="BF"/>
    </w:rPr>
  </w:style>
  <w:style w:type="paragraph" w:styleId="ListParagraph">
    <w:name w:val="List Paragraph"/>
    <w:basedOn w:val="Normal"/>
    <w:uiPriority w:val="34"/>
    <w:qFormat/>
    <w:rsid w:val="00914955"/>
    <w:pPr>
      <w:ind w:left="720"/>
      <w:contextualSpacing/>
    </w:pPr>
  </w:style>
  <w:style w:type="character" w:styleId="IntenseEmphasis">
    <w:name w:val="Intense Emphasis"/>
    <w:basedOn w:val="DefaultParagraphFont"/>
    <w:uiPriority w:val="21"/>
    <w:qFormat/>
    <w:rsid w:val="00914955"/>
    <w:rPr>
      <w:i/>
      <w:iCs/>
      <w:color w:val="0F4761" w:themeColor="accent1" w:themeShade="BF"/>
    </w:rPr>
  </w:style>
  <w:style w:type="paragraph" w:styleId="IntenseQuote">
    <w:name w:val="Intense Quote"/>
    <w:basedOn w:val="Normal"/>
    <w:next w:val="Normal"/>
    <w:link w:val="IntenseQuoteChar"/>
    <w:uiPriority w:val="30"/>
    <w:qFormat/>
    <w:rsid w:val="009149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4955"/>
    <w:rPr>
      <w:i/>
      <w:iCs/>
      <w:color w:val="0F4761" w:themeColor="accent1" w:themeShade="BF"/>
    </w:rPr>
  </w:style>
  <w:style w:type="character" w:styleId="IntenseReference">
    <w:name w:val="Intense Reference"/>
    <w:basedOn w:val="DefaultParagraphFont"/>
    <w:uiPriority w:val="32"/>
    <w:qFormat/>
    <w:rsid w:val="00914955"/>
    <w:rPr>
      <w:b/>
      <w:bCs/>
      <w:smallCaps/>
      <w:color w:val="0F4761" w:themeColor="accent1" w:themeShade="BF"/>
      <w:spacing w:val="5"/>
    </w:rPr>
  </w:style>
  <w:style w:type="paragraph" w:customStyle="1" w:styleId="ds-markdown-paragraph">
    <w:name w:val="ds-markdown-paragraph"/>
    <w:basedOn w:val="Normal"/>
    <w:rsid w:val="00914955"/>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914955"/>
    <w:rPr>
      <w:b/>
      <w:bCs/>
    </w:rPr>
  </w:style>
  <w:style w:type="character" w:styleId="Emphasis">
    <w:name w:val="Emphasis"/>
    <w:basedOn w:val="DefaultParagraphFont"/>
    <w:uiPriority w:val="20"/>
    <w:qFormat/>
    <w:rsid w:val="00914955"/>
    <w:rPr>
      <w:i/>
      <w:iCs/>
    </w:rPr>
  </w:style>
  <w:style w:type="paragraph" w:styleId="Footer">
    <w:name w:val="footer"/>
    <w:basedOn w:val="Normal"/>
    <w:link w:val="FooterChar"/>
    <w:uiPriority w:val="99"/>
    <w:unhideWhenUsed/>
    <w:rsid w:val="003F76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7657"/>
  </w:style>
  <w:style w:type="character" w:styleId="PageNumber">
    <w:name w:val="page number"/>
    <w:basedOn w:val="DefaultParagraphFont"/>
    <w:uiPriority w:val="99"/>
    <w:semiHidden/>
    <w:unhideWhenUsed/>
    <w:rsid w:val="003F76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14</Pages>
  <Words>3590</Words>
  <Characters>20469</Characters>
  <Application>Microsoft Office Word</Application>
  <DocSecurity>0</DocSecurity>
  <Lines>170</Lines>
  <Paragraphs>48</Paragraphs>
  <ScaleCrop>false</ScaleCrop>
  <Company/>
  <LinksUpToDate>false</LinksUpToDate>
  <CharactersWithSpaces>24011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Ebengho Bokelo</dc:creator>
  <cp:keywords/>
  <dc:description/>
  <cp:lastModifiedBy>Max Ebengho Bokelo</cp:lastModifiedBy>
  <cp:revision>2</cp:revision>
  <dcterms:created xsi:type="dcterms:W3CDTF">2026-05-16T11:09:00Z</dcterms:created>
  <dcterms:modified xsi:type="dcterms:W3CDTF">2026-05-16T11:13:00Z</dcterms:modified>
</cp:coreProperties>
</file>