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BF712" w14:textId="443D76D5" w:rsidR="00AB0514" w:rsidRPr="00443957" w:rsidRDefault="00AB0514" w:rsidP="00443957">
      <w:pPr>
        <w:shd w:val="clear" w:color="auto" w:fill="FFFFFF"/>
        <w:spacing w:before="240" w:after="240" w:line="420" w:lineRule="atLeast"/>
        <w:jc w:val="center"/>
        <w:rPr>
          <w:rFonts w:ascii="Times New Roman" w:eastAsia="Times New Roman" w:hAnsi="Times New Roman" w:cs="Times New Roman"/>
          <w:b/>
          <w:bCs/>
          <w:color w:val="0F1115"/>
          <w:kern w:val="0"/>
          <w:sz w:val="28"/>
          <w:szCs w:val="28"/>
          <w14:ligatures w14:val="none"/>
        </w:rPr>
      </w:pPr>
      <w:r w:rsidRPr="00443957">
        <w:rPr>
          <w:rFonts w:ascii="Times New Roman" w:eastAsia="Times New Roman" w:hAnsi="Times New Roman" w:cs="Times New Roman"/>
          <w:b/>
          <w:bCs/>
          <w:color w:val="0F1115"/>
          <w:kern w:val="0"/>
          <w:sz w:val="28"/>
          <w:szCs w:val="28"/>
          <w14:ligatures w14:val="none"/>
        </w:rPr>
        <w:t>Assessment of Healthcare Providers' Knowledge, Attitudes, and Practices Regarding Immediate Postpartum Monitoring at Mbandaka, Democratic Republic of the Congo</w:t>
      </w:r>
    </w:p>
    <w:p w14:paraId="4A0252B1"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Authors:</w:t>
      </w:r>
      <w:r w:rsidRPr="00443957">
        <w:rPr>
          <w:rFonts w:ascii="Times New Roman" w:eastAsia="Times New Roman" w:hAnsi="Times New Roman" w:cs="Times New Roman"/>
          <w:color w:val="0F1115"/>
          <w:kern w:val="0"/>
          <w14:ligatures w14:val="none"/>
        </w:rPr>
        <w:t> Aimé Makenza Bobila¹, Prof. Bokulaka Nsambi Embula², Ass. Bosako Manga³</w:t>
      </w:r>
    </w:p>
    <w:p w14:paraId="562B3262"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Affiliations:</w:t>
      </w:r>
      <w:r w:rsidRPr="00443957">
        <w:rPr>
          <w:rFonts w:ascii="Times New Roman" w:eastAsia="Times New Roman" w:hAnsi="Times New Roman" w:cs="Times New Roman"/>
          <w:color w:val="0F1115"/>
          <w:kern w:val="0"/>
          <w14:ligatures w14:val="none"/>
        </w:rPr>
        <w:br/>
        <w:t>¹ Higher Institute of Medical Techniques (ISTM) of Mbandaka, DRC</w:t>
      </w:r>
      <w:r w:rsidRPr="00443957">
        <w:rPr>
          <w:rFonts w:ascii="Times New Roman" w:eastAsia="Times New Roman" w:hAnsi="Times New Roman" w:cs="Times New Roman"/>
          <w:color w:val="0F1115"/>
          <w:kern w:val="0"/>
          <w14:ligatures w14:val="none"/>
        </w:rPr>
        <w:br/>
        <w:t>² Professor, Thesis Director</w:t>
      </w:r>
      <w:r w:rsidRPr="00443957">
        <w:rPr>
          <w:rFonts w:ascii="Times New Roman" w:eastAsia="Times New Roman" w:hAnsi="Times New Roman" w:cs="Times New Roman"/>
          <w:color w:val="0F1115"/>
          <w:kern w:val="0"/>
          <w14:ligatures w14:val="none"/>
        </w:rPr>
        <w:br/>
        <w:t>³ Thesis Supervisor</w:t>
      </w:r>
    </w:p>
    <w:p w14:paraId="5238AA86"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Corresponding Author:</w:t>
      </w:r>
      <w:r w:rsidRPr="00443957">
        <w:rPr>
          <w:rFonts w:ascii="Times New Roman" w:eastAsia="Times New Roman" w:hAnsi="Times New Roman" w:cs="Times New Roman"/>
          <w:color w:val="0F1115"/>
          <w:kern w:val="0"/>
          <w14:ligatures w14:val="none"/>
        </w:rPr>
        <w:t> Aimé Makenza Bobila, ISTM Mbandaka, P.O. Box 99, Mbandaka, DRC. Email: istm.mbka@gmail.com</w:t>
      </w:r>
    </w:p>
    <w:p w14:paraId="62F2B71C"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Conflicts of Interest:</w:t>
      </w:r>
      <w:r w:rsidRPr="00443957">
        <w:rPr>
          <w:rFonts w:ascii="Times New Roman" w:eastAsia="Times New Roman" w:hAnsi="Times New Roman" w:cs="Times New Roman"/>
          <w:color w:val="0F1115"/>
          <w:kern w:val="0"/>
          <w14:ligatures w14:val="none"/>
        </w:rPr>
        <w:t> None declared.</w:t>
      </w:r>
      <w:r w:rsidRPr="00443957">
        <w:rPr>
          <w:rFonts w:ascii="Times New Roman" w:eastAsia="Times New Roman" w:hAnsi="Times New Roman" w:cs="Times New Roman"/>
          <w:color w:val="0F1115"/>
          <w:kern w:val="0"/>
          <w14:ligatures w14:val="none"/>
        </w:rPr>
        <w:br/>
      </w:r>
      <w:r w:rsidRPr="00443957">
        <w:rPr>
          <w:rFonts w:ascii="Times New Roman" w:eastAsia="Times New Roman" w:hAnsi="Times New Roman" w:cs="Times New Roman"/>
          <w:b/>
          <w:bCs/>
          <w:color w:val="0F1115"/>
          <w:kern w:val="0"/>
          <w14:ligatures w14:val="none"/>
        </w:rPr>
        <w:t>Funding:</w:t>
      </w:r>
      <w:r w:rsidRPr="00443957">
        <w:rPr>
          <w:rFonts w:ascii="Times New Roman" w:eastAsia="Times New Roman" w:hAnsi="Times New Roman" w:cs="Times New Roman"/>
          <w:color w:val="0F1115"/>
          <w:kern w:val="0"/>
          <w14:ligatures w14:val="none"/>
        </w:rPr>
        <w:t> This research received no external funding.</w:t>
      </w:r>
    </w:p>
    <w:p w14:paraId="6722BCAD"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Abstract</w:t>
      </w:r>
    </w:p>
    <w:p w14:paraId="3AAD280B"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Introduction:</w:t>
      </w:r>
      <w:r w:rsidRPr="00443957">
        <w:rPr>
          <w:rFonts w:ascii="Times New Roman" w:eastAsia="Times New Roman" w:hAnsi="Times New Roman" w:cs="Times New Roman"/>
          <w:color w:val="0F1115"/>
          <w:kern w:val="0"/>
          <w14:ligatures w14:val="none"/>
        </w:rPr>
        <w:t> The immediate postpartum period (first 24 hours after delivery) is a critical phase associated with the majority of maternal deaths worldwide, particularly in low-resource settings. In the Democratic Republic of the Congo (DRC), maternal mortality remains alarmingly high, yet data on healthcare providers' capacity for postpartum monitoring are scarce.</w:t>
      </w:r>
    </w:p>
    <w:p w14:paraId="1FE5F6C1"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Methods:</w:t>
      </w:r>
      <w:r w:rsidRPr="00443957">
        <w:rPr>
          <w:rFonts w:ascii="Times New Roman" w:eastAsia="Times New Roman" w:hAnsi="Times New Roman" w:cs="Times New Roman"/>
          <w:color w:val="0F1115"/>
          <w:kern w:val="0"/>
          <w14:ligatures w14:val="none"/>
        </w:rPr>
        <w:t> A descriptive and analytical cross-sectional study was conducted from June 2025 to March 2026 at Wangata General Referral Hospital and CSR Mama Balako in Mbandaka, DRC. A convenience sample of 70 healthcare providers (physicians, nurses, midwives) completed a structured, self-administered questionnaire assessing knowledge, attitudes, and practices regarding immediate postpartum monitoring. Bivariate analyses used Pearson's Chi-square test (significance threshold p &lt; 0.05).</w:t>
      </w:r>
    </w:p>
    <w:p w14:paraId="54380BE6"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Results:</w:t>
      </w:r>
      <w:r w:rsidRPr="00443957">
        <w:rPr>
          <w:rFonts w:ascii="Times New Roman" w:eastAsia="Times New Roman" w:hAnsi="Times New Roman" w:cs="Times New Roman"/>
          <w:color w:val="0F1115"/>
          <w:kern w:val="0"/>
          <w14:ligatures w14:val="none"/>
        </w:rPr>
        <w:t xml:space="preserve"> The sample was predominantly female (55.7%), aged 35–44 years, with A1-level diplomas (42.9%) and 1–10 years of seniority (42.9%). While 78.6% reported regularly </w:t>
      </w:r>
      <w:r w:rsidRPr="00443957">
        <w:rPr>
          <w:rFonts w:ascii="Times New Roman" w:eastAsia="Times New Roman" w:hAnsi="Times New Roman" w:cs="Times New Roman"/>
          <w:color w:val="0F1115"/>
          <w:kern w:val="0"/>
          <w14:ligatures w14:val="none"/>
        </w:rPr>
        <w:lastRenderedPageBreak/>
        <w:t>performing postpartum monitoring and 85.7% knew major complications (hemorrhage most cited, 38.5%), only 8.6% consistently provided postpartum health education. The main perceived challenge was high workload (24.3%). Bivariate analysis revealed significant associations between education level and postpartum monitoring practice (χ² = 38.281, p &lt; 0.05), education level and complication knowledge (χ² = 28.182, p &lt; 0.05), seniority and monitoring practice (χ² = 24.844, p &lt; 0.05), and seniority and professional attitude (χ² = 216.557, p &lt; 0.05).</w:t>
      </w:r>
    </w:p>
    <w:p w14:paraId="052D62D4"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Conclusion:</w:t>
      </w:r>
      <w:r w:rsidRPr="00443957">
        <w:rPr>
          <w:rFonts w:ascii="Times New Roman" w:eastAsia="Times New Roman" w:hAnsi="Times New Roman" w:cs="Times New Roman"/>
          <w:color w:val="0F1115"/>
          <w:kern w:val="0"/>
          <w14:ligatures w14:val="none"/>
        </w:rPr>
        <w:t> Healthcare providers in Mbandaka demonstrate satisfactory knowledge and positive attitudes toward immediate postpartum monitoring. However, significant gaps persist in systematic practice and health education delivery. Education level and professional seniority are key determinants of monitoring quality. Targeted continuous training, standardized protocols, supportive supervision, and workload reduction are urgently needed to improve postpartum care quality and reduce preventable maternal mortality.</w:t>
      </w:r>
    </w:p>
    <w:p w14:paraId="3935248D"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Keywords:</w:t>
      </w:r>
      <w:r w:rsidRPr="00443957">
        <w:rPr>
          <w:rFonts w:ascii="Times New Roman" w:eastAsia="Times New Roman" w:hAnsi="Times New Roman" w:cs="Times New Roman"/>
          <w:color w:val="0F1115"/>
          <w:kern w:val="0"/>
          <w14:ligatures w14:val="none"/>
        </w:rPr>
        <w:t> Immediate postpartum, healthcare providers, monitoring, attitude, training, Mbandaka, Democratic Republic of the Congo.</w:t>
      </w:r>
    </w:p>
    <w:p w14:paraId="0172C775"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1. Introduction</w:t>
      </w:r>
    </w:p>
    <w:p w14:paraId="2B5A88EE"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The immediate postpartum period, defined as the first 24 hours following delivery, is universally recognized as a critical transition phase and a time of maximum vulnerability for maternal health (World Health Organization [WHO], 2022). It is during this window that the majority of potentially fatal complications occur, with postpartum hemorrhage (PPH) being the leading cause of maternal death globally (Say et al., 2014). The prevention of these tragic outcomes depends not only on infrastructure or drug availability but predominantly on active, rigorous, and continuous clinical monitoring—the responsibility of healthcare providers (Hogan et al., 2021).</w:t>
      </w:r>
    </w:p>
    <w:p w14:paraId="4B43D97E"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 xml:space="preserve">In the Democratic Republic of the Congo (DRC), the maternal mortality ratio remains one of the highest in the world, with marked regional disparities (Ministry of Public Health DRC, 2020). In the Équateur Province, specifically Mbandaka city, health facilities face multiple challenges: high workload, diverse qualification levels, and heterogeneous application of care protocols. While childbirth receives significant attention, the subsequent immediate postpartum monitoring is sometimes perceived as a lower-intensity phase, despite being the period of greatest risk. </w:t>
      </w:r>
      <w:r w:rsidRPr="00443957">
        <w:rPr>
          <w:rFonts w:ascii="Times New Roman" w:eastAsia="Times New Roman" w:hAnsi="Times New Roman" w:cs="Times New Roman"/>
          <w:color w:val="0F1115"/>
          <w:kern w:val="0"/>
          <w14:ligatures w14:val="none"/>
        </w:rPr>
        <w:lastRenderedPageBreak/>
        <w:t>Inadequate monitoring—due to insufficient knowledge of complications, non-patient-centered professional attitudes, or organizational challenges—can have fatal consequences.</w:t>
      </w:r>
    </w:p>
    <w:p w14:paraId="04FBA39C"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Few studies have specifically assessed providers' competencies and attitudes regarding this precise phase in Mbandaka. There is a crucial need to understand how local providers perceive and execute this monitoring to identify improvement strategies. This study, guided by Donabedian's (1980) Structure-Process-Outcome quality of care model, aimed to assess the knowledge, attitudes, and practices of healthcare providers regarding immediate postpartum monitoring in Mbandaka and to identify associated factors.</w:t>
      </w:r>
    </w:p>
    <w:p w14:paraId="44C057F6"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2. Methods</w:t>
      </w:r>
    </w:p>
    <w:p w14:paraId="21FB4C5D"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2.1. Study Design and Setting</w:t>
      </w:r>
    </w:p>
    <w:p w14:paraId="40AD5703"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A descriptive and analytical cross-sectional study was conducted from June 12, 2025, to March 21, 2026, at two health facilities in Mbandaka, Équateur Province, DRC: Wangata General Referral Hospital (a level 2 referral hospital with 161 functional beds) and CSR Mama Balako (a primary health center). The study employed a quantitative approach with both descriptive and analytical components.</w:t>
      </w:r>
    </w:p>
    <w:p w14:paraId="54EFF604"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2.2. Target Population and Sampling</w:t>
      </w:r>
    </w:p>
    <w:p w14:paraId="14BDCED3"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The target population comprised all healthcare providers (physicians, nurses, midwives) working in maternity, gynecology, and obstetrics departments in Mbandaka. The accessible population was defined as providers present at the two selected facilities during the study period.</w:t>
      </w:r>
    </w:p>
    <w:p w14:paraId="50B4202F"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A non-probability convenience sampling technique was used. All providers present, meeting inclusion criteria, and consenting to participate were enrolled until the target sample size (N = 70) was reached. Inclusion criteria were: (1) being a physician, nurse, or midwife (levels A2, A1, L2, or Doctorate); (2) assigned to maternity/obstetrics services; (3) having clinical practice involving delivery and postpartum management; (4) being present during data collection; and (5) providing informed consent. Exclusion criteria were administrative staff, non-clinical personnel, providers on extended leave, and those refusing participation.</w:t>
      </w:r>
    </w:p>
    <w:p w14:paraId="2943995F"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lastRenderedPageBreak/>
        <w:t>2.3. Data Collection Instrument</w:t>
      </w:r>
    </w:p>
    <w:p w14:paraId="215F936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A structured, self-administered questionnaire was developed based on Donabedian's model and the WHO postpartum care guidelines. The questionnaire comprised four sections: (1) sociodemographic characteristics (age, sex, education level, seniority); (2) knowledge of postpartum monitoring elements and complications; (3) self-reported practices (whether monitoring was performed and which elements were checked); (4) attitudes (using a 5-point Likert scale covering empathy, continuous evaluation, health education, interdisciplinary collaboration, respect for patient choice, cultural sensitivity, and self-evaluation); and (5) perceived challenges and barriers.</w:t>
      </w:r>
    </w:p>
    <w:p w14:paraId="6AA596C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The questionnaire was pre-tested on 10 providers at a facility outside the study sample for clarity and comprehension.</w:t>
      </w:r>
    </w:p>
    <w:p w14:paraId="6D952B86"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2.4. Ethical Considerations</w:t>
      </w:r>
    </w:p>
    <w:p w14:paraId="0EB3A37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Institutional authorization was obtained from the Wangata Health Zone authorities and the hospital directorate. All participants received a clear explanation of the study objectives, the voluntary nature of participation, the right to withdraw without consequence, and confidentiality guarantees. Verbal informed consent was obtained prior to questionnaire administration. No identifying information was collected, and results are presented in aggregated form.</w:t>
      </w:r>
    </w:p>
    <w:p w14:paraId="1C933319"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2.5. Data Analysis</w:t>
      </w:r>
    </w:p>
    <w:p w14:paraId="561C0D43"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Data were entered into Microsoft Excel and analyzed using SPSS version 25. Descriptive statistics (frequencies, percentages) were calculated for all variables. Bivariate analysis used Pearson's Chi-square test (χ²) to examine associations between independent variables (education level, seniority) and dependent variables (monitoring practice, complication knowledge, attitude). The significance threshold was set at p &lt; 0.05.</w:t>
      </w:r>
    </w:p>
    <w:p w14:paraId="0D35B29D"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3. Results</w:t>
      </w:r>
    </w:p>
    <w:p w14:paraId="6011DA65"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3.1. Sociodemographic Characteristics</w:t>
      </w:r>
    </w:p>
    <w:p w14:paraId="27F438B9"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lastRenderedPageBreak/>
        <w:t>A total of 70 healthcare providers participated (Table 1). The dominant age group was 35–39 years (21.4%), followed by 40–44 years (18.6%). The sample was predominantly female (55.7%). Regarding education level, A1 (Associate degree) holders constituted the largest group (42.9%), followed by L2 (Bachelor's, 25.7%), physicians (20%), and A2 (State Diploma, 11.4%). Most participants had 1–10 years of professional seniority (42.9%), followed by 11–20 years (35.7%) and ≥21 years (21.4%). All participants (100%) had directed or monitored at least one delivery.</w:t>
      </w:r>
    </w:p>
    <w:p w14:paraId="5F30D77D"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Table 1</w:t>
      </w:r>
      <w:r w:rsidRPr="00443957">
        <w:rPr>
          <w:rFonts w:ascii="Times New Roman" w:eastAsia="Times New Roman" w:hAnsi="Times New Roman" w:cs="Times New Roman"/>
          <w:color w:val="0F1115"/>
          <w:kern w:val="0"/>
          <w14:ligatures w14:val="none"/>
        </w:rPr>
        <w:br/>
        <w:t>*Sociodemographic Characteristics of Participants (N = 70)*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98"/>
        <w:gridCol w:w="2496"/>
        <w:gridCol w:w="1721"/>
        <w:gridCol w:w="1830"/>
      </w:tblGrid>
      <w:tr w:rsidR="00AB0514" w:rsidRPr="00443957" w14:paraId="68282888" w14:textId="77777777" w:rsidTr="0044395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FC7BEC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CEEFFD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7D96DE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Frequency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B5A743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Percentage (%)</w:t>
            </w:r>
          </w:p>
        </w:tc>
      </w:tr>
      <w:tr w:rsidR="00AB0514" w:rsidRPr="00443957" w14:paraId="02965829" w14:textId="77777777" w:rsidTr="00443957">
        <w:tc>
          <w:tcPr>
            <w:tcW w:w="0" w:type="auto"/>
            <w:tcBorders>
              <w:top w:val="single" w:sz="4" w:space="0" w:color="auto"/>
            </w:tcBorders>
            <w:tcMar>
              <w:top w:w="150" w:type="dxa"/>
              <w:left w:w="0" w:type="dxa"/>
              <w:bottom w:w="150" w:type="dxa"/>
              <w:right w:w="240" w:type="dxa"/>
            </w:tcMar>
            <w:vAlign w:val="center"/>
            <w:hideMark/>
          </w:tcPr>
          <w:p w14:paraId="67A7D41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b/>
                <w:bCs/>
                <w:kern w:val="0"/>
                <w:sz w:val="22"/>
                <w:szCs w:val="22"/>
                <w14:ligatures w14:val="none"/>
              </w:rPr>
              <w:t>Age (years)</w:t>
            </w:r>
          </w:p>
        </w:tc>
        <w:tc>
          <w:tcPr>
            <w:tcW w:w="0" w:type="auto"/>
            <w:tcBorders>
              <w:top w:val="single" w:sz="4" w:space="0" w:color="auto"/>
            </w:tcBorders>
            <w:tcMar>
              <w:top w:w="150" w:type="dxa"/>
              <w:left w:w="240" w:type="dxa"/>
              <w:bottom w:w="150" w:type="dxa"/>
              <w:right w:w="240" w:type="dxa"/>
            </w:tcMar>
            <w:vAlign w:val="center"/>
            <w:hideMark/>
          </w:tcPr>
          <w:p w14:paraId="2C80DC7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25–29</w:t>
            </w:r>
          </w:p>
        </w:tc>
        <w:tc>
          <w:tcPr>
            <w:tcW w:w="0" w:type="auto"/>
            <w:tcBorders>
              <w:top w:val="single" w:sz="4" w:space="0" w:color="auto"/>
            </w:tcBorders>
            <w:tcMar>
              <w:top w:w="150" w:type="dxa"/>
              <w:left w:w="240" w:type="dxa"/>
              <w:bottom w:w="150" w:type="dxa"/>
              <w:right w:w="240" w:type="dxa"/>
            </w:tcMar>
            <w:vAlign w:val="center"/>
            <w:hideMark/>
          </w:tcPr>
          <w:p w14:paraId="66966DB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w:t>
            </w:r>
          </w:p>
        </w:tc>
        <w:tc>
          <w:tcPr>
            <w:tcW w:w="0" w:type="auto"/>
            <w:tcBorders>
              <w:top w:val="single" w:sz="4" w:space="0" w:color="auto"/>
            </w:tcBorders>
            <w:tcMar>
              <w:top w:w="150" w:type="dxa"/>
              <w:left w:w="240" w:type="dxa"/>
              <w:bottom w:w="150" w:type="dxa"/>
              <w:right w:w="0" w:type="dxa"/>
            </w:tcMar>
            <w:vAlign w:val="center"/>
            <w:hideMark/>
          </w:tcPr>
          <w:p w14:paraId="33FCC17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8.6</w:t>
            </w:r>
          </w:p>
        </w:tc>
      </w:tr>
      <w:tr w:rsidR="00AB0514" w:rsidRPr="00443957" w14:paraId="038AC5D8" w14:textId="77777777" w:rsidTr="00443957">
        <w:tc>
          <w:tcPr>
            <w:tcW w:w="0" w:type="auto"/>
            <w:tcMar>
              <w:top w:w="150" w:type="dxa"/>
              <w:left w:w="0" w:type="dxa"/>
              <w:bottom w:w="150" w:type="dxa"/>
              <w:right w:w="240" w:type="dxa"/>
            </w:tcMar>
            <w:vAlign w:val="center"/>
            <w:hideMark/>
          </w:tcPr>
          <w:p w14:paraId="5CC0C84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AD02C2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30–34</w:t>
            </w:r>
          </w:p>
        </w:tc>
        <w:tc>
          <w:tcPr>
            <w:tcW w:w="0" w:type="auto"/>
            <w:tcMar>
              <w:top w:w="150" w:type="dxa"/>
              <w:left w:w="240" w:type="dxa"/>
              <w:bottom w:w="150" w:type="dxa"/>
              <w:right w:w="240" w:type="dxa"/>
            </w:tcMar>
            <w:vAlign w:val="center"/>
            <w:hideMark/>
          </w:tcPr>
          <w:p w14:paraId="4F3AB54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w:t>
            </w:r>
          </w:p>
        </w:tc>
        <w:tc>
          <w:tcPr>
            <w:tcW w:w="0" w:type="auto"/>
            <w:tcMar>
              <w:top w:w="150" w:type="dxa"/>
              <w:left w:w="240" w:type="dxa"/>
              <w:bottom w:w="150" w:type="dxa"/>
              <w:right w:w="0" w:type="dxa"/>
            </w:tcMar>
            <w:vAlign w:val="center"/>
            <w:hideMark/>
          </w:tcPr>
          <w:p w14:paraId="1A4927D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15.7</w:t>
            </w:r>
          </w:p>
        </w:tc>
      </w:tr>
      <w:tr w:rsidR="00AB0514" w:rsidRPr="00443957" w14:paraId="3963971D" w14:textId="77777777" w:rsidTr="00443957">
        <w:tc>
          <w:tcPr>
            <w:tcW w:w="0" w:type="auto"/>
            <w:tcMar>
              <w:top w:w="150" w:type="dxa"/>
              <w:left w:w="0" w:type="dxa"/>
              <w:bottom w:w="150" w:type="dxa"/>
              <w:right w:w="240" w:type="dxa"/>
            </w:tcMar>
            <w:vAlign w:val="center"/>
            <w:hideMark/>
          </w:tcPr>
          <w:p w14:paraId="7DD4954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F70C71F"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35–39</w:t>
            </w:r>
          </w:p>
        </w:tc>
        <w:tc>
          <w:tcPr>
            <w:tcW w:w="0" w:type="auto"/>
            <w:tcMar>
              <w:top w:w="150" w:type="dxa"/>
              <w:left w:w="240" w:type="dxa"/>
              <w:bottom w:w="150" w:type="dxa"/>
              <w:right w:w="240" w:type="dxa"/>
            </w:tcMar>
            <w:vAlign w:val="center"/>
            <w:hideMark/>
          </w:tcPr>
          <w:p w14:paraId="0493DEC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37D6756D"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21.4</w:t>
            </w:r>
          </w:p>
        </w:tc>
      </w:tr>
      <w:tr w:rsidR="00AB0514" w:rsidRPr="00443957" w14:paraId="79543650" w14:textId="77777777" w:rsidTr="00443957">
        <w:tc>
          <w:tcPr>
            <w:tcW w:w="0" w:type="auto"/>
            <w:tcMar>
              <w:top w:w="150" w:type="dxa"/>
              <w:left w:w="0" w:type="dxa"/>
              <w:bottom w:w="150" w:type="dxa"/>
              <w:right w:w="240" w:type="dxa"/>
            </w:tcMar>
            <w:vAlign w:val="center"/>
            <w:hideMark/>
          </w:tcPr>
          <w:p w14:paraId="3CA8F61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8F4F5C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40–44</w:t>
            </w:r>
          </w:p>
        </w:tc>
        <w:tc>
          <w:tcPr>
            <w:tcW w:w="0" w:type="auto"/>
            <w:tcMar>
              <w:top w:w="150" w:type="dxa"/>
              <w:left w:w="240" w:type="dxa"/>
              <w:bottom w:w="150" w:type="dxa"/>
              <w:right w:w="240" w:type="dxa"/>
            </w:tcMar>
            <w:vAlign w:val="center"/>
            <w:hideMark/>
          </w:tcPr>
          <w:p w14:paraId="2885494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13</w:t>
            </w:r>
          </w:p>
        </w:tc>
        <w:tc>
          <w:tcPr>
            <w:tcW w:w="0" w:type="auto"/>
            <w:tcMar>
              <w:top w:w="150" w:type="dxa"/>
              <w:left w:w="240" w:type="dxa"/>
              <w:bottom w:w="150" w:type="dxa"/>
              <w:right w:w="0" w:type="dxa"/>
            </w:tcMar>
            <w:vAlign w:val="center"/>
            <w:hideMark/>
          </w:tcPr>
          <w:p w14:paraId="1C580F6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18.6</w:t>
            </w:r>
          </w:p>
        </w:tc>
      </w:tr>
      <w:tr w:rsidR="00AB0514" w:rsidRPr="00443957" w14:paraId="1B01C4E7" w14:textId="77777777" w:rsidTr="00443957">
        <w:tc>
          <w:tcPr>
            <w:tcW w:w="0" w:type="auto"/>
            <w:tcMar>
              <w:top w:w="150" w:type="dxa"/>
              <w:left w:w="0" w:type="dxa"/>
              <w:bottom w:w="150" w:type="dxa"/>
              <w:right w:w="240" w:type="dxa"/>
            </w:tcMar>
            <w:vAlign w:val="center"/>
            <w:hideMark/>
          </w:tcPr>
          <w:p w14:paraId="2EB48EF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FDDE6A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45–49</w:t>
            </w:r>
          </w:p>
        </w:tc>
        <w:tc>
          <w:tcPr>
            <w:tcW w:w="0" w:type="auto"/>
            <w:tcMar>
              <w:top w:w="150" w:type="dxa"/>
              <w:left w:w="240" w:type="dxa"/>
              <w:bottom w:w="150" w:type="dxa"/>
              <w:right w:w="240" w:type="dxa"/>
            </w:tcMar>
            <w:vAlign w:val="center"/>
            <w:hideMark/>
          </w:tcPr>
          <w:p w14:paraId="5EE6B31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0" w:type="dxa"/>
            </w:tcMar>
            <w:vAlign w:val="center"/>
            <w:hideMark/>
          </w:tcPr>
          <w:p w14:paraId="53706C9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11.4</w:t>
            </w:r>
          </w:p>
        </w:tc>
      </w:tr>
      <w:tr w:rsidR="00AB0514" w:rsidRPr="00443957" w14:paraId="1AF86CB6" w14:textId="77777777" w:rsidTr="00443957">
        <w:tc>
          <w:tcPr>
            <w:tcW w:w="0" w:type="auto"/>
            <w:tcMar>
              <w:top w:w="150" w:type="dxa"/>
              <w:left w:w="0" w:type="dxa"/>
              <w:bottom w:w="150" w:type="dxa"/>
              <w:right w:w="240" w:type="dxa"/>
            </w:tcMar>
            <w:vAlign w:val="center"/>
            <w:hideMark/>
          </w:tcPr>
          <w:p w14:paraId="2DEB9DA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30C9B7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50–54</w:t>
            </w:r>
          </w:p>
        </w:tc>
        <w:tc>
          <w:tcPr>
            <w:tcW w:w="0" w:type="auto"/>
            <w:tcMar>
              <w:top w:w="150" w:type="dxa"/>
              <w:left w:w="240" w:type="dxa"/>
              <w:bottom w:w="150" w:type="dxa"/>
              <w:right w:w="240" w:type="dxa"/>
            </w:tcMar>
            <w:vAlign w:val="center"/>
            <w:hideMark/>
          </w:tcPr>
          <w:p w14:paraId="55B4DEC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w:t>
            </w:r>
          </w:p>
        </w:tc>
        <w:tc>
          <w:tcPr>
            <w:tcW w:w="0" w:type="auto"/>
            <w:tcMar>
              <w:top w:w="150" w:type="dxa"/>
              <w:left w:w="240" w:type="dxa"/>
              <w:bottom w:w="150" w:type="dxa"/>
              <w:right w:w="0" w:type="dxa"/>
            </w:tcMar>
            <w:vAlign w:val="center"/>
            <w:hideMark/>
          </w:tcPr>
          <w:p w14:paraId="16D2404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10.0</w:t>
            </w:r>
          </w:p>
        </w:tc>
      </w:tr>
      <w:tr w:rsidR="00AB0514" w:rsidRPr="00443957" w14:paraId="17983907" w14:textId="77777777" w:rsidTr="00443957">
        <w:tc>
          <w:tcPr>
            <w:tcW w:w="0" w:type="auto"/>
            <w:tcMar>
              <w:top w:w="150" w:type="dxa"/>
              <w:left w:w="0" w:type="dxa"/>
              <w:bottom w:w="150" w:type="dxa"/>
              <w:right w:w="240" w:type="dxa"/>
            </w:tcMar>
            <w:vAlign w:val="center"/>
            <w:hideMark/>
          </w:tcPr>
          <w:p w14:paraId="476F4D3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3F1512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55–59</w:t>
            </w:r>
          </w:p>
        </w:tc>
        <w:tc>
          <w:tcPr>
            <w:tcW w:w="0" w:type="auto"/>
            <w:tcMar>
              <w:top w:w="150" w:type="dxa"/>
              <w:left w:w="240" w:type="dxa"/>
              <w:bottom w:w="150" w:type="dxa"/>
              <w:right w:w="240" w:type="dxa"/>
            </w:tcMar>
            <w:vAlign w:val="center"/>
            <w:hideMark/>
          </w:tcPr>
          <w:p w14:paraId="2BC324C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w:t>
            </w:r>
          </w:p>
        </w:tc>
        <w:tc>
          <w:tcPr>
            <w:tcW w:w="0" w:type="auto"/>
            <w:tcMar>
              <w:top w:w="150" w:type="dxa"/>
              <w:left w:w="240" w:type="dxa"/>
              <w:bottom w:w="150" w:type="dxa"/>
              <w:right w:w="0" w:type="dxa"/>
            </w:tcMar>
            <w:vAlign w:val="center"/>
            <w:hideMark/>
          </w:tcPr>
          <w:p w14:paraId="7866B77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7.1</w:t>
            </w:r>
          </w:p>
        </w:tc>
      </w:tr>
      <w:tr w:rsidR="00AB0514" w:rsidRPr="00443957" w14:paraId="0E3D3986" w14:textId="77777777" w:rsidTr="00443957">
        <w:tc>
          <w:tcPr>
            <w:tcW w:w="0" w:type="auto"/>
            <w:tcMar>
              <w:top w:w="150" w:type="dxa"/>
              <w:left w:w="0" w:type="dxa"/>
              <w:bottom w:w="150" w:type="dxa"/>
              <w:right w:w="240" w:type="dxa"/>
            </w:tcMar>
            <w:vAlign w:val="center"/>
            <w:hideMark/>
          </w:tcPr>
          <w:p w14:paraId="45D0864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BBB34B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60–64</w:t>
            </w:r>
          </w:p>
        </w:tc>
        <w:tc>
          <w:tcPr>
            <w:tcW w:w="0" w:type="auto"/>
            <w:tcMar>
              <w:top w:w="150" w:type="dxa"/>
              <w:left w:w="240" w:type="dxa"/>
              <w:bottom w:w="150" w:type="dxa"/>
              <w:right w:w="240" w:type="dxa"/>
            </w:tcMar>
            <w:vAlign w:val="center"/>
            <w:hideMark/>
          </w:tcPr>
          <w:p w14:paraId="07E341A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w:t>
            </w:r>
          </w:p>
        </w:tc>
        <w:tc>
          <w:tcPr>
            <w:tcW w:w="0" w:type="auto"/>
            <w:tcMar>
              <w:top w:w="150" w:type="dxa"/>
              <w:left w:w="240" w:type="dxa"/>
              <w:bottom w:w="150" w:type="dxa"/>
              <w:right w:w="0" w:type="dxa"/>
            </w:tcMar>
            <w:vAlign w:val="center"/>
            <w:hideMark/>
          </w:tcPr>
          <w:p w14:paraId="345A7B6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4.3</w:t>
            </w:r>
          </w:p>
        </w:tc>
      </w:tr>
      <w:tr w:rsidR="00AB0514" w:rsidRPr="00443957" w14:paraId="24E7E59E" w14:textId="77777777" w:rsidTr="00443957">
        <w:tc>
          <w:tcPr>
            <w:tcW w:w="0" w:type="auto"/>
            <w:tcMar>
              <w:top w:w="150" w:type="dxa"/>
              <w:left w:w="0" w:type="dxa"/>
              <w:bottom w:w="150" w:type="dxa"/>
              <w:right w:w="240" w:type="dxa"/>
            </w:tcMar>
            <w:vAlign w:val="center"/>
            <w:hideMark/>
          </w:tcPr>
          <w:p w14:paraId="5DD47D0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BCC797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65–69</w:t>
            </w:r>
          </w:p>
        </w:tc>
        <w:tc>
          <w:tcPr>
            <w:tcW w:w="0" w:type="auto"/>
            <w:tcMar>
              <w:top w:w="150" w:type="dxa"/>
              <w:left w:w="240" w:type="dxa"/>
              <w:bottom w:w="150" w:type="dxa"/>
              <w:right w:w="240" w:type="dxa"/>
            </w:tcMar>
            <w:vAlign w:val="center"/>
            <w:hideMark/>
          </w:tcPr>
          <w:p w14:paraId="2E5C858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w:t>
            </w:r>
          </w:p>
        </w:tc>
        <w:tc>
          <w:tcPr>
            <w:tcW w:w="0" w:type="auto"/>
            <w:tcMar>
              <w:top w:w="150" w:type="dxa"/>
              <w:left w:w="240" w:type="dxa"/>
              <w:bottom w:w="150" w:type="dxa"/>
              <w:right w:w="0" w:type="dxa"/>
            </w:tcMar>
            <w:vAlign w:val="center"/>
            <w:hideMark/>
          </w:tcPr>
          <w:p w14:paraId="2E7A4CF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2.9</w:t>
            </w:r>
          </w:p>
        </w:tc>
      </w:tr>
      <w:tr w:rsidR="00AB0514" w:rsidRPr="00443957" w14:paraId="7678E204" w14:textId="77777777" w:rsidTr="00443957">
        <w:tc>
          <w:tcPr>
            <w:tcW w:w="0" w:type="auto"/>
            <w:tcMar>
              <w:top w:w="150" w:type="dxa"/>
              <w:left w:w="0" w:type="dxa"/>
              <w:bottom w:w="150" w:type="dxa"/>
              <w:right w:w="240" w:type="dxa"/>
            </w:tcMar>
            <w:vAlign w:val="center"/>
            <w:hideMark/>
          </w:tcPr>
          <w:p w14:paraId="6F60AD3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b/>
                <w:bCs/>
                <w:kern w:val="0"/>
                <w:sz w:val="22"/>
                <w:szCs w:val="22"/>
                <w14:ligatures w14:val="none"/>
              </w:rPr>
              <w:t>Sex</w:t>
            </w:r>
          </w:p>
        </w:tc>
        <w:tc>
          <w:tcPr>
            <w:tcW w:w="0" w:type="auto"/>
            <w:tcMar>
              <w:top w:w="150" w:type="dxa"/>
              <w:left w:w="240" w:type="dxa"/>
              <w:bottom w:w="150" w:type="dxa"/>
              <w:right w:w="240" w:type="dxa"/>
            </w:tcMar>
            <w:vAlign w:val="center"/>
            <w:hideMark/>
          </w:tcPr>
          <w:p w14:paraId="6AE240D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Male</w:t>
            </w:r>
          </w:p>
        </w:tc>
        <w:tc>
          <w:tcPr>
            <w:tcW w:w="0" w:type="auto"/>
            <w:tcMar>
              <w:top w:w="150" w:type="dxa"/>
              <w:left w:w="240" w:type="dxa"/>
              <w:bottom w:w="150" w:type="dxa"/>
              <w:right w:w="240" w:type="dxa"/>
            </w:tcMar>
            <w:vAlign w:val="center"/>
            <w:hideMark/>
          </w:tcPr>
          <w:p w14:paraId="04DE6FE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31</w:t>
            </w:r>
          </w:p>
        </w:tc>
        <w:tc>
          <w:tcPr>
            <w:tcW w:w="0" w:type="auto"/>
            <w:tcMar>
              <w:top w:w="150" w:type="dxa"/>
              <w:left w:w="240" w:type="dxa"/>
              <w:bottom w:w="150" w:type="dxa"/>
              <w:right w:w="0" w:type="dxa"/>
            </w:tcMar>
            <w:vAlign w:val="center"/>
            <w:hideMark/>
          </w:tcPr>
          <w:p w14:paraId="64784EE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44.3</w:t>
            </w:r>
          </w:p>
        </w:tc>
      </w:tr>
      <w:tr w:rsidR="00AB0514" w:rsidRPr="00443957" w14:paraId="5D55D5EE" w14:textId="77777777" w:rsidTr="00443957">
        <w:tc>
          <w:tcPr>
            <w:tcW w:w="0" w:type="auto"/>
            <w:tcMar>
              <w:top w:w="150" w:type="dxa"/>
              <w:left w:w="0" w:type="dxa"/>
              <w:bottom w:w="150" w:type="dxa"/>
              <w:right w:w="240" w:type="dxa"/>
            </w:tcMar>
            <w:vAlign w:val="center"/>
            <w:hideMark/>
          </w:tcPr>
          <w:p w14:paraId="1683A05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2AA672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240" w:type="dxa"/>
            </w:tcMar>
            <w:vAlign w:val="center"/>
            <w:hideMark/>
          </w:tcPr>
          <w:p w14:paraId="6E43CBD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39</w:t>
            </w:r>
          </w:p>
        </w:tc>
        <w:tc>
          <w:tcPr>
            <w:tcW w:w="0" w:type="auto"/>
            <w:tcMar>
              <w:top w:w="150" w:type="dxa"/>
              <w:left w:w="240" w:type="dxa"/>
              <w:bottom w:w="150" w:type="dxa"/>
              <w:right w:w="0" w:type="dxa"/>
            </w:tcMar>
            <w:vAlign w:val="center"/>
            <w:hideMark/>
          </w:tcPr>
          <w:p w14:paraId="39F0937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55.7</w:t>
            </w:r>
          </w:p>
        </w:tc>
      </w:tr>
      <w:tr w:rsidR="00AB0514" w:rsidRPr="00443957" w14:paraId="7A8FE3D4" w14:textId="77777777" w:rsidTr="00443957">
        <w:tc>
          <w:tcPr>
            <w:tcW w:w="0" w:type="auto"/>
            <w:tcMar>
              <w:top w:w="150" w:type="dxa"/>
              <w:left w:w="0" w:type="dxa"/>
              <w:bottom w:w="150" w:type="dxa"/>
              <w:right w:w="240" w:type="dxa"/>
            </w:tcMar>
            <w:vAlign w:val="center"/>
            <w:hideMark/>
          </w:tcPr>
          <w:p w14:paraId="40FCF0E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b/>
                <w:bCs/>
                <w:kern w:val="0"/>
                <w:sz w:val="22"/>
                <w:szCs w:val="22"/>
                <w14:ligatures w14:val="none"/>
              </w:rPr>
              <w:t>Education Level</w:t>
            </w:r>
          </w:p>
        </w:tc>
        <w:tc>
          <w:tcPr>
            <w:tcW w:w="0" w:type="auto"/>
            <w:tcMar>
              <w:top w:w="150" w:type="dxa"/>
              <w:left w:w="240" w:type="dxa"/>
              <w:bottom w:w="150" w:type="dxa"/>
              <w:right w:w="240" w:type="dxa"/>
            </w:tcMar>
            <w:vAlign w:val="center"/>
            <w:hideMark/>
          </w:tcPr>
          <w:p w14:paraId="42B3189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A2 (State Diploma)</w:t>
            </w:r>
          </w:p>
        </w:tc>
        <w:tc>
          <w:tcPr>
            <w:tcW w:w="0" w:type="auto"/>
            <w:tcMar>
              <w:top w:w="150" w:type="dxa"/>
              <w:left w:w="240" w:type="dxa"/>
              <w:bottom w:w="150" w:type="dxa"/>
              <w:right w:w="240" w:type="dxa"/>
            </w:tcMar>
            <w:vAlign w:val="center"/>
            <w:hideMark/>
          </w:tcPr>
          <w:p w14:paraId="6BC38C6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0" w:type="dxa"/>
            </w:tcMar>
            <w:vAlign w:val="center"/>
            <w:hideMark/>
          </w:tcPr>
          <w:p w14:paraId="47ED6D8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11.4</w:t>
            </w:r>
          </w:p>
        </w:tc>
      </w:tr>
      <w:tr w:rsidR="00AB0514" w:rsidRPr="00443957" w14:paraId="77935DA0" w14:textId="77777777" w:rsidTr="00443957">
        <w:tc>
          <w:tcPr>
            <w:tcW w:w="0" w:type="auto"/>
            <w:tcMar>
              <w:top w:w="150" w:type="dxa"/>
              <w:left w:w="0" w:type="dxa"/>
              <w:bottom w:w="150" w:type="dxa"/>
              <w:right w:w="240" w:type="dxa"/>
            </w:tcMar>
            <w:vAlign w:val="center"/>
            <w:hideMark/>
          </w:tcPr>
          <w:p w14:paraId="7D242BA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FABBE9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A1 (Associate Degree)</w:t>
            </w:r>
          </w:p>
        </w:tc>
        <w:tc>
          <w:tcPr>
            <w:tcW w:w="0" w:type="auto"/>
            <w:tcMar>
              <w:top w:w="150" w:type="dxa"/>
              <w:left w:w="240" w:type="dxa"/>
              <w:bottom w:w="150" w:type="dxa"/>
              <w:right w:w="240" w:type="dxa"/>
            </w:tcMar>
            <w:vAlign w:val="center"/>
            <w:hideMark/>
          </w:tcPr>
          <w:p w14:paraId="2ABBC31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0" w:type="dxa"/>
            </w:tcMar>
            <w:vAlign w:val="center"/>
            <w:hideMark/>
          </w:tcPr>
          <w:p w14:paraId="0037CBD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42.9</w:t>
            </w:r>
          </w:p>
        </w:tc>
      </w:tr>
      <w:tr w:rsidR="00AB0514" w:rsidRPr="00443957" w14:paraId="3A9424A7" w14:textId="77777777" w:rsidTr="00443957">
        <w:tc>
          <w:tcPr>
            <w:tcW w:w="0" w:type="auto"/>
            <w:tcMar>
              <w:top w:w="150" w:type="dxa"/>
              <w:left w:w="0" w:type="dxa"/>
              <w:bottom w:w="150" w:type="dxa"/>
              <w:right w:w="240" w:type="dxa"/>
            </w:tcMar>
            <w:vAlign w:val="center"/>
            <w:hideMark/>
          </w:tcPr>
          <w:p w14:paraId="6B7BCC9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765BD7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L2 (Bachelor's)</w:t>
            </w:r>
          </w:p>
        </w:tc>
        <w:tc>
          <w:tcPr>
            <w:tcW w:w="0" w:type="auto"/>
            <w:tcMar>
              <w:top w:w="150" w:type="dxa"/>
              <w:left w:w="240" w:type="dxa"/>
              <w:bottom w:w="150" w:type="dxa"/>
              <w:right w:w="240" w:type="dxa"/>
            </w:tcMar>
            <w:vAlign w:val="center"/>
            <w:hideMark/>
          </w:tcPr>
          <w:p w14:paraId="65223FA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6DF0665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25.7</w:t>
            </w:r>
          </w:p>
        </w:tc>
      </w:tr>
      <w:tr w:rsidR="00AB0514" w:rsidRPr="00443957" w14:paraId="1A999753" w14:textId="77777777" w:rsidTr="00443957">
        <w:tc>
          <w:tcPr>
            <w:tcW w:w="0" w:type="auto"/>
            <w:tcMar>
              <w:top w:w="150" w:type="dxa"/>
              <w:left w:w="0" w:type="dxa"/>
              <w:bottom w:w="150" w:type="dxa"/>
              <w:right w:w="240" w:type="dxa"/>
            </w:tcMar>
            <w:vAlign w:val="center"/>
            <w:hideMark/>
          </w:tcPr>
          <w:p w14:paraId="604EE1E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D3E10F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Doctorate (Medicine)</w:t>
            </w:r>
          </w:p>
        </w:tc>
        <w:tc>
          <w:tcPr>
            <w:tcW w:w="0" w:type="auto"/>
            <w:tcMar>
              <w:top w:w="150" w:type="dxa"/>
              <w:left w:w="240" w:type="dxa"/>
              <w:bottom w:w="150" w:type="dxa"/>
              <w:right w:w="240" w:type="dxa"/>
            </w:tcMar>
            <w:vAlign w:val="center"/>
            <w:hideMark/>
          </w:tcPr>
          <w:p w14:paraId="611DEC0F"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14</w:t>
            </w:r>
          </w:p>
        </w:tc>
        <w:tc>
          <w:tcPr>
            <w:tcW w:w="0" w:type="auto"/>
            <w:tcMar>
              <w:top w:w="150" w:type="dxa"/>
              <w:left w:w="240" w:type="dxa"/>
              <w:bottom w:w="150" w:type="dxa"/>
              <w:right w:w="0" w:type="dxa"/>
            </w:tcMar>
            <w:vAlign w:val="center"/>
            <w:hideMark/>
          </w:tcPr>
          <w:p w14:paraId="53F5DFD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20.0</w:t>
            </w:r>
          </w:p>
        </w:tc>
      </w:tr>
      <w:tr w:rsidR="00AB0514" w:rsidRPr="00443957" w14:paraId="2E00D254" w14:textId="77777777" w:rsidTr="00443957">
        <w:tc>
          <w:tcPr>
            <w:tcW w:w="0" w:type="auto"/>
            <w:tcMar>
              <w:top w:w="150" w:type="dxa"/>
              <w:left w:w="0" w:type="dxa"/>
              <w:bottom w:w="150" w:type="dxa"/>
              <w:right w:w="240" w:type="dxa"/>
            </w:tcMar>
            <w:vAlign w:val="center"/>
            <w:hideMark/>
          </w:tcPr>
          <w:p w14:paraId="114EF89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b/>
                <w:bCs/>
                <w:kern w:val="0"/>
                <w:sz w:val="22"/>
                <w:szCs w:val="22"/>
                <w14:ligatures w14:val="none"/>
              </w:rPr>
              <w:t>Seniority (years)</w:t>
            </w:r>
          </w:p>
        </w:tc>
        <w:tc>
          <w:tcPr>
            <w:tcW w:w="0" w:type="auto"/>
            <w:tcMar>
              <w:top w:w="150" w:type="dxa"/>
              <w:left w:w="240" w:type="dxa"/>
              <w:bottom w:w="150" w:type="dxa"/>
              <w:right w:w="240" w:type="dxa"/>
            </w:tcMar>
            <w:vAlign w:val="center"/>
            <w:hideMark/>
          </w:tcPr>
          <w:p w14:paraId="1DA262A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1–10</w:t>
            </w:r>
          </w:p>
        </w:tc>
        <w:tc>
          <w:tcPr>
            <w:tcW w:w="0" w:type="auto"/>
            <w:tcMar>
              <w:top w:w="150" w:type="dxa"/>
              <w:left w:w="240" w:type="dxa"/>
              <w:bottom w:w="150" w:type="dxa"/>
              <w:right w:w="240" w:type="dxa"/>
            </w:tcMar>
            <w:vAlign w:val="center"/>
            <w:hideMark/>
          </w:tcPr>
          <w:p w14:paraId="79AED52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0" w:type="dxa"/>
            </w:tcMar>
            <w:vAlign w:val="center"/>
            <w:hideMark/>
          </w:tcPr>
          <w:p w14:paraId="43339C5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42.9</w:t>
            </w:r>
          </w:p>
        </w:tc>
      </w:tr>
      <w:tr w:rsidR="00AB0514" w:rsidRPr="00443957" w14:paraId="29AC3B95" w14:textId="77777777" w:rsidTr="00443957">
        <w:tc>
          <w:tcPr>
            <w:tcW w:w="0" w:type="auto"/>
            <w:tcMar>
              <w:top w:w="150" w:type="dxa"/>
              <w:left w:w="0" w:type="dxa"/>
              <w:bottom w:w="150" w:type="dxa"/>
              <w:right w:w="240" w:type="dxa"/>
            </w:tcMar>
            <w:vAlign w:val="center"/>
            <w:hideMark/>
          </w:tcPr>
          <w:p w14:paraId="7091A08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DC7535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11–20</w:t>
            </w:r>
          </w:p>
        </w:tc>
        <w:tc>
          <w:tcPr>
            <w:tcW w:w="0" w:type="auto"/>
            <w:tcMar>
              <w:top w:w="150" w:type="dxa"/>
              <w:left w:w="240" w:type="dxa"/>
              <w:bottom w:w="150" w:type="dxa"/>
              <w:right w:w="240" w:type="dxa"/>
            </w:tcMar>
            <w:vAlign w:val="center"/>
            <w:hideMark/>
          </w:tcPr>
          <w:p w14:paraId="02D5592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0" w:type="dxa"/>
            </w:tcMar>
            <w:vAlign w:val="center"/>
            <w:hideMark/>
          </w:tcPr>
          <w:p w14:paraId="4DC8C14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35.7</w:t>
            </w:r>
          </w:p>
        </w:tc>
      </w:tr>
      <w:tr w:rsidR="00AB0514" w:rsidRPr="00443957" w14:paraId="1FD0BE4D" w14:textId="77777777" w:rsidTr="00443957">
        <w:tc>
          <w:tcPr>
            <w:tcW w:w="0" w:type="auto"/>
            <w:tcMar>
              <w:top w:w="150" w:type="dxa"/>
              <w:left w:w="0" w:type="dxa"/>
              <w:bottom w:w="150" w:type="dxa"/>
              <w:right w:w="240" w:type="dxa"/>
            </w:tcMar>
            <w:vAlign w:val="center"/>
            <w:hideMark/>
          </w:tcPr>
          <w:p w14:paraId="4F768BB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1DB858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≥21</w:t>
            </w:r>
          </w:p>
        </w:tc>
        <w:tc>
          <w:tcPr>
            <w:tcW w:w="0" w:type="auto"/>
            <w:tcMar>
              <w:top w:w="150" w:type="dxa"/>
              <w:left w:w="240" w:type="dxa"/>
              <w:bottom w:w="150" w:type="dxa"/>
              <w:right w:w="240" w:type="dxa"/>
            </w:tcMar>
            <w:vAlign w:val="center"/>
            <w:hideMark/>
          </w:tcPr>
          <w:p w14:paraId="2D9DC0B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17F7FDCF"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21.4</w:t>
            </w:r>
          </w:p>
        </w:tc>
      </w:tr>
    </w:tbl>
    <w:p w14:paraId="26214A1E"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3.2. Knowledge and Practices of Postpartum Monitoring</w:t>
      </w:r>
    </w:p>
    <w:p w14:paraId="662538F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While all participants had monitored deliveries, only 71.4% (n = 50) reported having monitored a woman during the immediate postpartum period (Table 2). Knowledge of postpartum complications was high (85.7%), with hemorrhage being the most frequently cited complication (38.5%), followed by infections (21.4%), cervical tears (14.2%), and preeclampsia/eclampsia (11.4%). However, only 8.6% of providers reported consistently performing postpartum health education.</w:t>
      </w:r>
    </w:p>
    <w:p w14:paraId="3D06397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Regarding elements of postpartum monitoring, responses were fragmented. The most frequently cited combination was "general condition, vaginal bleeding, uterine fundus" (17.1%), followed by "vital signs, uterine fundus, lower limb edema" (15.7%), and "vital signs, lower limb edema, genital hemorrhage" (14.2%). No single protocol dominated.</w:t>
      </w:r>
    </w:p>
    <w:p w14:paraId="32D646E5"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Table 2</w:t>
      </w:r>
      <w:r w:rsidRPr="00443957">
        <w:rPr>
          <w:rFonts w:ascii="Times New Roman" w:eastAsia="Times New Roman" w:hAnsi="Times New Roman" w:cs="Times New Roman"/>
          <w:color w:val="0F1115"/>
          <w:kern w:val="0"/>
          <w14:ligatures w14:val="none"/>
        </w:rPr>
        <w:br/>
        <w:t>*Knowledge and Practices of Postpartum Monitoring (N = 70)*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95"/>
        <w:gridCol w:w="1324"/>
        <w:gridCol w:w="1721"/>
        <w:gridCol w:w="1830"/>
      </w:tblGrid>
      <w:tr w:rsidR="00AB0514" w:rsidRPr="00443957" w14:paraId="52261BC1" w14:textId="77777777" w:rsidTr="0044395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16A846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E671D2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Response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4D5DC3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Frequency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B6E50F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Percentage (%)</w:t>
            </w:r>
          </w:p>
        </w:tc>
      </w:tr>
      <w:tr w:rsidR="00AB0514" w:rsidRPr="00443957" w14:paraId="264606B7" w14:textId="77777777" w:rsidTr="00443957">
        <w:tc>
          <w:tcPr>
            <w:tcW w:w="0" w:type="auto"/>
            <w:tcBorders>
              <w:top w:val="single" w:sz="4" w:space="0" w:color="auto"/>
            </w:tcBorders>
            <w:tcMar>
              <w:top w:w="150" w:type="dxa"/>
              <w:left w:w="0" w:type="dxa"/>
              <w:bottom w:w="150" w:type="dxa"/>
              <w:right w:w="240" w:type="dxa"/>
            </w:tcMar>
            <w:vAlign w:val="center"/>
            <w:hideMark/>
          </w:tcPr>
          <w:p w14:paraId="1B03A22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Has monitored delivery</w:t>
            </w:r>
          </w:p>
        </w:tc>
        <w:tc>
          <w:tcPr>
            <w:tcW w:w="0" w:type="auto"/>
            <w:tcBorders>
              <w:top w:val="single" w:sz="4" w:space="0" w:color="auto"/>
            </w:tcBorders>
            <w:tcMar>
              <w:top w:w="150" w:type="dxa"/>
              <w:left w:w="240" w:type="dxa"/>
              <w:bottom w:w="150" w:type="dxa"/>
              <w:right w:w="240" w:type="dxa"/>
            </w:tcMar>
            <w:vAlign w:val="center"/>
            <w:hideMark/>
          </w:tcPr>
          <w:p w14:paraId="75700F8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6711713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70</w:t>
            </w:r>
          </w:p>
        </w:tc>
        <w:tc>
          <w:tcPr>
            <w:tcW w:w="0" w:type="auto"/>
            <w:tcBorders>
              <w:top w:val="single" w:sz="4" w:space="0" w:color="auto"/>
            </w:tcBorders>
            <w:tcMar>
              <w:top w:w="150" w:type="dxa"/>
              <w:left w:w="240" w:type="dxa"/>
              <w:bottom w:w="150" w:type="dxa"/>
              <w:right w:w="0" w:type="dxa"/>
            </w:tcMar>
            <w:vAlign w:val="center"/>
            <w:hideMark/>
          </w:tcPr>
          <w:p w14:paraId="2330E82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100.0</w:t>
            </w:r>
          </w:p>
        </w:tc>
      </w:tr>
      <w:tr w:rsidR="00AB0514" w:rsidRPr="00443957" w14:paraId="12FC43A5" w14:textId="77777777" w:rsidTr="00443957">
        <w:tc>
          <w:tcPr>
            <w:tcW w:w="0" w:type="auto"/>
            <w:tcMar>
              <w:top w:w="150" w:type="dxa"/>
              <w:left w:w="0" w:type="dxa"/>
              <w:bottom w:w="150" w:type="dxa"/>
              <w:right w:w="240" w:type="dxa"/>
            </w:tcMar>
            <w:vAlign w:val="center"/>
            <w:hideMark/>
          </w:tcPr>
          <w:p w14:paraId="677C745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Has monitored immediate postpartum</w:t>
            </w:r>
          </w:p>
        </w:tc>
        <w:tc>
          <w:tcPr>
            <w:tcW w:w="0" w:type="auto"/>
            <w:tcMar>
              <w:top w:w="150" w:type="dxa"/>
              <w:left w:w="240" w:type="dxa"/>
              <w:bottom w:w="150" w:type="dxa"/>
              <w:right w:w="240" w:type="dxa"/>
            </w:tcMar>
            <w:vAlign w:val="center"/>
            <w:hideMark/>
          </w:tcPr>
          <w:p w14:paraId="2C873F7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5B9A6B4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50</w:t>
            </w:r>
          </w:p>
        </w:tc>
        <w:tc>
          <w:tcPr>
            <w:tcW w:w="0" w:type="auto"/>
            <w:tcMar>
              <w:top w:w="150" w:type="dxa"/>
              <w:left w:w="240" w:type="dxa"/>
              <w:bottom w:w="150" w:type="dxa"/>
              <w:right w:w="0" w:type="dxa"/>
            </w:tcMar>
            <w:vAlign w:val="center"/>
            <w:hideMark/>
          </w:tcPr>
          <w:p w14:paraId="4E11913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71.4</w:t>
            </w:r>
          </w:p>
        </w:tc>
      </w:tr>
      <w:tr w:rsidR="00AB0514" w:rsidRPr="00443957" w14:paraId="08403A9C" w14:textId="77777777" w:rsidTr="00443957">
        <w:tc>
          <w:tcPr>
            <w:tcW w:w="0" w:type="auto"/>
            <w:tcMar>
              <w:top w:w="150" w:type="dxa"/>
              <w:left w:w="0" w:type="dxa"/>
              <w:bottom w:w="150" w:type="dxa"/>
              <w:right w:w="240" w:type="dxa"/>
            </w:tcMar>
            <w:vAlign w:val="center"/>
            <w:hideMark/>
          </w:tcPr>
          <w:p w14:paraId="72BBDCE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C17044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0A0B063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0" w:type="dxa"/>
            </w:tcMar>
            <w:vAlign w:val="center"/>
            <w:hideMark/>
          </w:tcPr>
          <w:p w14:paraId="63F9FBDD"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28.6</w:t>
            </w:r>
          </w:p>
        </w:tc>
      </w:tr>
      <w:tr w:rsidR="00AB0514" w:rsidRPr="00443957" w14:paraId="5D17A14E" w14:textId="77777777" w:rsidTr="00443957">
        <w:tc>
          <w:tcPr>
            <w:tcW w:w="0" w:type="auto"/>
            <w:tcMar>
              <w:top w:w="150" w:type="dxa"/>
              <w:left w:w="0" w:type="dxa"/>
              <w:bottom w:w="150" w:type="dxa"/>
              <w:right w:w="240" w:type="dxa"/>
            </w:tcMar>
            <w:vAlign w:val="center"/>
            <w:hideMark/>
          </w:tcPr>
          <w:p w14:paraId="231526AD"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Knows postpartum complications</w:t>
            </w:r>
          </w:p>
        </w:tc>
        <w:tc>
          <w:tcPr>
            <w:tcW w:w="0" w:type="auto"/>
            <w:tcMar>
              <w:top w:w="150" w:type="dxa"/>
              <w:left w:w="240" w:type="dxa"/>
              <w:bottom w:w="150" w:type="dxa"/>
              <w:right w:w="240" w:type="dxa"/>
            </w:tcMar>
            <w:vAlign w:val="center"/>
            <w:hideMark/>
          </w:tcPr>
          <w:p w14:paraId="7D79709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36E073F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60</w:t>
            </w:r>
          </w:p>
        </w:tc>
        <w:tc>
          <w:tcPr>
            <w:tcW w:w="0" w:type="auto"/>
            <w:tcMar>
              <w:top w:w="150" w:type="dxa"/>
              <w:left w:w="240" w:type="dxa"/>
              <w:bottom w:w="150" w:type="dxa"/>
              <w:right w:w="0" w:type="dxa"/>
            </w:tcMar>
            <w:vAlign w:val="center"/>
            <w:hideMark/>
          </w:tcPr>
          <w:p w14:paraId="5BCCDBC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85.7</w:t>
            </w:r>
          </w:p>
        </w:tc>
      </w:tr>
      <w:tr w:rsidR="00AB0514" w:rsidRPr="00443957" w14:paraId="0F3D1C90" w14:textId="77777777" w:rsidTr="00443957">
        <w:tc>
          <w:tcPr>
            <w:tcW w:w="0" w:type="auto"/>
            <w:tcMar>
              <w:top w:w="150" w:type="dxa"/>
              <w:left w:w="0" w:type="dxa"/>
              <w:bottom w:w="150" w:type="dxa"/>
              <w:right w:w="240" w:type="dxa"/>
            </w:tcMar>
            <w:vAlign w:val="center"/>
            <w:hideMark/>
          </w:tcPr>
          <w:p w14:paraId="6E94028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F31E30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77DFC2F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5E481AE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14.3</w:t>
            </w:r>
          </w:p>
        </w:tc>
      </w:tr>
      <w:tr w:rsidR="00AB0514" w:rsidRPr="00443957" w14:paraId="171C082D" w14:textId="77777777" w:rsidTr="00443957">
        <w:tc>
          <w:tcPr>
            <w:tcW w:w="0" w:type="auto"/>
            <w:tcMar>
              <w:top w:w="150" w:type="dxa"/>
              <w:left w:w="0" w:type="dxa"/>
              <w:bottom w:w="150" w:type="dxa"/>
              <w:right w:w="240" w:type="dxa"/>
            </w:tcMar>
            <w:vAlign w:val="center"/>
            <w:hideMark/>
          </w:tcPr>
          <w:p w14:paraId="367D717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lastRenderedPageBreak/>
              <w:t>Performs postpartum health education</w:t>
            </w:r>
          </w:p>
        </w:tc>
        <w:tc>
          <w:tcPr>
            <w:tcW w:w="0" w:type="auto"/>
            <w:tcMar>
              <w:top w:w="150" w:type="dxa"/>
              <w:left w:w="240" w:type="dxa"/>
              <w:bottom w:w="150" w:type="dxa"/>
              <w:right w:w="240" w:type="dxa"/>
            </w:tcMar>
            <w:vAlign w:val="center"/>
            <w:hideMark/>
          </w:tcPr>
          <w:p w14:paraId="0576C21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37FFC5D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w:t>
            </w:r>
          </w:p>
        </w:tc>
        <w:tc>
          <w:tcPr>
            <w:tcW w:w="0" w:type="auto"/>
            <w:tcMar>
              <w:top w:w="150" w:type="dxa"/>
              <w:left w:w="240" w:type="dxa"/>
              <w:bottom w:w="150" w:type="dxa"/>
              <w:right w:w="0" w:type="dxa"/>
            </w:tcMar>
            <w:vAlign w:val="center"/>
            <w:hideMark/>
          </w:tcPr>
          <w:p w14:paraId="6A56984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8.6</w:t>
            </w:r>
          </w:p>
        </w:tc>
      </w:tr>
      <w:tr w:rsidR="00AB0514" w:rsidRPr="00443957" w14:paraId="39B00B92" w14:textId="77777777" w:rsidTr="00443957">
        <w:tc>
          <w:tcPr>
            <w:tcW w:w="0" w:type="auto"/>
            <w:tcMar>
              <w:top w:w="150" w:type="dxa"/>
              <w:left w:w="0" w:type="dxa"/>
              <w:bottom w:w="150" w:type="dxa"/>
              <w:right w:w="240" w:type="dxa"/>
            </w:tcMar>
            <w:vAlign w:val="center"/>
            <w:hideMark/>
          </w:tcPr>
          <w:p w14:paraId="297264E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496323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3110125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64</w:t>
            </w:r>
          </w:p>
        </w:tc>
        <w:tc>
          <w:tcPr>
            <w:tcW w:w="0" w:type="auto"/>
            <w:tcMar>
              <w:top w:w="150" w:type="dxa"/>
              <w:left w:w="240" w:type="dxa"/>
              <w:bottom w:w="150" w:type="dxa"/>
              <w:right w:w="0" w:type="dxa"/>
            </w:tcMar>
            <w:vAlign w:val="center"/>
            <w:hideMark/>
          </w:tcPr>
          <w:p w14:paraId="509D32B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91.4</w:t>
            </w:r>
          </w:p>
        </w:tc>
      </w:tr>
    </w:tbl>
    <w:p w14:paraId="31B8BF8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Table 3</w:t>
      </w:r>
      <w:r w:rsidRPr="00443957">
        <w:rPr>
          <w:rFonts w:ascii="Times New Roman" w:eastAsia="Times New Roman" w:hAnsi="Times New Roman" w:cs="Times New Roman"/>
          <w:color w:val="0F1115"/>
          <w:kern w:val="0"/>
          <w14:ligatures w14:val="none"/>
        </w:rPr>
        <w:br/>
        <w:t>*Complications of Immediate Postpartum Cited by Providers (n = 60 who knew complications, multiple responses)*</w:t>
      </w:r>
    </w:p>
    <w:tbl>
      <w:tblPr>
        <w:tblW w:w="519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54"/>
        <w:gridCol w:w="1409"/>
        <w:gridCol w:w="1445"/>
      </w:tblGrid>
      <w:tr w:rsidR="00AB0514" w:rsidRPr="00443957" w14:paraId="40ACAF10" w14:textId="77777777" w:rsidTr="00443957">
        <w:trPr>
          <w:tblHeader/>
        </w:trPr>
        <w:tc>
          <w:tcPr>
            <w:tcW w:w="2321" w:type="dxa"/>
            <w:tcBorders>
              <w:top w:val="single" w:sz="4" w:space="0" w:color="auto"/>
              <w:bottom w:val="single" w:sz="4" w:space="0" w:color="auto"/>
            </w:tcBorders>
            <w:tcMar>
              <w:top w:w="150" w:type="dxa"/>
              <w:left w:w="0" w:type="dxa"/>
              <w:bottom w:w="150" w:type="dxa"/>
              <w:right w:w="240" w:type="dxa"/>
            </w:tcMar>
            <w:vAlign w:val="center"/>
            <w:hideMark/>
          </w:tcPr>
          <w:p w14:paraId="179754B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Complication</w:t>
            </w:r>
          </w:p>
        </w:tc>
        <w:tc>
          <w:tcPr>
            <w:tcW w:w="1381" w:type="dxa"/>
            <w:tcBorders>
              <w:top w:val="single" w:sz="4" w:space="0" w:color="auto"/>
              <w:bottom w:val="single" w:sz="4" w:space="0" w:color="auto"/>
            </w:tcBorders>
            <w:tcMar>
              <w:top w:w="150" w:type="dxa"/>
              <w:left w:w="240" w:type="dxa"/>
              <w:bottom w:w="150" w:type="dxa"/>
              <w:right w:w="240" w:type="dxa"/>
            </w:tcMar>
            <w:vAlign w:val="center"/>
            <w:hideMark/>
          </w:tcPr>
          <w:p w14:paraId="2399A15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Frequency (n)</w:t>
            </w:r>
          </w:p>
        </w:tc>
        <w:tc>
          <w:tcPr>
            <w:tcW w:w="1490" w:type="dxa"/>
            <w:tcBorders>
              <w:top w:val="single" w:sz="4" w:space="0" w:color="auto"/>
              <w:bottom w:val="single" w:sz="4" w:space="0" w:color="auto"/>
            </w:tcBorders>
            <w:tcMar>
              <w:top w:w="150" w:type="dxa"/>
              <w:left w:w="240" w:type="dxa"/>
              <w:bottom w:w="150" w:type="dxa"/>
              <w:right w:w="240" w:type="dxa"/>
            </w:tcMar>
            <w:vAlign w:val="center"/>
            <w:hideMark/>
          </w:tcPr>
          <w:p w14:paraId="57CF243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Percentage (%)</w:t>
            </w:r>
          </w:p>
        </w:tc>
      </w:tr>
      <w:tr w:rsidR="00AB0514" w:rsidRPr="00443957" w14:paraId="117DD5C5" w14:textId="77777777" w:rsidTr="00443957">
        <w:tc>
          <w:tcPr>
            <w:tcW w:w="2321" w:type="dxa"/>
            <w:tcBorders>
              <w:top w:val="single" w:sz="4" w:space="0" w:color="auto"/>
            </w:tcBorders>
            <w:tcMar>
              <w:top w:w="150" w:type="dxa"/>
              <w:left w:w="0" w:type="dxa"/>
              <w:bottom w:w="150" w:type="dxa"/>
              <w:right w:w="240" w:type="dxa"/>
            </w:tcMar>
            <w:vAlign w:val="center"/>
            <w:hideMark/>
          </w:tcPr>
          <w:p w14:paraId="3BC4E04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Postpartum hemorrhage</w:t>
            </w:r>
          </w:p>
        </w:tc>
        <w:tc>
          <w:tcPr>
            <w:tcW w:w="1381" w:type="dxa"/>
            <w:tcBorders>
              <w:top w:val="single" w:sz="4" w:space="0" w:color="auto"/>
            </w:tcBorders>
            <w:tcMar>
              <w:top w:w="150" w:type="dxa"/>
              <w:left w:w="240" w:type="dxa"/>
              <w:bottom w:w="150" w:type="dxa"/>
              <w:right w:w="240" w:type="dxa"/>
            </w:tcMar>
            <w:vAlign w:val="center"/>
            <w:hideMark/>
          </w:tcPr>
          <w:p w14:paraId="0ADD4AC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27</w:t>
            </w:r>
          </w:p>
        </w:tc>
        <w:tc>
          <w:tcPr>
            <w:tcW w:w="1490" w:type="dxa"/>
            <w:tcBorders>
              <w:top w:val="single" w:sz="4" w:space="0" w:color="auto"/>
            </w:tcBorders>
            <w:tcMar>
              <w:top w:w="150" w:type="dxa"/>
              <w:left w:w="240" w:type="dxa"/>
              <w:bottom w:w="150" w:type="dxa"/>
              <w:right w:w="0" w:type="dxa"/>
            </w:tcMar>
            <w:vAlign w:val="center"/>
            <w:hideMark/>
          </w:tcPr>
          <w:p w14:paraId="668B851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38.5</w:t>
            </w:r>
          </w:p>
        </w:tc>
      </w:tr>
      <w:tr w:rsidR="00AB0514" w:rsidRPr="00443957" w14:paraId="6DBBEE1B" w14:textId="77777777" w:rsidTr="00443957">
        <w:tc>
          <w:tcPr>
            <w:tcW w:w="2321" w:type="dxa"/>
            <w:tcMar>
              <w:top w:w="150" w:type="dxa"/>
              <w:left w:w="0" w:type="dxa"/>
              <w:bottom w:w="150" w:type="dxa"/>
              <w:right w:w="240" w:type="dxa"/>
            </w:tcMar>
            <w:vAlign w:val="center"/>
            <w:hideMark/>
          </w:tcPr>
          <w:p w14:paraId="237E973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Infections (endometritis)</w:t>
            </w:r>
          </w:p>
        </w:tc>
        <w:tc>
          <w:tcPr>
            <w:tcW w:w="1381" w:type="dxa"/>
            <w:tcMar>
              <w:top w:w="150" w:type="dxa"/>
              <w:left w:w="240" w:type="dxa"/>
              <w:bottom w:w="150" w:type="dxa"/>
              <w:right w:w="240" w:type="dxa"/>
            </w:tcMar>
            <w:vAlign w:val="center"/>
            <w:hideMark/>
          </w:tcPr>
          <w:p w14:paraId="4A7B2E9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15</w:t>
            </w:r>
          </w:p>
        </w:tc>
        <w:tc>
          <w:tcPr>
            <w:tcW w:w="1490" w:type="dxa"/>
            <w:tcMar>
              <w:top w:w="150" w:type="dxa"/>
              <w:left w:w="240" w:type="dxa"/>
              <w:bottom w:w="150" w:type="dxa"/>
              <w:right w:w="0" w:type="dxa"/>
            </w:tcMar>
            <w:vAlign w:val="center"/>
            <w:hideMark/>
          </w:tcPr>
          <w:p w14:paraId="72B6E6A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21.4</w:t>
            </w:r>
          </w:p>
        </w:tc>
      </w:tr>
      <w:tr w:rsidR="00AB0514" w:rsidRPr="00443957" w14:paraId="674EF41E" w14:textId="77777777" w:rsidTr="00443957">
        <w:tc>
          <w:tcPr>
            <w:tcW w:w="2321" w:type="dxa"/>
            <w:tcMar>
              <w:top w:w="150" w:type="dxa"/>
              <w:left w:w="0" w:type="dxa"/>
              <w:bottom w:w="150" w:type="dxa"/>
              <w:right w:w="240" w:type="dxa"/>
            </w:tcMar>
            <w:vAlign w:val="center"/>
            <w:hideMark/>
          </w:tcPr>
          <w:p w14:paraId="5DAA86A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Cervical tear</w:t>
            </w:r>
          </w:p>
        </w:tc>
        <w:tc>
          <w:tcPr>
            <w:tcW w:w="1381" w:type="dxa"/>
            <w:tcMar>
              <w:top w:w="150" w:type="dxa"/>
              <w:left w:w="240" w:type="dxa"/>
              <w:bottom w:w="150" w:type="dxa"/>
              <w:right w:w="240" w:type="dxa"/>
            </w:tcMar>
            <w:vAlign w:val="center"/>
            <w:hideMark/>
          </w:tcPr>
          <w:p w14:paraId="71FCB6D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10</w:t>
            </w:r>
          </w:p>
        </w:tc>
        <w:tc>
          <w:tcPr>
            <w:tcW w:w="1490" w:type="dxa"/>
            <w:tcMar>
              <w:top w:w="150" w:type="dxa"/>
              <w:left w:w="240" w:type="dxa"/>
              <w:bottom w:w="150" w:type="dxa"/>
              <w:right w:w="0" w:type="dxa"/>
            </w:tcMar>
            <w:vAlign w:val="center"/>
            <w:hideMark/>
          </w:tcPr>
          <w:p w14:paraId="06FE5D5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14.2</w:t>
            </w:r>
          </w:p>
        </w:tc>
      </w:tr>
      <w:tr w:rsidR="00AB0514" w:rsidRPr="00443957" w14:paraId="4C6C660A" w14:textId="77777777" w:rsidTr="00443957">
        <w:tc>
          <w:tcPr>
            <w:tcW w:w="2321" w:type="dxa"/>
            <w:tcMar>
              <w:top w:w="150" w:type="dxa"/>
              <w:left w:w="0" w:type="dxa"/>
              <w:bottom w:w="150" w:type="dxa"/>
              <w:right w:w="240" w:type="dxa"/>
            </w:tcMar>
            <w:vAlign w:val="center"/>
            <w:hideMark/>
          </w:tcPr>
          <w:p w14:paraId="5AF8213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Preeclampsia/eclampsia</w:t>
            </w:r>
          </w:p>
        </w:tc>
        <w:tc>
          <w:tcPr>
            <w:tcW w:w="1381" w:type="dxa"/>
            <w:tcMar>
              <w:top w:w="150" w:type="dxa"/>
              <w:left w:w="240" w:type="dxa"/>
              <w:bottom w:w="150" w:type="dxa"/>
              <w:right w:w="240" w:type="dxa"/>
            </w:tcMar>
            <w:vAlign w:val="center"/>
            <w:hideMark/>
          </w:tcPr>
          <w:p w14:paraId="7C1F915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w:t>
            </w:r>
          </w:p>
        </w:tc>
        <w:tc>
          <w:tcPr>
            <w:tcW w:w="1490" w:type="dxa"/>
            <w:tcMar>
              <w:top w:w="150" w:type="dxa"/>
              <w:left w:w="240" w:type="dxa"/>
              <w:bottom w:w="150" w:type="dxa"/>
              <w:right w:w="0" w:type="dxa"/>
            </w:tcMar>
            <w:vAlign w:val="center"/>
            <w:hideMark/>
          </w:tcPr>
          <w:p w14:paraId="6217F70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11.4</w:t>
            </w:r>
          </w:p>
        </w:tc>
      </w:tr>
    </w:tbl>
    <w:p w14:paraId="759364B2"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3.3. Attitudes of Healthcare Providers</w:t>
      </w:r>
    </w:p>
    <w:p w14:paraId="328B036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Attitudes toward postpartum monitoring were assessed using a Likert scale (1 = strongly disagree to 5 = strongly agree). The most endorsed attitudes were "respect for patient choice" (21.4% strongly agree), "interdisciplinary collaboration" (18.6%), and "empathy and emotional support" (17.1%). However, "continuous evaluation" (11.4%) and "health education and information" (8.6%) received lower endorsement.</w:t>
      </w:r>
    </w:p>
    <w:p w14:paraId="1A0ED20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Table 4</w:t>
      </w:r>
      <w:r w:rsidRPr="00443957">
        <w:rPr>
          <w:rFonts w:ascii="Times New Roman" w:eastAsia="Times New Roman" w:hAnsi="Times New Roman" w:cs="Times New Roman"/>
          <w:color w:val="0F1115"/>
          <w:kern w:val="0"/>
          <w14:ligatures w14:val="none"/>
        </w:rPr>
        <w:br/>
        <w:t>*Attitudes of Healthcare Providers Toward Postpartum Monitoring (N = 70)*</w:t>
      </w:r>
    </w:p>
    <w:tbl>
      <w:tblPr>
        <w:tblW w:w="677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780"/>
        <w:gridCol w:w="1442"/>
        <w:gridCol w:w="1557"/>
      </w:tblGrid>
      <w:tr w:rsidR="00AB0514" w:rsidRPr="00443957" w14:paraId="55C884B7" w14:textId="77777777" w:rsidTr="00443957">
        <w:trPr>
          <w:tblHeader/>
        </w:trPr>
        <w:tc>
          <w:tcPr>
            <w:tcW w:w="3780" w:type="dxa"/>
            <w:tcBorders>
              <w:top w:val="single" w:sz="4" w:space="0" w:color="auto"/>
              <w:bottom w:val="single" w:sz="4" w:space="0" w:color="auto"/>
            </w:tcBorders>
            <w:tcMar>
              <w:top w:w="150" w:type="dxa"/>
              <w:left w:w="0" w:type="dxa"/>
              <w:bottom w:w="150" w:type="dxa"/>
              <w:right w:w="240" w:type="dxa"/>
            </w:tcMar>
            <w:vAlign w:val="center"/>
            <w:hideMark/>
          </w:tcPr>
          <w:p w14:paraId="459B115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Attitude</w:t>
            </w:r>
          </w:p>
        </w:tc>
        <w:tc>
          <w:tcPr>
            <w:tcW w:w="1442" w:type="dxa"/>
            <w:tcBorders>
              <w:top w:val="single" w:sz="4" w:space="0" w:color="auto"/>
              <w:bottom w:val="single" w:sz="4" w:space="0" w:color="auto"/>
            </w:tcBorders>
            <w:tcMar>
              <w:top w:w="150" w:type="dxa"/>
              <w:left w:w="240" w:type="dxa"/>
              <w:bottom w:w="150" w:type="dxa"/>
              <w:right w:w="240" w:type="dxa"/>
            </w:tcMar>
            <w:vAlign w:val="center"/>
            <w:hideMark/>
          </w:tcPr>
          <w:p w14:paraId="68F4C0B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Frequency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109240B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Percentage (%)</w:t>
            </w:r>
          </w:p>
        </w:tc>
      </w:tr>
      <w:tr w:rsidR="00AB0514" w:rsidRPr="00443957" w14:paraId="5E199F09" w14:textId="77777777" w:rsidTr="00443957">
        <w:tc>
          <w:tcPr>
            <w:tcW w:w="3780" w:type="dxa"/>
            <w:tcBorders>
              <w:top w:val="single" w:sz="4" w:space="0" w:color="auto"/>
            </w:tcBorders>
            <w:tcMar>
              <w:top w:w="150" w:type="dxa"/>
              <w:left w:w="0" w:type="dxa"/>
              <w:bottom w:w="150" w:type="dxa"/>
              <w:right w:w="240" w:type="dxa"/>
            </w:tcMar>
            <w:vAlign w:val="center"/>
            <w:hideMark/>
          </w:tcPr>
          <w:p w14:paraId="0898461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Empathy and emotional support</w:t>
            </w:r>
          </w:p>
        </w:tc>
        <w:tc>
          <w:tcPr>
            <w:tcW w:w="1442" w:type="dxa"/>
            <w:tcBorders>
              <w:top w:val="single" w:sz="4" w:space="0" w:color="auto"/>
            </w:tcBorders>
            <w:tcMar>
              <w:top w:w="150" w:type="dxa"/>
              <w:left w:w="240" w:type="dxa"/>
              <w:bottom w:w="150" w:type="dxa"/>
              <w:right w:w="240" w:type="dxa"/>
            </w:tcMar>
            <w:vAlign w:val="center"/>
            <w:hideMark/>
          </w:tcPr>
          <w:p w14:paraId="54C5792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12</w:t>
            </w:r>
          </w:p>
        </w:tc>
        <w:tc>
          <w:tcPr>
            <w:tcW w:w="1557" w:type="dxa"/>
            <w:tcBorders>
              <w:top w:val="single" w:sz="4" w:space="0" w:color="auto"/>
            </w:tcBorders>
            <w:tcMar>
              <w:top w:w="150" w:type="dxa"/>
              <w:left w:w="240" w:type="dxa"/>
              <w:bottom w:w="150" w:type="dxa"/>
              <w:right w:w="0" w:type="dxa"/>
            </w:tcMar>
            <w:vAlign w:val="center"/>
            <w:hideMark/>
          </w:tcPr>
          <w:p w14:paraId="36C5D21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17.1</w:t>
            </w:r>
          </w:p>
        </w:tc>
      </w:tr>
      <w:tr w:rsidR="00AB0514" w:rsidRPr="00443957" w14:paraId="5C09510F" w14:textId="77777777" w:rsidTr="00443957">
        <w:tc>
          <w:tcPr>
            <w:tcW w:w="3780" w:type="dxa"/>
            <w:tcMar>
              <w:top w:w="150" w:type="dxa"/>
              <w:left w:w="0" w:type="dxa"/>
              <w:bottom w:w="150" w:type="dxa"/>
              <w:right w:w="240" w:type="dxa"/>
            </w:tcMar>
            <w:vAlign w:val="center"/>
            <w:hideMark/>
          </w:tcPr>
          <w:p w14:paraId="17F6FE9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lastRenderedPageBreak/>
              <w:t>Continuous evaluation</w:t>
            </w:r>
          </w:p>
        </w:tc>
        <w:tc>
          <w:tcPr>
            <w:tcW w:w="1442" w:type="dxa"/>
            <w:tcMar>
              <w:top w:w="150" w:type="dxa"/>
              <w:left w:w="240" w:type="dxa"/>
              <w:bottom w:w="150" w:type="dxa"/>
              <w:right w:w="240" w:type="dxa"/>
            </w:tcMar>
            <w:vAlign w:val="center"/>
            <w:hideMark/>
          </w:tcPr>
          <w:p w14:paraId="7991333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w:t>
            </w:r>
          </w:p>
        </w:tc>
        <w:tc>
          <w:tcPr>
            <w:tcW w:w="1557" w:type="dxa"/>
            <w:tcMar>
              <w:top w:w="150" w:type="dxa"/>
              <w:left w:w="240" w:type="dxa"/>
              <w:bottom w:w="150" w:type="dxa"/>
              <w:right w:w="0" w:type="dxa"/>
            </w:tcMar>
            <w:vAlign w:val="center"/>
            <w:hideMark/>
          </w:tcPr>
          <w:p w14:paraId="5267328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11.4</w:t>
            </w:r>
          </w:p>
        </w:tc>
      </w:tr>
      <w:tr w:rsidR="00AB0514" w:rsidRPr="00443957" w14:paraId="331335E3" w14:textId="77777777" w:rsidTr="00443957">
        <w:tc>
          <w:tcPr>
            <w:tcW w:w="3780" w:type="dxa"/>
            <w:tcMar>
              <w:top w:w="150" w:type="dxa"/>
              <w:left w:w="0" w:type="dxa"/>
              <w:bottom w:w="150" w:type="dxa"/>
              <w:right w:w="240" w:type="dxa"/>
            </w:tcMar>
            <w:vAlign w:val="center"/>
            <w:hideMark/>
          </w:tcPr>
          <w:p w14:paraId="6C77904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Health education and information</w:t>
            </w:r>
          </w:p>
        </w:tc>
        <w:tc>
          <w:tcPr>
            <w:tcW w:w="1442" w:type="dxa"/>
            <w:tcMar>
              <w:top w:w="150" w:type="dxa"/>
              <w:left w:w="240" w:type="dxa"/>
              <w:bottom w:w="150" w:type="dxa"/>
              <w:right w:w="240" w:type="dxa"/>
            </w:tcMar>
            <w:vAlign w:val="center"/>
            <w:hideMark/>
          </w:tcPr>
          <w:p w14:paraId="41E5E55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w:t>
            </w:r>
          </w:p>
        </w:tc>
        <w:tc>
          <w:tcPr>
            <w:tcW w:w="1557" w:type="dxa"/>
            <w:tcMar>
              <w:top w:w="150" w:type="dxa"/>
              <w:left w:w="240" w:type="dxa"/>
              <w:bottom w:w="150" w:type="dxa"/>
              <w:right w:w="0" w:type="dxa"/>
            </w:tcMar>
            <w:vAlign w:val="center"/>
            <w:hideMark/>
          </w:tcPr>
          <w:p w14:paraId="2B9CA28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8.6</w:t>
            </w:r>
          </w:p>
        </w:tc>
      </w:tr>
      <w:tr w:rsidR="00AB0514" w:rsidRPr="00443957" w14:paraId="68BA3828" w14:textId="77777777" w:rsidTr="00443957">
        <w:tc>
          <w:tcPr>
            <w:tcW w:w="3780" w:type="dxa"/>
            <w:tcMar>
              <w:top w:w="150" w:type="dxa"/>
              <w:left w:w="0" w:type="dxa"/>
              <w:bottom w:w="150" w:type="dxa"/>
              <w:right w:w="240" w:type="dxa"/>
            </w:tcMar>
            <w:vAlign w:val="center"/>
            <w:hideMark/>
          </w:tcPr>
          <w:p w14:paraId="0307051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Interdisciplinary collaboration</w:t>
            </w:r>
          </w:p>
        </w:tc>
        <w:tc>
          <w:tcPr>
            <w:tcW w:w="1442" w:type="dxa"/>
            <w:tcMar>
              <w:top w:w="150" w:type="dxa"/>
              <w:left w:w="240" w:type="dxa"/>
              <w:bottom w:w="150" w:type="dxa"/>
              <w:right w:w="240" w:type="dxa"/>
            </w:tcMar>
            <w:vAlign w:val="center"/>
            <w:hideMark/>
          </w:tcPr>
          <w:p w14:paraId="3F5AB24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13</w:t>
            </w:r>
          </w:p>
        </w:tc>
        <w:tc>
          <w:tcPr>
            <w:tcW w:w="1557" w:type="dxa"/>
            <w:tcMar>
              <w:top w:w="150" w:type="dxa"/>
              <w:left w:w="240" w:type="dxa"/>
              <w:bottom w:w="150" w:type="dxa"/>
              <w:right w:w="0" w:type="dxa"/>
            </w:tcMar>
            <w:vAlign w:val="center"/>
            <w:hideMark/>
          </w:tcPr>
          <w:p w14:paraId="1575F16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18.6</w:t>
            </w:r>
          </w:p>
        </w:tc>
      </w:tr>
      <w:tr w:rsidR="00AB0514" w:rsidRPr="00443957" w14:paraId="44A2AC00" w14:textId="77777777" w:rsidTr="00443957">
        <w:tc>
          <w:tcPr>
            <w:tcW w:w="3780" w:type="dxa"/>
            <w:tcMar>
              <w:top w:w="150" w:type="dxa"/>
              <w:left w:w="0" w:type="dxa"/>
              <w:bottom w:w="150" w:type="dxa"/>
              <w:right w:w="240" w:type="dxa"/>
            </w:tcMar>
            <w:vAlign w:val="center"/>
            <w:hideMark/>
          </w:tcPr>
          <w:p w14:paraId="4B09448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Respect for patient choice</w:t>
            </w:r>
          </w:p>
        </w:tc>
        <w:tc>
          <w:tcPr>
            <w:tcW w:w="1442" w:type="dxa"/>
            <w:tcMar>
              <w:top w:w="150" w:type="dxa"/>
              <w:left w:w="240" w:type="dxa"/>
              <w:bottom w:w="150" w:type="dxa"/>
              <w:right w:w="240" w:type="dxa"/>
            </w:tcMar>
            <w:vAlign w:val="center"/>
            <w:hideMark/>
          </w:tcPr>
          <w:p w14:paraId="3D96BB6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15</w:t>
            </w:r>
          </w:p>
        </w:tc>
        <w:tc>
          <w:tcPr>
            <w:tcW w:w="1557" w:type="dxa"/>
            <w:tcMar>
              <w:top w:w="150" w:type="dxa"/>
              <w:left w:w="240" w:type="dxa"/>
              <w:bottom w:w="150" w:type="dxa"/>
              <w:right w:w="0" w:type="dxa"/>
            </w:tcMar>
            <w:vAlign w:val="center"/>
            <w:hideMark/>
          </w:tcPr>
          <w:p w14:paraId="5A9FEF0D"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21.4</w:t>
            </w:r>
          </w:p>
        </w:tc>
      </w:tr>
      <w:tr w:rsidR="00AB0514" w:rsidRPr="00443957" w14:paraId="1D972A84" w14:textId="77777777" w:rsidTr="00443957">
        <w:tc>
          <w:tcPr>
            <w:tcW w:w="3780" w:type="dxa"/>
            <w:tcMar>
              <w:top w:w="150" w:type="dxa"/>
              <w:left w:w="0" w:type="dxa"/>
              <w:bottom w:w="150" w:type="dxa"/>
              <w:right w:w="240" w:type="dxa"/>
            </w:tcMar>
            <w:vAlign w:val="center"/>
            <w:hideMark/>
          </w:tcPr>
          <w:p w14:paraId="2FAD538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Consideration of cultural needs</w:t>
            </w:r>
          </w:p>
        </w:tc>
        <w:tc>
          <w:tcPr>
            <w:tcW w:w="1442" w:type="dxa"/>
            <w:tcMar>
              <w:top w:w="150" w:type="dxa"/>
              <w:left w:w="240" w:type="dxa"/>
              <w:bottom w:w="150" w:type="dxa"/>
              <w:right w:w="240" w:type="dxa"/>
            </w:tcMar>
            <w:vAlign w:val="center"/>
            <w:hideMark/>
          </w:tcPr>
          <w:p w14:paraId="2769CEC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w:t>
            </w:r>
          </w:p>
        </w:tc>
        <w:tc>
          <w:tcPr>
            <w:tcW w:w="1557" w:type="dxa"/>
            <w:tcMar>
              <w:top w:w="150" w:type="dxa"/>
              <w:left w:w="240" w:type="dxa"/>
              <w:bottom w:w="150" w:type="dxa"/>
              <w:right w:w="0" w:type="dxa"/>
            </w:tcMar>
            <w:vAlign w:val="center"/>
            <w:hideMark/>
          </w:tcPr>
          <w:p w14:paraId="212EDB1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10.0</w:t>
            </w:r>
          </w:p>
        </w:tc>
      </w:tr>
      <w:tr w:rsidR="00AB0514" w:rsidRPr="00443957" w14:paraId="043FA06E" w14:textId="77777777" w:rsidTr="00443957">
        <w:tc>
          <w:tcPr>
            <w:tcW w:w="3780" w:type="dxa"/>
            <w:tcMar>
              <w:top w:w="150" w:type="dxa"/>
              <w:left w:w="0" w:type="dxa"/>
              <w:bottom w:w="150" w:type="dxa"/>
              <w:right w:w="240" w:type="dxa"/>
            </w:tcMar>
            <w:vAlign w:val="center"/>
            <w:hideMark/>
          </w:tcPr>
          <w:p w14:paraId="4B46CFC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Self-evaluation and continuous training</w:t>
            </w:r>
          </w:p>
        </w:tc>
        <w:tc>
          <w:tcPr>
            <w:tcW w:w="1442" w:type="dxa"/>
            <w:tcMar>
              <w:top w:w="150" w:type="dxa"/>
              <w:left w:w="240" w:type="dxa"/>
              <w:bottom w:w="150" w:type="dxa"/>
              <w:right w:w="240" w:type="dxa"/>
            </w:tcMar>
            <w:vAlign w:val="center"/>
            <w:hideMark/>
          </w:tcPr>
          <w:p w14:paraId="769E36F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9</w:t>
            </w:r>
          </w:p>
        </w:tc>
        <w:tc>
          <w:tcPr>
            <w:tcW w:w="1557" w:type="dxa"/>
            <w:tcMar>
              <w:top w:w="150" w:type="dxa"/>
              <w:left w:w="240" w:type="dxa"/>
              <w:bottom w:w="150" w:type="dxa"/>
              <w:right w:w="0" w:type="dxa"/>
            </w:tcMar>
            <w:vAlign w:val="center"/>
            <w:hideMark/>
          </w:tcPr>
          <w:p w14:paraId="2EAED57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12.9</w:t>
            </w:r>
          </w:p>
        </w:tc>
      </w:tr>
    </w:tbl>
    <w:p w14:paraId="17FA54E9"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3.4. Perceived Challenges</w:t>
      </w:r>
    </w:p>
    <w:p w14:paraId="799823E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The main challenge identified by providers was "high workload" (24.3%), followed by "patient education" (15.7%), "emotional support" (14.3%), and "consideration of individual needs" (11.4%). Only 8.6% cited "complication identification" as a challenge.</w:t>
      </w:r>
    </w:p>
    <w:p w14:paraId="5CA6CDD4"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Table 5</w:t>
      </w:r>
      <w:r w:rsidRPr="00443957">
        <w:rPr>
          <w:rFonts w:ascii="Times New Roman" w:eastAsia="Times New Roman" w:hAnsi="Times New Roman" w:cs="Times New Roman"/>
          <w:color w:val="0F1115"/>
          <w:kern w:val="0"/>
          <w14:ligatures w14:val="none"/>
        </w:rPr>
        <w:br/>
        <w:t>*Perceived Challenges in Postpartum Monitoring (N = 70)*</w:t>
      </w:r>
    </w:p>
    <w:tbl>
      <w:tblPr>
        <w:tblW w:w="625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1442"/>
        <w:gridCol w:w="1557"/>
      </w:tblGrid>
      <w:tr w:rsidR="00AB0514" w:rsidRPr="00443957" w14:paraId="01EA958A" w14:textId="77777777" w:rsidTr="00443957">
        <w:trPr>
          <w:tblHeader/>
        </w:trPr>
        <w:tc>
          <w:tcPr>
            <w:tcW w:w="3256" w:type="dxa"/>
            <w:tcBorders>
              <w:top w:val="single" w:sz="4" w:space="0" w:color="auto"/>
              <w:bottom w:val="single" w:sz="4" w:space="0" w:color="auto"/>
            </w:tcBorders>
            <w:tcMar>
              <w:top w:w="150" w:type="dxa"/>
              <w:left w:w="0" w:type="dxa"/>
              <w:bottom w:w="150" w:type="dxa"/>
              <w:right w:w="240" w:type="dxa"/>
            </w:tcMar>
            <w:vAlign w:val="center"/>
            <w:hideMark/>
          </w:tcPr>
          <w:p w14:paraId="0633279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Challenge</w:t>
            </w:r>
          </w:p>
        </w:tc>
        <w:tc>
          <w:tcPr>
            <w:tcW w:w="1442" w:type="dxa"/>
            <w:tcBorders>
              <w:top w:val="single" w:sz="4" w:space="0" w:color="auto"/>
              <w:bottom w:val="single" w:sz="4" w:space="0" w:color="auto"/>
            </w:tcBorders>
            <w:tcMar>
              <w:top w:w="150" w:type="dxa"/>
              <w:left w:w="240" w:type="dxa"/>
              <w:bottom w:w="150" w:type="dxa"/>
              <w:right w:w="240" w:type="dxa"/>
            </w:tcMar>
            <w:vAlign w:val="center"/>
            <w:hideMark/>
          </w:tcPr>
          <w:p w14:paraId="7382A31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Frequency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5B6D3D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Percentage (%)</w:t>
            </w:r>
          </w:p>
        </w:tc>
      </w:tr>
      <w:tr w:rsidR="00AB0514" w:rsidRPr="00443957" w14:paraId="41393117" w14:textId="77777777" w:rsidTr="00443957">
        <w:tc>
          <w:tcPr>
            <w:tcW w:w="3256" w:type="dxa"/>
            <w:tcBorders>
              <w:top w:val="single" w:sz="4" w:space="0" w:color="auto"/>
            </w:tcBorders>
            <w:tcMar>
              <w:top w:w="150" w:type="dxa"/>
              <w:left w:w="0" w:type="dxa"/>
              <w:bottom w:w="150" w:type="dxa"/>
              <w:right w:w="240" w:type="dxa"/>
            </w:tcMar>
            <w:vAlign w:val="center"/>
            <w:hideMark/>
          </w:tcPr>
          <w:p w14:paraId="1F7770E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Complication identification</w:t>
            </w:r>
          </w:p>
        </w:tc>
        <w:tc>
          <w:tcPr>
            <w:tcW w:w="1442" w:type="dxa"/>
            <w:tcBorders>
              <w:top w:val="single" w:sz="4" w:space="0" w:color="auto"/>
            </w:tcBorders>
            <w:tcMar>
              <w:top w:w="150" w:type="dxa"/>
              <w:left w:w="240" w:type="dxa"/>
              <w:bottom w:w="150" w:type="dxa"/>
              <w:right w:w="240" w:type="dxa"/>
            </w:tcMar>
            <w:vAlign w:val="center"/>
            <w:hideMark/>
          </w:tcPr>
          <w:p w14:paraId="44340AD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w:t>
            </w:r>
          </w:p>
        </w:tc>
        <w:tc>
          <w:tcPr>
            <w:tcW w:w="1557" w:type="dxa"/>
            <w:tcBorders>
              <w:top w:val="single" w:sz="4" w:space="0" w:color="auto"/>
            </w:tcBorders>
            <w:tcMar>
              <w:top w:w="150" w:type="dxa"/>
              <w:left w:w="240" w:type="dxa"/>
              <w:bottom w:w="150" w:type="dxa"/>
              <w:right w:w="0" w:type="dxa"/>
            </w:tcMar>
            <w:vAlign w:val="center"/>
            <w:hideMark/>
          </w:tcPr>
          <w:p w14:paraId="1B91BE2B"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8.6</w:t>
            </w:r>
          </w:p>
        </w:tc>
      </w:tr>
      <w:tr w:rsidR="00AB0514" w:rsidRPr="00443957" w14:paraId="3A3ADAA1" w14:textId="77777777" w:rsidTr="00443957">
        <w:tc>
          <w:tcPr>
            <w:tcW w:w="3256" w:type="dxa"/>
            <w:tcMar>
              <w:top w:w="150" w:type="dxa"/>
              <w:left w:w="0" w:type="dxa"/>
              <w:bottom w:w="150" w:type="dxa"/>
              <w:right w:w="240" w:type="dxa"/>
            </w:tcMar>
            <w:vAlign w:val="center"/>
            <w:hideMark/>
          </w:tcPr>
          <w:p w14:paraId="4A1D256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High workload</w:t>
            </w:r>
          </w:p>
        </w:tc>
        <w:tc>
          <w:tcPr>
            <w:tcW w:w="1442" w:type="dxa"/>
            <w:tcMar>
              <w:top w:w="150" w:type="dxa"/>
              <w:left w:w="240" w:type="dxa"/>
              <w:bottom w:w="150" w:type="dxa"/>
              <w:right w:w="240" w:type="dxa"/>
            </w:tcMar>
            <w:vAlign w:val="center"/>
            <w:hideMark/>
          </w:tcPr>
          <w:p w14:paraId="5B30EFC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17</w:t>
            </w:r>
          </w:p>
        </w:tc>
        <w:tc>
          <w:tcPr>
            <w:tcW w:w="1557" w:type="dxa"/>
            <w:tcMar>
              <w:top w:w="150" w:type="dxa"/>
              <w:left w:w="240" w:type="dxa"/>
              <w:bottom w:w="150" w:type="dxa"/>
              <w:right w:w="0" w:type="dxa"/>
            </w:tcMar>
            <w:vAlign w:val="center"/>
            <w:hideMark/>
          </w:tcPr>
          <w:p w14:paraId="7F6AAB4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24.3</w:t>
            </w:r>
          </w:p>
        </w:tc>
      </w:tr>
      <w:tr w:rsidR="00AB0514" w:rsidRPr="00443957" w14:paraId="5261172D" w14:textId="77777777" w:rsidTr="00443957">
        <w:tc>
          <w:tcPr>
            <w:tcW w:w="3256" w:type="dxa"/>
            <w:tcMar>
              <w:top w:w="150" w:type="dxa"/>
              <w:left w:w="0" w:type="dxa"/>
              <w:bottom w:w="150" w:type="dxa"/>
              <w:right w:w="240" w:type="dxa"/>
            </w:tcMar>
            <w:vAlign w:val="center"/>
            <w:hideMark/>
          </w:tcPr>
          <w:p w14:paraId="7EE21FB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Patient education</w:t>
            </w:r>
          </w:p>
        </w:tc>
        <w:tc>
          <w:tcPr>
            <w:tcW w:w="1442" w:type="dxa"/>
            <w:tcMar>
              <w:top w:w="150" w:type="dxa"/>
              <w:left w:w="240" w:type="dxa"/>
              <w:bottom w:w="150" w:type="dxa"/>
              <w:right w:w="240" w:type="dxa"/>
            </w:tcMar>
            <w:vAlign w:val="center"/>
            <w:hideMark/>
          </w:tcPr>
          <w:p w14:paraId="43E879E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w:t>
            </w:r>
          </w:p>
        </w:tc>
        <w:tc>
          <w:tcPr>
            <w:tcW w:w="1557" w:type="dxa"/>
            <w:tcMar>
              <w:top w:w="150" w:type="dxa"/>
              <w:left w:w="240" w:type="dxa"/>
              <w:bottom w:w="150" w:type="dxa"/>
              <w:right w:w="0" w:type="dxa"/>
            </w:tcMar>
            <w:vAlign w:val="center"/>
            <w:hideMark/>
          </w:tcPr>
          <w:p w14:paraId="4899E13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15.7</w:t>
            </w:r>
          </w:p>
        </w:tc>
      </w:tr>
      <w:tr w:rsidR="00AB0514" w:rsidRPr="00443957" w14:paraId="69E24136" w14:textId="77777777" w:rsidTr="00443957">
        <w:tc>
          <w:tcPr>
            <w:tcW w:w="3256" w:type="dxa"/>
            <w:tcMar>
              <w:top w:w="150" w:type="dxa"/>
              <w:left w:w="0" w:type="dxa"/>
              <w:bottom w:w="150" w:type="dxa"/>
              <w:right w:w="240" w:type="dxa"/>
            </w:tcMar>
            <w:vAlign w:val="center"/>
            <w:hideMark/>
          </w:tcPr>
          <w:p w14:paraId="71C2F54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Emotional support</w:t>
            </w:r>
          </w:p>
        </w:tc>
        <w:tc>
          <w:tcPr>
            <w:tcW w:w="1442" w:type="dxa"/>
            <w:tcMar>
              <w:top w:w="150" w:type="dxa"/>
              <w:left w:w="240" w:type="dxa"/>
              <w:bottom w:w="150" w:type="dxa"/>
              <w:right w:w="240" w:type="dxa"/>
            </w:tcMar>
            <w:vAlign w:val="center"/>
            <w:hideMark/>
          </w:tcPr>
          <w:p w14:paraId="5F48C67D"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10</w:t>
            </w:r>
          </w:p>
        </w:tc>
        <w:tc>
          <w:tcPr>
            <w:tcW w:w="1557" w:type="dxa"/>
            <w:tcMar>
              <w:top w:w="150" w:type="dxa"/>
              <w:left w:w="240" w:type="dxa"/>
              <w:bottom w:w="150" w:type="dxa"/>
              <w:right w:w="0" w:type="dxa"/>
            </w:tcMar>
            <w:vAlign w:val="center"/>
            <w:hideMark/>
          </w:tcPr>
          <w:p w14:paraId="05F3828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14.3</w:t>
            </w:r>
          </w:p>
        </w:tc>
      </w:tr>
      <w:tr w:rsidR="00AB0514" w:rsidRPr="00443957" w14:paraId="55B0DA30" w14:textId="77777777" w:rsidTr="00443957">
        <w:tc>
          <w:tcPr>
            <w:tcW w:w="3256" w:type="dxa"/>
            <w:tcMar>
              <w:top w:w="150" w:type="dxa"/>
              <w:left w:w="0" w:type="dxa"/>
              <w:bottom w:w="150" w:type="dxa"/>
              <w:right w:w="240" w:type="dxa"/>
            </w:tcMar>
            <w:vAlign w:val="center"/>
            <w:hideMark/>
          </w:tcPr>
          <w:p w14:paraId="27ECB73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Consideration of individual needs</w:t>
            </w:r>
          </w:p>
        </w:tc>
        <w:tc>
          <w:tcPr>
            <w:tcW w:w="1442" w:type="dxa"/>
            <w:tcMar>
              <w:top w:w="150" w:type="dxa"/>
              <w:left w:w="240" w:type="dxa"/>
              <w:bottom w:w="150" w:type="dxa"/>
              <w:right w:w="240" w:type="dxa"/>
            </w:tcMar>
            <w:vAlign w:val="center"/>
            <w:hideMark/>
          </w:tcPr>
          <w:p w14:paraId="3F3DA9D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w:t>
            </w:r>
          </w:p>
        </w:tc>
        <w:tc>
          <w:tcPr>
            <w:tcW w:w="1557" w:type="dxa"/>
            <w:tcMar>
              <w:top w:w="150" w:type="dxa"/>
              <w:left w:w="240" w:type="dxa"/>
              <w:bottom w:w="150" w:type="dxa"/>
              <w:right w:w="0" w:type="dxa"/>
            </w:tcMar>
            <w:vAlign w:val="center"/>
            <w:hideMark/>
          </w:tcPr>
          <w:p w14:paraId="3BA8CC4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11.4</w:t>
            </w:r>
          </w:p>
        </w:tc>
      </w:tr>
      <w:tr w:rsidR="00AB0514" w:rsidRPr="00443957" w14:paraId="191D6E40" w14:textId="77777777" w:rsidTr="00443957">
        <w:tc>
          <w:tcPr>
            <w:tcW w:w="3256" w:type="dxa"/>
            <w:tcMar>
              <w:top w:w="150" w:type="dxa"/>
              <w:left w:w="0" w:type="dxa"/>
              <w:bottom w:w="150" w:type="dxa"/>
              <w:right w:w="240" w:type="dxa"/>
            </w:tcMar>
            <w:vAlign w:val="center"/>
            <w:hideMark/>
          </w:tcPr>
          <w:p w14:paraId="7CAF57F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Time management</w:t>
            </w:r>
          </w:p>
        </w:tc>
        <w:tc>
          <w:tcPr>
            <w:tcW w:w="1442" w:type="dxa"/>
            <w:tcMar>
              <w:top w:w="150" w:type="dxa"/>
              <w:left w:w="240" w:type="dxa"/>
              <w:bottom w:w="150" w:type="dxa"/>
              <w:right w:w="240" w:type="dxa"/>
            </w:tcMar>
            <w:vAlign w:val="center"/>
            <w:hideMark/>
          </w:tcPr>
          <w:p w14:paraId="6DCDF06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w:t>
            </w:r>
          </w:p>
        </w:tc>
        <w:tc>
          <w:tcPr>
            <w:tcW w:w="1557" w:type="dxa"/>
            <w:tcMar>
              <w:top w:w="150" w:type="dxa"/>
              <w:left w:w="240" w:type="dxa"/>
              <w:bottom w:w="150" w:type="dxa"/>
              <w:right w:w="0" w:type="dxa"/>
            </w:tcMar>
            <w:vAlign w:val="center"/>
            <w:hideMark/>
          </w:tcPr>
          <w:p w14:paraId="108D55B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10.0</w:t>
            </w:r>
          </w:p>
        </w:tc>
      </w:tr>
      <w:tr w:rsidR="00AB0514" w:rsidRPr="00443957" w14:paraId="13266D3A" w14:textId="77777777" w:rsidTr="00443957">
        <w:tc>
          <w:tcPr>
            <w:tcW w:w="3256" w:type="dxa"/>
            <w:tcMar>
              <w:top w:w="150" w:type="dxa"/>
              <w:left w:w="0" w:type="dxa"/>
              <w:bottom w:w="150" w:type="dxa"/>
              <w:right w:w="240" w:type="dxa"/>
            </w:tcMar>
            <w:vAlign w:val="center"/>
            <w:hideMark/>
          </w:tcPr>
          <w:p w14:paraId="191B45E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Preparation for diversity</w:t>
            </w:r>
          </w:p>
        </w:tc>
        <w:tc>
          <w:tcPr>
            <w:tcW w:w="1442" w:type="dxa"/>
            <w:tcMar>
              <w:top w:w="150" w:type="dxa"/>
              <w:left w:w="240" w:type="dxa"/>
              <w:bottom w:w="150" w:type="dxa"/>
              <w:right w:w="240" w:type="dxa"/>
            </w:tcMar>
            <w:vAlign w:val="center"/>
            <w:hideMark/>
          </w:tcPr>
          <w:p w14:paraId="4655485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6</w:t>
            </w:r>
          </w:p>
        </w:tc>
        <w:tc>
          <w:tcPr>
            <w:tcW w:w="1557" w:type="dxa"/>
            <w:tcMar>
              <w:top w:w="150" w:type="dxa"/>
              <w:left w:w="240" w:type="dxa"/>
              <w:bottom w:w="150" w:type="dxa"/>
              <w:right w:w="0" w:type="dxa"/>
            </w:tcMar>
            <w:vAlign w:val="center"/>
            <w:hideMark/>
          </w:tcPr>
          <w:p w14:paraId="50C43B5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8.6</w:t>
            </w:r>
          </w:p>
        </w:tc>
      </w:tr>
      <w:tr w:rsidR="00AB0514" w:rsidRPr="00443957" w14:paraId="345F7E5C" w14:textId="77777777" w:rsidTr="00443957">
        <w:tc>
          <w:tcPr>
            <w:tcW w:w="3256" w:type="dxa"/>
            <w:tcMar>
              <w:top w:w="150" w:type="dxa"/>
              <w:left w:w="0" w:type="dxa"/>
              <w:bottom w:w="150" w:type="dxa"/>
              <w:right w:w="240" w:type="dxa"/>
            </w:tcMar>
            <w:vAlign w:val="center"/>
            <w:hideMark/>
          </w:tcPr>
          <w:p w14:paraId="4439090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Health policy impact</w:t>
            </w:r>
          </w:p>
        </w:tc>
        <w:tc>
          <w:tcPr>
            <w:tcW w:w="1442" w:type="dxa"/>
            <w:tcMar>
              <w:top w:w="150" w:type="dxa"/>
              <w:left w:w="240" w:type="dxa"/>
              <w:bottom w:w="150" w:type="dxa"/>
              <w:right w:w="240" w:type="dxa"/>
            </w:tcMar>
            <w:vAlign w:val="center"/>
            <w:hideMark/>
          </w:tcPr>
          <w:p w14:paraId="5B1B81B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w:t>
            </w:r>
          </w:p>
        </w:tc>
        <w:tc>
          <w:tcPr>
            <w:tcW w:w="1557" w:type="dxa"/>
            <w:tcMar>
              <w:top w:w="150" w:type="dxa"/>
              <w:left w:w="240" w:type="dxa"/>
              <w:bottom w:w="150" w:type="dxa"/>
              <w:right w:w="0" w:type="dxa"/>
            </w:tcMar>
            <w:vAlign w:val="center"/>
            <w:hideMark/>
          </w:tcPr>
          <w:p w14:paraId="494D451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7.1</w:t>
            </w:r>
          </w:p>
        </w:tc>
      </w:tr>
    </w:tbl>
    <w:p w14:paraId="4E7F5973"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lastRenderedPageBreak/>
        <w:t>3.5. Bivariate Analyses</w:t>
      </w:r>
    </w:p>
    <w:p w14:paraId="06977C4E"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Chi-square tests revealed statistically significant associations between education level and postpartum monitoring practice (χ² = 38.281, df = 2, p &lt; 0.05). Providers with L2 and Doctorate levels all reported monitoring postpartum, while non-monitoring was concentrated among A2 (75% of A2 did not monitor) and A1 levels (46.7% of A1 did not monitor).</w:t>
      </w:r>
    </w:p>
    <w:p w14:paraId="7C88628C"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Significant associations were also found between education level and knowledge of complications (χ² = 28.182, df = 3, p &lt; 0.05), with all L2 and Doctorate providers reporting knowledge, compared to only 25% of A2.</w:t>
      </w:r>
    </w:p>
    <w:p w14:paraId="17398721"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Seniority was significantly associated with postpartum monitoring practice (χ² = 24.844, df = 2, p &lt; 0.05). All providers with ≥11 years of seniority reported monitoring postpartum, while 66.7% of those with 1–10 years did not. Similarly, seniority was strongly associated with complication knowledge (χ² = 166.759, df = 2, p &lt; 0.05), with all non-knowledge responses coming from the 1–10 year group.</w:t>
      </w:r>
    </w:p>
    <w:p w14:paraId="1501B09E"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Seniority was also significantly associated with professional attitude (χ² = 216.557, df = 12, p &lt; 0.05), with attitude priorities evolving across career stages.</w:t>
      </w:r>
    </w:p>
    <w:p w14:paraId="7CE156A4"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Table 6</w:t>
      </w:r>
      <w:r w:rsidRPr="00443957">
        <w:rPr>
          <w:rFonts w:ascii="Times New Roman" w:eastAsia="Times New Roman" w:hAnsi="Times New Roman" w:cs="Times New Roman"/>
          <w:color w:val="0F1115"/>
          <w:kern w:val="0"/>
          <w14:ligatures w14:val="none"/>
        </w:rPr>
        <w:br/>
      </w:r>
      <w:r w:rsidRPr="00443957">
        <w:rPr>
          <w:rFonts w:ascii="Times New Roman" w:eastAsia="Times New Roman" w:hAnsi="Times New Roman" w:cs="Times New Roman"/>
          <w:i/>
          <w:iCs/>
          <w:color w:val="0F1115"/>
          <w:kern w:val="0"/>
          <w14:ligatures w14:val="none"/>
        </w:rPr>
        <w:t>Summary of Bivariate Associations</w:t>
      </w:r>
    </w:p>
    <w:tbl>
      <w:tblPr>
        <w:tblW w:w="8638"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377"/>
        <w:gridCol w:w="1421"/>
        <w:gridCol w:w="1367"/>
        <w:gridCol w:w="990"/>
        <w:gridCol w:w="1483"/>
      </w:tblGrid>
      <w:tr w:rsidR="00AB0514" w:rsidRPr="00443957" w14:paraId="0314E197" w14:textId="77777777" w:rsidTr="00443957">
        <w:trPr>
          <w:tblHeader/>
        </w:trPr>
        <w:tc>
          <w:tcPr>
            <w:tcW w:w="3967" w:type="dxa"/>
            <w:tcBorders>
              <w:top w:val="single" w:sz="4" w:space="0" w:color="auto"/>
              <w:bottom w:val="single" w:sz="4" w:space="0" w:color="auto"/>
            </w:tcBorders>
            <w:tcMar>
              <w:top w:w="150" w:type="dxa"/>
              <w:left w:w="0" w:type="dxa"/>
              <w:bottom w:w="150" w:type="dxa"/>
              <w:right w:w="240" w:type="dxa"/>
            </w:tcMar>
            <w:vAlign w:val="center"/>
            <w:hideMark/>
          </w:tcPr>
          <w:p w14:paraId="6BC5C91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Association</w:t>
            </w:r>
          </w:p>
        </w:tc>
        <w:tc>
          <w:tcPr>
            <w:tcW w:w="1300" w:type="dxa"/>
            <w:tcBorders>
              <w:top w:val="single" w:sz="4" w:space="0" w:color="auto"/>
              <w:bottom w:val="single" w:sz="4" w:space="0" w:color="auto"/>
            </w:tcBorders>
            <w:tcMar>
              <w:top w:w="150" w:type="dxa"/>
              <w:left w:w="240" w:type="dxa"/>
              <w:bottom w:w="150" w:type="dxa"/>
              <w:right w:w="240" w:type="dxa"/>
            </w:tcMar>
            <w:vAlign w:val="center"/>
            <w:hideMark/>
          </w:tcPr>
          <w:p w14:paraId="1DC0466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χ² Calculated</w:t>
            </w:r>
          </w:p>
        </w:tc>
        <w:tc>
          <w:tcPr>
            <w:tcW w:w="1428" w:type="dxa"/>
            <w:tcBorders>
              <w:top w:val="single" w:sz="4" w:space="0" w:color="auto"/>
              <w:bottom w:val="single" w:sz="4" w:space="0" w:color="auto"/>
            </w:tcBorders>
            <w:tcMar>
              <w:top w:w="150" w:type="dxa"/>
              <w:left w:w="240" w:type="dxa"/>
              <w:bottom w:w="150" w:type="dxa"/>
              <w:right w:w="240" w:type="dxa"/>
            </w:tcMar>
            <w:vAlign w:val="center"/>
            <w:hideMark/>
          </w:tcPr>
          <w:p w14:paraId="7459CF8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χ² Tabular (df)</w:t>
            </w:r>
          </w:p>
        </w:tc>
        <w:tc>
          <w:tcPr>
            <w:tcW w:w="800" w:type="dxa"/>
            <w:tcBorders>
              <w:top w:val="single" w:sz="4" w:space="0" w:color="auto"/>
              <w:bottom w:val="single" w:sz="4" w:space="0" w:color="auto"/>
            </w:tcBorders>
            <w:tcMar>
              <w:top w:w="150" w:type="dxa"/>
              <w:left w:w="240" w:type="dxa"/>
              <w:bottom w:w="150" w:type="dxa"/>
              <w:right w:w="240" w:type="dxa"/>
            </w:tcMar>
            <w:vAlign w:val="center"/>
            <w:hideMark/>
          </w:tcPr>
          <w:p w14:paraId="347B86BF"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p-value</w:t>
            </w:r>
          </w:p>
        </w:tc>
        <w:tc>
          <w:tcPr>
            <w:tcW w:w="1143" w:type="dxa"/>
            <w:tcBorders>
              <w:top w:val="single" w:sz="4" w:space="0" w:color="auto"/>
              <w:bottom w:val="single" w:sz="4" w:space="0" w:color="auto"/>
            </w:tcBorders>
            <w:tcMar>
              <w:top w:w="150" w:type="dxa"/>
              <w:left w:w="240" w:type="dxa"/>
              <w:bottom w:w="150" w:type="dxa"/>
              <w:right w:w="240" w:type="dxa"/>
            </w:tcMar>
            <w:vAlign w:val="center"/>
            <w:hideMark/>
          </w:tcPr>
          <w:p w14:paraId="01ED2E46"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Conclusion</w:t>
            </w:r>
          </w:p>
        </w:tc>
      </w:tr>
      <w:tr w:rsidR="00AB0514" w:rsidRPr="00443957" w14:paraId="321AB3B8" w14:textId="77777777" w:rsidTr="00443957">
        <w:tc>
          <w:tcPr>
            <w:tcW w:w="3967" w:type="dxa"/>
            <w:tcBorders>
              <w:top w:val="single" w:sz="4" w:space="0" w:color="auto"/>
            </w:tcBorders>
            <w:tcMar>
              <w:top w:w="150" w:type="dxa"/>
              <w:left w:w="0" w:type="dxa"/>
              <w:bottom w:w="150" w:type="dxa"/>
              <w:right w:w="240" w:type="dxa"/>
            </w:tcMar>
            <w:vAlign w:val="center"/>
            <w:hideMark/>
          </w:tcPr>
          <w:p w14:paraId="531F0D2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Education level × Postpartum monitoring</w:t>
            </w:r>
          </w:p>
        </w:tc>
        <w:tc>
          <w:tcPr>
            <w:tcW w:w="1300" w:type="dxa"/>
            <w:tcBorders>
              <w:top w:val="single" w:sz="4" w:space="0" w:color="auto"/>
            </w:tcBorders>
            <w:tcMar>
              <w:top w:w="150" w:type="dxa"/>
              <w:left w:w="240" w:type="dxa"/>
              <w:bottom w:w="150" w:type="dxa"/>
              <w:right w:w="240" w:type="dxa"/>
            </w:tcMar>
            <w:vAlign w:val="center"/>
            <w:hideMark/>
          </w:tcPr>
          <w:p w14:paraId="6947D9C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38.281</w:t>
            </w:r>
          </w:p>
        </w:tc>
        <w:tc>
          <w:tcPr>
            <w:tcW w:w="1428" w:type="dxa"/>
            <w:tcBorders>
              <w:top w:val="single" w:sz="4" w:space="0" w:color="auto"/>
            </w:tcBorders>
            <w:tcMar>
              <w:top w:w="150" w:type="dxa"/>
              <w:left w:w="240" w:type="dxa"/>
              <w:bottom w:w="150" w:type="dxa"/>
              <w:right w:w="240" w:type="dxa"/>
            </w:tcMar>
            <w:vAlign w:val="center"/>
            <w:hideMark/>
          </w:tcPr>
          <w:p w14:paraId="047B0A0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5.99 (2)</w:t>
            </w:r>
          </w:p>
        </w:tc>
        <w:tc>
          <w:tcPr>
            <w:tcW w:w="800" w:type="dxa"/>
            <w:tcBorders>
              <w:top w:val="single" w:sz="4" w:space="0" w:color="auto"/>
            </w:tcBorders>
            <w:tcMar>
              <w:top w:w="150" w:type="dxa"/>
              <w:left w:w="240" w:type="dxa"/>
              <w:bottom w:w="150" w:type="dxa"/>
              <w:right w:w="240" w:type="dxa"/>
            </w:tcMar>
            <w:vAlign w:val="center"/>
            <w:hideMark/>
          </w:tcPr>
          <w:p w14:paraId="7F3C7ABE"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&lt;0.05</w:t>
            </w:r>
          </w:p>
        </w:tc>
        <w:tc>
          <w:tcPr>
            <w:tcW w:w="1143" w:type="dxa"/>
            <w:tcBorders>
              <w:top w:val="single" w:sz="4" w:space="0" w:color="auto"/>
            </w:tcBorders>
            <w:tcMar>
              <w:top w:w="150" w:type="dxa"/>
              <w:left w:w="240" w:type="dxa"/>
              <w:bottom w:w="150" w:type="dxa"/>
              <w:right w:w="0" w:type="dxa"/>
            </w:tcMar>
            <w:vAlign w:val="center"/>
            <w:hideMark/>
          </w:tcPr>
          <w:p w14:paraId="4E3DC0CF"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Significant</w:t>
            </w:r>
          </w:p>
        </w:tc>
      </w:tr>
      <w:tr w:rsidR="00AB0514" w:rsidRPr="00443957" w14:paraId="7C35DAD9" w14:textId="77777777" w:rsidTr="00443957">
        <w:tc>
          <w:tcPr>
            <w:tcW w:w="3967" w:type="dxa"/>
            <w:tcMar>
              <w:top w:w="150" w:type="dxa"/>
              <w:left w:w="0" w:type="dxa"/>
              <w:bottom w:w="150" w:type="dxa"/>
              <w:right w:w="240" w:type="dxa"/>
            </w:tcMar>
            <w:vAlign w:val="center"/>
            <w:hideMark/>
          </w:tcPr>
          <w:p w14:paraId="456D709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Education level × Complication knowledge</w:t>
            </w:r>
          </w:p>
        </w:tc>
        <w:tc>
          <w:tcPr>
            <w:tcW w:w="1300" w:type="dxa"/>
            <w:tcMar>
              <w:top w:w="150" w:type="dxa"/>
              <w:left w:w="240" w:type="dxa"/>
              <w:bottom w:w="150" w:type="dxa"/>
              <w:right w:w="240" w:type="dxa"/>
            </w:tcMar>
            <w:vAlign w:val="center"/>
            <w:hideMark/>
          </w:tcPr>
          <w:p w14:paraId="1285F78D"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28.182</w:t>
            </w:r>
          </w:p>
        </w:tc>
        <w:tc>
          <w:tcPr>
            <w:tcW w:w="1428" w:type="dxa"/>
            <w:tcMar>
              <w:top w:w="150" w:type="dxa"/>
              <w:left w:w="240" w:type="dxa"/>
              <w:bottom w:w="150" w:type="dxa"/>
              <w:right w:w="240" w:type="dxa"/>
            </w:tcMar>
            <w:vAlign w:val="center"/>
            <w:hideMark/>
          </w:tcPr>
          <w:p w14:paraId="38769EC3"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7.81 (3)</w:t>
            </w:r>
          </w:p>
        </w:tc>
        <w:tc>
          <w:tcPr>
            <w:tcW w:w="800" w:type="dxa"/>
            <w:tcMar>
              <w:top w:w="150" w:type="dxa"/>
              <w:left w:w="240" w:type="dxa"/>
              <w:bottom w:w="150" w:type="dxa"/>
              <w:right w:w="240" w:type="dxa"/>
            </w:tcMar>
            <w:vAlign w:val="center"/>
            <w:hideMark/>
          </w:tcPr>
          <w:p w14:paraId="39B55DB5"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&lt;0.05</w:t>
            </w:r>
          </w:p>
        </w:tc>
        <w:tc>
          <w:tcPr>
            <w:tcW w:w="1143" w:type="dxa"/>
            <w:tcMar>
              <w:top w:w="150" w:type="dxa"/>
              <w:left w:w="240" w:type="dxa"/>
              <w:bottom w:w="150" w:type="dxa"/>
              <w:right w:w="0" w:type="dxa"/>
            </w:tcMar>
            <w:vAlign w:val="center"/>
            <w:hideMark/>
          </w:tcPr>
          <w:p w14:paraId="7DD8AB7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Significant</w:t>
            </w:r>
          </w:p>
        </w:tc>
      </w:tr>
      <w:tr w:rsidR="00AB0514" w:rsidRPr="00443957" w14:paraId="69E06CE9" w14:textId="77777777" w:rsidTr="00443957">
        <w:tc>
          <w:tcPr>
            <w:tcW w:w="3967" w:type="dxa"/>
            <w:tcMar>
              <w:top w:w="150" w:type="dxa"/>
              <w:left w:w="0" w:type="dxa"/>
              <w:bottom w:w="150" w:type="dxa"/>
              <w:right w:w="240" w:type="dxa"/>
            </w:tcMar>
            <w:vAlign w:val="center"/>
            <w:hideMark/>
          </w:tcPr>
          <w:p w14:paraId="3919BE1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Education level × Attitude</w:t>
            </w:r>
          </w:p>
        </w:tc>
        <w:tc>
          <w:tcPr>
            <w:tcW w:w="1300" w:type="dxa"/>
            <w:tcMar>
              <w:top w:w="150" w:type="dxa"/>
              <w:left w:w="240" w:type="dxa"/>
              <w:bottom w:w="150" w:type="dxa"/>
              <w:right w:w="240" w:type="dxa"/>
            </w:tcMar>
            <w:vAlign w:val="center"/>
            <w:hideMark/>
          </w:tcPr>
          <w:p w14:paraId="2B9DD9D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54.763</w:t>
            </w:r>
          </w:p>
        </w:tc>
        <w:tc>
          <w:tcPr>
            <w:tcW w:w="1428" w:type="dxa"/>
            <w:tcMar>
              <w:top w:w="150" w:type="dxa"/>
              <w:left w:w="240" w:type="dxa"/>
              <w:bottom w:w="150" w:type="dxa"/>
              <w:right w:w="240" w:type="dxa"/>
            </w:tcMar>
            <w:vAlign w:val="center"/>
            <w:hideMark/>
          </w:tcPr>
          <w:p w14:paraId="61BBA98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5.35 (6)</w:t>
            </w:r>
          </w:p>
        </w:tc>
        <w:tc>
          <w:tcPr>
            <w:tcW w:w="800" w:type="dxa"/>
            <w:tcMar>
              <w:top w:w="150" w:type="dxa"/>
              <w:left w:w="240" w:type="dxa"/>
              <w:bottom w:w="150" w:type="dxa"/>
              <w:right w:w="240" w:type="dxa"/>
            </w:tcMar>
            <w:vAlign w:val="center"/>
            <w:hideMark/>
          </w:tcPr>
          <w:p w14:paraId="7763B3B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&lt;0.05</w:t>
            </w:r>
          </w:p>
        </w:tc>
        <w:tc>
          <w:tcPr>
            <w:tcW w:w="1143" w:type="dxa"/>
            <w:tcMar>
              <w:top w:w="150" w:type="dxa"/>
              <w:left w:w="240" w:type="dxa"/>
              <w:bottom w:w="150" w:type="dxa"/>
              <w:right w:w="0" w:type="dxa"/>
            </w:tcMar>
            <w:vAlign w:val="center"/>
            <w:hideMark/>
          </w:tcPr>
          <w:p w14:paraId="46F2C0EF"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Significant</w:t>
            </w:r>
          </w:p>
        </w:tc>
      </w:tr>
      <w:tr w:rsidR="00AB0514" w:rsidRPr="00443957" w14:paraId="282AF75A" w14:textId="77777777" w:rsidTr="00443957">
        <w:tc>
          <w:tcPr>
            <w:tcW w:w="3967" w:type="dxa"/>
            <w:tcMar>
              <w:top w:w="150" w:type="dxa"/>
              <w:left w:w="0" w:type="dxa"/>
              <w:bottom w:w="150" w:type="dxa"/>
              <w:right w:w="240" w:type="dxa"/>
            </w:tcMar>
            <w:vAlign w:val="center"/>
            <w:hideMark/>
          </w:tcPr>
          <w:p w14:paraId="61BF098C"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Seniority × Postpartum monitoring</w:t>
            </w:r>
          </w:p>
        </w:tc>
        <w:tc>
          <w:tcPr>
            <w:tcW w:w="1300" w:type="dxa"/>
            <w:tcMar>
              <w:top w:w="150" w:type="dxa"/>
              <w:left w:w="240" w:type="dxa"/>
              <w:bottom w:w="150" w:type="dxa"/>
              <w:right w:w="240" w:type="dxa"/>
            </w:tcMar>
            <w:vAlign w:val="center"/>
            <w:hideMark/>
          </w:tcPr>
          <w:p w14:paraId="78DE371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24.844</w:t>
            </w:r>
          </w:p>
        </w:tc>
        <w:tc>
          <w:tcPr>
            <w:tcW w:w="1428" w:type="dxa"/>
            <w:tcMar>
              <w:top w:w="150" w:type="dxa"/>
              <w:left w:w="240" w:type="dxa"/>
              <w:bottom w:w="150" w:type="dxa"/>
              <w:right w:w="240" w:type="dxa"/>
            </w:tcMar>
            <w:vAlign w:val="center"/>
            <w:hideMark/>
          </w:tcPr>
          <w:p w14:paraId="7FF3870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5.99 (2)</w:t>
            </w:r>
          </w:p>
        </w:tc>
        <w:tc>
          <w:tcPr>
            <w:tcW w:w="800" w:type="dxa"/>
            <w:tcMar>
              <w:top w:w="150" w:type="dxa"/>
              <w:left w:w="240" w:type="dxa"/>
              <w:bottom w:w="150" w:type="dxa"/>
              <w:right w:w="240" w:type="dxa"/>
            </w:tcMar>
            <w:vAlign w:val="center"/>
            <w:hideMark/>
          </w:tcPr>
          <w:p w14:paraId="3C8F068F"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&lt;0.05</w:t>
            </w:r>
          </w:p>
        </w:tc>
        <w:tc>
          <w:tcPr>
            <w:tcW w:w="1143" w:type="dxa"/>
            <w:tcMar>
              <w:top w:w="150" w:type="dxa"/>
              <w:left w:w="240" w:type="dxa"/>
              <w:bottom w:w="150" w:type="dxa"/>
              <w:right w:w="0" w:type="dxa"/>
            </w:tcMar>
            <w:vAlign w:val="center"/>
            <w:hideMark/>
          </w:tcPr>
          <w:p w14:paraId="55FB63A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Significant</w:t>
            </w:r>
          </w:p>
        </w:tc>
      </w:tr>
      <w:tr w:rsidR="00AB0514" w:rsidRPr="00443957" w14:paraId="4B18B596" w14:textId="77777777" w:rsidTr="00443957">
        <w:tc>
          <w:tcPr>
            <w:tcW w:w="3967" w:type="dxa"/>
            <w:tcMar>
              <w:top w:w="150" w:type="dxa"/>
              <w:left w:w="0" w:type="dxa"/>
              <w:bottom w:w="150" w:type="dxa"/>
              <w:right w:w="240" w:type="dxa"/>
            </w:tcMar>
            <w:vAlign w:val="center"/>
            <w:hideMark/>
          </w:tcPr>
          <w:p w14:paraId="136010F0"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lastRenderedPageBreak/>
              <w:t>Seniority × Complication knowledge</w:t>
            </w:r>
          </w:p>
        </w:tc>
        <w:tc>
          <w:tcPr>
            <w:tcW w:w="1300" w:type="dxa"/>
            <w:tcMar>
              <w:top w:w="150" w:type="dxa"/>
              <w:left w:w="240" w:type="dxa"/>
              <w:bottom w:w="150" w:type="dxa"/>
              <w:right w:w="240" w:type="dxa"/>
            </w:tcMar>
            <w:vAlign w:val="center"/>
            <w:hideMark/>
          </w:tcPr>
          <w:p w14:paraId="67768779"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166.759</w:t>
            </w:r>
          </w:p>
        </w:tc>
        <w:tc>
          <w:tcPr>
            <w:tcW w:w="1428" w:type="dxa"/>
            <w:tcMar>
              <w:top w:w="150" w:type="dxa"/>
              <w:left w:w="240" w:type="dxa"/>
              <w:bottom w:w="150" w:type="dxa"/>
              <w:right w:w="240" w:type="dxa"/>
            </w:tcMar>
            <w:vAlign w:val="center"/>
            <w:hideMark/>
          </w:tcPr>
          <w:p w14:paraId="49382751"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5.99 (2)</w:t>
            </w:r>
          </w:p>
        </w:tc>
        <w:tc>
          <w:tcPr>
            <w:tcW w:w="800" w:type="dxa"/>
            <w:tcMar>
              <w:top w:w="150" w:type="dxa"/>
              <w:left w:w="240" w:type="dxa"/>
              <w:bottom w:w="150" w:type="dxa"/>
              <w:right w:w="240" w:type="dxa"/>
            </w:tcMar>
            <w:vAlign w:val="center"/>
            <w:hideMark/>
          </w:tcPr>
          <w:p w14:paraId="0A4919A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&lt;0.05</w:t>
            </w:r>
          </w:p>
        </w:tc>
        <w:tc>
          <w:tcPr>
            <w:tcW w:w="1143" w:type="dxa"/>
            <w:tcMar>
              <w:top w:w="150" w:type="dxa"/>
              <w:left w:w="240" w:type="dxa"/>
              <w:bottom w:w="150" w:type="dxa"/>
              <w:right w:w="0" w:type="dxa"/>
            </w:tcMar>
            <w:vAlign w:val="center"/>
            <w:hideMark/>
          </w:tcPr>
          <w:p w14:paraId="316A0398"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Significant</w:t>
            </w:r>
          </w:p>
        </w:tc>
      </w:tr>
      <w:tr w:rsidR="00AB0514" w:rsidRPr="00443957" w14:paraId="3B2DD681" w14:textId="77777777" w:rsidTr="00443957">
        <w:tc>
          <w:tcPr>
            <w:tcW w:w="3967" w:type="dxa"/>
            <w:tcMar>
              <w:top w:w="150" w:type="dxa"/>
              <w:left w:w="0" w:type="dxa"/>
              <w:bottom w:w="150" w:type="dxa"/>
              <w:right w:w="240" w:type="dxa"/>
            </w:tcMar>
            <w:vAlign w:val="center"/>
            <w:hideMark/>
          </w:tcPr>
          <w:p w14:paraId="0DFB0D6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Seniority × Attitude</w:t>
            </w:r>
          </w:p>
        </w:tc>
        <w:tc>
          <w:tcPr>
            <w:tcW w:w="1300" w:type="dxa"/>
            <w:tcMar>
              <w:top w:w="150" w:type="dxa"/>
              <w:left w:w="240" w:type="dxa"/>
              <w:bottom w:w="150" w:type="dxa"/>
              <w:right w:w="240" w:type="dxa"/>
            </w:tcMar>
            <w:vAlign w:val="center"/>
            <w:hideMark/>
          </w:tcPr>
          <w:p w14:paraId="733D7D42"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216.557</w:t>
            </w:r>
          </w:p>
        </w:tc>
        <w:tc>
          <w:tcPr>
            <w:tcW w:w="1428" w:type="dxa"/>
            <w:tcMar>
              <w:top w:w="150" w:type="dxa"/>
              <w:left w:w="240" w:type="dxa"/>
              <w:bottom w:w="150" w:type="dxa"/>
              <w:right w:w="240" w:type="dxa"/>
            </w:tcMar>
            <w:vAlign w:val="center"/>
            <w:hideMark/>
          </w:tcPr>
          <w:p w14:paraId="18FB3534"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21.3 (12)</w:t>
            </w:r>
          </w:p>
        </w:tc>
        <w:tc>
          <w:tcPr>
            <w:tcW w:w="800" w:type="dxa"/>
            <w:tcMar>
              <w:top w:w="150" w:type="dxa"/>
              <w:left w:w="240" w:type="dxa"/>
              <w:bottom w:w="150" w:type="dxa"/>
              <w:right w:w="240" w:type="dxa"/>
            </w:tcMar>
            <w:vAlign w:val="center"/>
            <w:hideMark/>
          </w:tcPr>
          <w:p w14:paraId="7834D8D7"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&lt;0.05</w:t>
            </w:r>
          </w:p>
        </w:tc>
        <w:tc>
          <w:tcPr>
            <w:tcW w:w="1143" w:type="dxa"/>
            <w:tcMar>
              <w:top w:w="150" w:type="dxa"/>
              <w:left w:w="240" w:type="dxa"/>
              <w:bottom w:w="150" w:type="dxa"/>
              <w:right w:w="0" w:type="dxa"/>
            </w:tcMar>
            <w:vAlign w:val="center"/>
            <w:hideMark/>
          </w:tcPr>
          <w:p w14:paraId="1E6F9EDA" w14:textId="77777777" w:rsidR="00AB0514" w:rsidRPr="00443957" w:rsidRDefault="00AB0514" w:rsidP="00443957">
            <w:pPr>
              <w:spacing w:after="0" w:line="240" w:lineRule="auto"/>
              <w:rPr>
                <w:rFonts w:ascii="Times New Roman" w:eastAsia="Times New Roman" w:hAnsi="Times New Roman" w:cs="Times New Roman"/>
                <w:kern w:val="0"/>
                <w:sz w:val="22"/>
                <w:szCs w:val="22"/>
                <w14:ligatures w14:val="none"/>
              </w:rPr>
            </w:pPr>
            <w:r w:rsidRPr="00443957">
              <w:rPr>
                <w:rFonts w:ascii="Times New Roman" w:eastAsia="Times New Roman" w:hAnsi="Times New Roman" w:cs="Times New Roman"/>
                <w:kern w:val="0"/>
                <w:sz w:val="22"/>
                <w:szCs w:val="22"/>
                <w14:ligatures w14:val="none"/>
              </w:rPr>
              <w:t>Significant</w:t>
            </w:r>
          </w:p>
        </w:tc>
      </w:tr>
    </w:tbl>
    <w:p w14:paraId="688AED6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4. Discussion</w:t>
      </w:r>
    </w:p>
    <w:p w14:paraId="34C165E6"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This study provides the first systematic assessment of healthcare providers' knowledge, attitudes, and practices regarding immediate postpartum monitoring in Mbandaka, DRC.</w:t>
      </w:r>
    </w:p>
    <w:p w14:paraId="7A6F0337"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4.1. Sociodemographic Profile</w:t>
      </w:r>
    </w:p>
    <w:p w14:paraId="0FDB4CF2"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The predominance of female providers (55.7%) and the 35–44 year age group aligns with findings from Kandolo and Mukeba (2021) in Kinshasa, who reported 60% female staff in maternity wards, confirming the feminization of obstetric professions in the DRC. The high proportion of A1-level providers (42.9%) is consistent with Ngoy et al. (2020), who found that most providers in provincial hospitals hold technical or higher nursing diplomas. However, the presence of A2-level providers (11.4%) indicates ongoing need for competency-based continuing education (WHO, 2021).</w:t>
      </w:r>
    </w:p>
    <w:p w14:paraId="6B238C0B"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4.2. Knowledge of Postpartum Complications</w:t>
      </w:r>
    </w:p>
    <w:p w14:paraId="4DC081AC"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The finding that 85.7% of providers knew major postpartum complications is comparable to rates reported by Kawaya (2020) in Kisangani (82%) and Bisimwa et al. (2021) in eastern DRC (88%). However, the fact that less than half of knowledgeable providers spontaneously cited hemorrhage—the leading cause of maternal death—is concerning. As WHO (2023) emphasized, lack of knowledge of danger signs remains a primary contributor to maternal mortality in low-income countries. Furthermore, the low citation of infections (21.4%) and hypertensive disorders (11.4%) suggests knowledge may be focused on the most immediate risk (hemorrhage) at the expense of other serious complications.</w:t>
      </w:r>
    </w:p>
    <w:p w14:paraId="6D3B911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4.3. Practice of Postpartum Monitoring</w:t>
      </w:r>
    </w:p>
    <w:p w14:paraId="213A88AF"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lastRenderedPageBreak/>
        <w:t>The finding that 28.6% of providers—all with ≤10 years seniority and A2/A1 levels—reported not monitoring immediate postpartum patients is alarming. This represents a critical discontinuity in the care continuum, where the provider who managed the delivery does not systematically ensure postpartum follow-up during the highest-risk period. This likely reflects task delegation patterns where more experienced/qualified staff monitor postpartum while junior staff are reassigned, but raises concerns about accountability. The significant association between seniority and monitoring (χ² = 24.844, p &lt; 0.05) strongly suggests that experience, perhaps more than diploma, determines who remains at the patient's bedside postpartum. Badiane (2019) similarly found that experience improves clinical rigor, but cautioned that without continuing education, experience alone does not guarantee optimal quality.</w:t>
      </w:r>
    </w:p>
    <w:p w14:paraId="5D9A6D2D"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4.4. Attitudes and Health Education Gap</w:t>
      </w:r>
    </w:p>
    <w:p w14:paraId="085B3BC1"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Positive attitudes—respect for patient choice (21.4%), interdisciplinary collaboration (18.6%), and empathy (17.1%)—align with WHO's (2019) patient-centered care model. However, the very low rate of health education delivery (8.6%) represents a major missed opportunity. As Mboma (2017) noted, postnatal education is a fundamental pillar of complication prevention and maternal mortality reduction. This gap may be explained by the high workload identified as the main challenge (24.3%), as education is often the first task sacrificed under time pressure.</w:t>
      </w:r>
    </w:p>
    <w:p w14:paraId="2F101DE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4.5. Role of Education and Experience</w:t>
      </w:r>
    </w:p>
    <w:p w14:paraId="1856EE26"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The strong statistical associations confirmed our hypotheses: higher education levels (L2 and Doctorate) were consistently associated with better monitoring practices and complication knowledge. Mukeba (2021) similarly demonstrated that obstetric competence in the DRC correlates strongly with initial training level. Likewise, seniority (≥11 years) was a powerful independent predictor of monitoring practice, knowledge, and attitude. This supports Bandura's social learning theory: clinical competence in postpartum monitoring is acquired not only through formal education but through repeated field experience and observation of expert models. However, as Tshibanda (2019) noted, without structured mentorship and continuing education, experience alone may lead to routinization rather than excellence.</w:t>
      </w:r>
    </w:p>
    <w:p w14:paraId="59FADE2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4.6. Limitations</w:t>
      </w:r>
    </w:p>
    <w:p w14:paraId="082865EB"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lastRenderedPageBreak/>
        <w:t>This study has several limitations. The convenience sampling limits generalizability beyond the study sample. Self-reported data may be subject to social desirability bias. The cross-sectional design precludes causal inference. Direct observation of practices was not performed, and unmeasured variables (e.g., availability of protocols, supervision quality, access to recent training) may confound associations.</w:t>
      </w:r>
    </w:p>
    <w:p w14:paraId="10DA9841"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5. Conclusion</w:t>
      </w:r>
    </w:p>
    <w:p w14:paraId="2D0FABB7"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This study demonstrates that healthcare providers in Mbandaka possess generally satisfactory knowledge (85.7% aware of complications) and positive attitudes (respect, collaboration, empathy) toward immediate postpartum monitoring. However, significant gaps persist: nearly one-third (28.6%) do not systematically monitor postpartum patients, and health education is delivered by only 8.6% of providers. High workload (24.3%) is the main perceived barrier.</w:t>
      </w:r>
    </w:p>
    <w:p w14:paraId="4D3B448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Education level and professional seniority are the key determinants of monitoring quality. Providers with L2/Doctorate levels and ≥11 years of seniority consistently perform better across all dimensions. All four research hypotheses were confirmed: significant associations exist between structure (education/seniority) and process (practice, knowledge, attitude), and high workload is a major obstacle.</w:t>
      </w:r>
    </w:p>
    <w:p w14:paraId="75BFC51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To improve immediate postpartum monitoring in Mbandaka, we recommend: (1) targeted continuous training on postpartum complications and health education skills; (2) development and dissemination of standardized monitoring protocols with checklists; (3) supportive supervision with mentoring for junior providers; (4) workload reduction through additional staffing and task reorganization; (5) integration of communication and ethics modules into continuing education; and (6) implementation of a monitoring-evaluation system with performance indicators. These interventions are essential to reducing preventable maternal mortality in Mbandaka, consistent with Sustainable Development Goal 3.1.</w:t>
      </w:r>
    </w:p>
    <w:p w14:paraId="58F97825" w14:textId="77777777" w:rsidR="00AB0514" w:rsidRPr="00443957" w:rsidRDefault="00044F5D" w:rsidP="00AB0514">
      <w:pPr>
        <w:shd w:val="clear" w:color="auto" w:fill="FFFFFF"/>
        <w:spacing w:before="480" w:after="480" w:line="420" w:lineRule="atLeast"/>
        <w:rPr>
          <w:rFonts w:ascii="Times New Roman" w:eastAsia="Times New Roman" w:hAnsi="Times New Roman" w:cs="Times New Roman"/>
          <w:color w:val="0F1115"/>
          <w:kern w:val="0"/>
          <w14:ligatures w14:val="none"/>
        </w:rPr>
      </w:pPr>
      <w:r w:rsidRPr="00044F5D">
        <w:rPr>
          <w:rFonts w:ascii="Times New Roman" w:eastAsia="Times New Roman" w:hAnsi="Times New Roman" w:cs="Times New Roman"/>
          <w:noProof/>
          <w:color w:val="0F1115"/>
          <w:kern w:val="0"/>
        </w:rPr>
        <w:pict w14:anchorId="5B706B47">
          <v:rect id="_x0000_i1025" alt="" style="width:468pt;height:.05pt;mso-width-percent:0;mso-height-percent:0;mso-width-percent:0;mso-height-percent:0" o:hralign="center" o:hrstd="t" o:hr="t" fillcolor="#a0a0a0" stroked="f"/>
        </w:pict>
      </w:r>
    </w:p>
    <w:p w14:paraId="75830D76"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b/>
          <w:bCs/>
          <w:color w:val="0F1115"/>
          <w:kern w:val="0"/>
          <w14:ligatures w14:val="none"/>
        </w:rPr>
        <w:t>References</w:t>
      </w:r>
    </w:p>
    <w:p w14:paraId="3FA868E5"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lastRenderedPageBreak/>
        <w:t>Badiane, M. (2019). </w:t>
      </w:r>
      <w:r w:rsidRPr="00443957">
        <w:rPr>
          <w:rFonts w:ascii="Times New Roman" w:eastAsia="Times New Roman" w:hAnsi="Times New Roman" w:cs="Times New Roman"/>
          <w:i/>
          <w:iCs/>
          <w:color w:val="0F1115"/>
          <w:kern w:val="0"/>
          <w14:ligatures w14:val="none"/>
        </w:rPr>
        <w:t>Compétences des prestataires de soins et qualité de la surveillance obstétricale dans les hôpitaux publics du Sénégal</w:t>
      </w:r>
      <w:r w:rsidRPr="00443957">
        <w:rPr>
          <w:rFonts w:ascii="Times New Roman" w:eastAsia="Times New Roman" w:hAnsi="Times New Roman" w:cs="Times New Roman"/>
          <w:color w:val="0F1115"/>
          <w:kern w:val="0"/>
          <w14:ligatures w14:val="none"/>
        </w:rPr>
        <w:t> [Unpublished doctoral dissertation]. Université Cheikh Anta Diop.</w:t>
      </w:r>
    </w:p>
    <w:p w14:paraId="3ACCEAC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Bisimwa, J., Kalume, M., &amp; Mukuna, S. (2021). Connaissances et attitudes des sages-femmes dans la prévention des complications post-partum en RDC. </w:t>
      </w:r>
      <w:r w:rsidRPr="00443957">
        <w:rPr>
          <w:rFonts w:ascii="Times New Roman" w:eastAsia="Times New Roman" w:hAnsi="Times New Roman" w:cs="Times New Roman"/>
          <w:i/>
          <w:iCs/>
          <w:color w:val="0F1115"/>
          <w:kern w:val="0"/>
          <w14:ligatures w14:val="none"/>
        </w:rPr>
        <w:t>Revue Congolaise de Santé Publique</w:t>
      </w:r>
      <w:r w:rsidRPr="00443957">
        <w:rPr>
          <w:rFonts w:ascii="Times New Roman" w:eastAsia="Times New Roman" w:hAnsi="Times New Roman" w:cs="Times New Roman"/>
          <w:color w:val="0F1115"/>
          <w:kern w:val="0"/>
          <w14:ligatures w14:val="none"/>
        </w:rPr>
        <w:t>, 13(2), 45–56.</w:t>
      </w:r>
    </w:p>
    <w:p w14:paraId="625819CD"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Donabedian, A. (1980). </w:t>
      </w:r>
      <w:r w:rsidRPr="00443957">
        <w:rPr>
          <w:rFonts w:ascii="Times New Roman" w:eastAsia="Times New Roman" w:hAnsi="Times New Roman" w:cs="Times New Roman"/>
          <w:i/>
          <w:iCs/>
          <w:color w:val="0F1115"/>
          <w:kern w:val="0"/>
          <w14:ligatures w14:val="none"/>
        </w:rPr>
        <w:t>Explorations in quality assessment and monitoring, Vol. 1: The definition of quality and approaches to its assessment</w:t>
      </w:r>
      <w:r w:rsidRPr="00443957">
        <w:rPr>
          <w:rFonts w:ascii="Times New Roman" w:eastAsia="Times New Roman" w:hAnsi="Times New Roman" w:cs="Times New Roman"/>
          <w:color w:val="0F1115"/>
          <w:kern w:val="0"/>
          <w14:ligatures w14:val="none"/>
        </w:rPr>
        <w:t>. Health Administration Press.</w:t>
      </w:r>
    </w:p>
    <w:p w14:paraId="68E2C62E"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Hogan, D. R., Stevens, G. A., &amp; L'Engle, K. (2021). Provider knowledge and quality of care in postpartum surveillance: A multi-country analysis. </w:t>
      </w:r>
      <w:r w:rsidRPr="00443957">
        <w:rPr>
          <w:rFonts w:ascii="Times New Roman" w:eastAsia="Times New Roman" w:hAnsi="Times New Roman" w:cs="Times New Roman"/>
          <w:i/>
          <w:iCs/>
          <w:color w:val="0F1115"/>
          <w:kern w:val="0"/>
          <w14:ligatures w14:val="none"/>
        </w:rPr>
        <w:t>The Lancet Global Health</w:t>
      </w:r>
      <w:r w:rsidRPr="00443957">
        <w:rPr>
          <w:rFonts w:ascii="Times New Roman" w:eastAsia="Times New Roman" w:hAnsi="Times New Roman" w:cs="Times New Roman"/>
          <w:color w:val="0F1115"/>
          <w:kern w:val="0"/>
          <w14:ligatures w14:val="none"/>
        </w:rPr>
        <w:t>, 9(3), e345–e355.</w:t>
      </w:r>
    </w:p>
    <w:p w14:paraId="5ED9C473"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Kandolo, P., &amp; Mukeba, J. (2021). Profil sociodémographique du personnel infirmier en milieu obstétrical à Kinshasa. </w:t>
      </w:r>
      <w:r w:rsidRPr="00443957">
        <w:rPr>
          <w:rFonts w:ascii="Times New Roman" w:eastAsia="Times New Roman" w:hAnsi="Times New Roman" w:cs="Times New Roman"/>
          <w:i/>
          <w:iCs/>
          <w:color w:val="0F1115"/>
          <w:kern w:val="0"/>
          <w14:ligatures w14:val="none"/>
        </w:rPr>
        <w:t>Congo Santé et Développement</w:t>
      </w:r>
      <w:r w:rsidRPr="00443957">
        <w:rPr>
          <w:rFonts w:ascii="Times New Roman" w:eastAsia="Times New Roman" w:hAnsi="Times New Roman" w:cs="Times New Roman"/>
          <w:color w:val="0F1115"/>
          <w:kern w:val="0"/>
          <w14:ligatures w14:val="none"/>
        </w:rPr>
        <w:t>, 9(3), 77–84.</w:t>
      </w:r>
    </w:p>
    <w:p w14:paraId="635265A3"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Kawaya, L. (2020). </w:t>
      </w:r>
      <w:r w:rsidRPr="00443957">
        <w:rPr>
          <w:rFonts w:ascii="Times New Roman" w:eastAsia="Times New Roman" w:hAnsi="Times New Roman" w:cs="Times New Roman"/>
          <w:i/>
          <w:iCs/>
          <w:color w:val="0F1115"/>
          <w:kern w:val="0"/>
          <w14:ligatures w14:val="none"/>
        </w:rPr>
        <w:t>Évaluation de la pratique des soins postnatals dans les structures sanitaires de Kisangani</w:t>
      </w:r>
      <w:r w:rsidRPr="00443957">
        <w:rPr>
          <w:rFonts w:ascii="Times New Roman" w:eastAsia="Times New Roman" w:hAnsi="Times New Roman" w:cs="Times New Roman"/>
          <w:color w:val="0F1115"/>
          <w:kern w:val="0"/>
          <w14:ligatures w14:val="none"/>
        </w:rPr>
        <w:t> [Master's thesis]. Université de Kisangani.</w:t>
      </w:r>
    </w:p>
    <w:p w14:paraId="6B1213B3"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Maslow, A. H. (1943). A theory of human motivation. </w:t>
      </w:r>
      <w:r w:rsidRPr="00443957">
        <w:rPr>
          <w:rFonts w:ascii="Times New Roman" w:eastAsia="Times New Roman" w:hAnsi="Times New Roman" w:cs="Times New Roman"/>
          <w:i/>
          <w:iCs/>
          <w:color w:val="0F1115"/>
          <w:kern w:val="0"/>
          <w14:ligatures w14:val="none"/>
        </w:rPr>
        <w:t>Psychological Review</w:t>
      </w:r>
      <w:r w:rsidRPr="00443957">
        <w:rPr>
          <w:rFonts w:ascii="Times New Roman" w:eastAsia="Times New Roman" w:hAnsi="Times New Roman" w:cs="Times New Roman"/>
          <w:color w:val="0F1115"/>
          <w:kern w:val="0"/>
          <w14:ligatures w14:val="none"/>
        </w:rPr>
        <w:t>, 50(4), 370–396.</w:t>
      </w:r>
    </w:p>
    <w:p w14:paraId="2F8AB30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Mboma, F. (2017). La communication thérapeutique et la satisfaction maternelle dans les maternités congolaises. </w:t>
      </w:r>
      <w:r w:rsidRPr="00443957">
        <w:rPr>
          <w:rFonts w:ascii="Times New Roman" w:eastAsia="Times New Roman" w:hAnsi="Times New Roman" w:cs="Times New Roman"/>
          <w:i/>
          <w:iCs/>
          <w:color w:val="0F1115"/>
          <w:kern w:val="0"/>
          <w14:ligatures w14:val="none"/>
        </w:rPr>
        <w:t>Santé et Société</w:t>
      </w:r>
      <w:r w:rsidRPr="00443957">
        <w:rPr>
          <w:rFonts w:ascii="Times New Roman" w:eastAsia="Times New Roman" w:hAnsi="Times New Roman" w:cs="Times New Roman"/>
          <w:color w:val="0F1115"/>
          <w:kern w:val="0"/>
          <w14:ligatures w14:val="none"/>
        </w:rPr>
        <w:t>, 5(1), 14–23.</w:t>
      </w:r>
    </w:p>
    <w:p w14:paraId="77034798"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Ministère de la Santé Publique, Hygiène et Prévention (RDC). (2020). *Enquête Démographique et de Santé (EDS-RDC) 2019-2020*. MSP.</w:t>
      </w:r>
    </w:p>
    <w:p w14:paraId="53DE7E90"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Mukeba, J. (2021). Évaluation des compétences obstétricales du personnel paramédical en RDC. </w:t>
      </w:r>
      <w:r w:rsidRPr="00443957">
        <w:rPr>
          <w:rFonts w:ascii="Times New Roman" w:eastAsia="Times New Roman" w:hAnsi="Times New Roman" w:cs="Times New Roman"/>
          <w:i/>
          <w:iCs/>
          <w:color w:val="0F1115"/>
          <w:kern w:val="0"/>
          <w14:ligatures w14:val="none"/>
        </w:rPr>
        <w:t>Revue Africaine de Médecine et Santé Publique</w:t>
      </w:r>
      <w:r w:rsidRPr="00443957">
        <w:rPr>
          <w:rFonts w:ascii="Times New Roman" w:eastAsia="Times New Roman" w:hAnsi="Times New Roman" w:cs="Times New Roman"/>
          <w:color w:val="0F1115"/>
          <w:kern w:val="0"/>
          <w14:ligatures w14:val="none"/>
        </w:rPr>
        <w:t>, 11(2), 63–74.</w:t>
      </w:r>
    </w:p>
    <w:p w14:paraId="19AA4D2E"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Ngoy, C., Tshimanga, E., &amp; Lumbala, P. (2020). Formation et performance du personnel de santé dans les provinces congolaises. </w:t>
      </w:r>
      <w:r w:rsidRPr="00443957">
        <w:rPr>
          <w:rFonts w:ascii="Times New Roman" w:eastAsia="Times New Roman" w:hAnsi="Times New Roman" w:cs="Times New Roman"/>
          <w:i/>
          <w:iCs/>
          <w:color w:val="0F1115"/>
          <w:kern w:val="0"/>
          <w14:ligatures w14:val="none"/>
        </w:rPr>
        <w:t>Santé Publique Afrique</w:t>
      </w:r>
      <w:r w:rsidRPr="00443957">
        <w:rPr>
          <w:rFonts w:ascii="Times New Roman" w:eastAsia="Times New Roman" w:hAnsi="Times New Roman" w:cs="Times New Roman"/>
          <w:color w:val="0F1115"/>
          <w:kern w:val="0"/>
          <w14:ligatures w14:val="none"/>
        </w:rPr>
        <w:t>, 8(4), 28–39.</w:t>
      </w:r>
    </w:p>
    <w:p w14:paraId="355FA2A5"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lastRenderedPageBreak/>
        <w:t>Organisation Mondiale de la Santé. (2022). </w:t>
      </w:r>
      <w:r w:rsidRPr="00443957">
        <w:rPr>
          <w:rFonts w:ascii="Times New Roman" w:eastAsia="Times New Roman" w:hAnsi="Times New Roman" w:cs="Times New Roman"/>
          <w:i/>
          <w:iCs/>
          <w:color w:val="0F1115"/>
          <w:kern w:val="0"/>
          <w14:ligatures w14:val="none"/>
        </w:rPr>
        <w:t>Recommandations de l'OMS pour les soins postnatals de la mère et du nouveau-né</w:t>
      </w:r>
      <w:r w:rsidRPr="00443957">
        <w:rPr>
          <w:rFonts w:ascii="Times New Roman" w:eastAsia="Times New Roman" w:hAnsi="Times New Roman" w:cs="Times New Roman"/>
          <w:color w:val="0F1115"/>
          <w:kern w:val="0"/>
          <w14:ligatures w14:val="none"/>
        </w:rPr>
        <w:t>. WHO.</w:t>
      </w:r>
    </w:p>
    <w:p w14:paraId="30EF71FA"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Organisation Mondiale de la Santé. (2023). </w:t>
      </w:r>
      <w:r w:rsidRPr="00443957">
        <w:rPr>
          <w:rFonts w:ascii="Times New Roman" w:eastAsia="Times New Roman" w:hAnsi="Times New Roman" w:cs="Times New Roman"/>
          <w:i/>
          <w:iCs/>
          <w:color w:val="0F1115"/>
          <w:kern w:val="0"/>
          <w14:ligatures w14:val="none"/>
        </w:rPr>
        <w:t>Rapport mondial sur la santé maternelle 2023</w:t>
      </w:r>
      <w:r w:rsidRPr="00443957">
        <w:rPr>
          <w:rFonts w:ascii="Times New Roman" w:eastAsia="Times New Roman" w:hAnsi="Times New Roman" w:cs="Times New Roman"/>
          <w:color w:val="0F1115"/>
          <w:kern w:val="0"/>
          <w14:ligatures w14:val="none"/>
        </w:rPr>
        <w:t>. WHO.</w:t>
      </w:r>
    </w:p>
    <w:p w14:paraId="6CF45C15"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Say, L., Chou, D., Gemmill, A., Tunçalp, Ö., Moller, A. B., Daniels, J., … &amp; Alkema, L. (2014). Global causes of maternal death: A WHO systematic analysis. </w:t>
      </w:r>
      <w:r w:rsidRPr="00443957">
        <w:rPr>
          <w:rFonts w:ascii="Times New Roman" w:eastAsia="Times New Roman" w:hAnsi="Times New Roman" w:cs="Times New Roman"/>
          <w:i/>
          <w:iCs/>
          <w:color w:val="0F1115"/>
          <w:kern w:val="0"/>
          <w14:ligatures w14:val="none"/>
        </w:rPr>
        <w:t>The Lancet Global Health</w:t>
      </w:r>
      <w:r w:rsidRPr="00443957">
        <w:rPr>
          <w:rFonts w:ascii="Times New Roman" w:eastAsia="Times New Roman" w:hAnsi="Times New Roman" w:cs="Times New Roman"/>
          <w:color w:val="0F1115"/>
          <w:kern w:val="0"/>
          <w14:ligatures w14:val="none"/>
        </w:rPr>
        <w:t>, 2(6), e323–e333.</w:t>
      </w:r>
    </w:p>
    <w:p w14:paraId="757D90C7"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Tshibanda, M. (2019). L'influence de l'expérience professionnelle sur la qualité des soins obstétricaux en RDC. </w:t>
      </w:r>
      <w:r w:rsidRPr="00443957">
        <w:rPr>
          <w:rFonts w:ascii="Times New Roman" w:eastAsia="Times New Roman" w:hAnsi="Times New Roman" w:cs="Times New Roman"/>
          <w:i/>
          <w:iCs/>
          <w:color w:val="0F1115"/>
          <w:kern w:val="0"/>
          <w14:ligatures w14:val="none"/>
        </w:rPr>
        <w:t>Journal de Santé Africaine</w:t>
      </w:r>
      <w:r w:rsidRPr="00443957">
        <w:rPr>
          <w:rFonts w:ascii="Times New Roman" w:eastAsia="Times New Roman" w:hAnsi="Times New Roman" w:cs="Times New Roman"/>
          <w:color w:val="0F1115"/>
          <w:kern w:val="0"/>
          <w14:ligatures w14:val="none"/>
        </w:rPr>
        <w:t>, 7(1), 33–42.</w:t>
      </w:r>
    </w:p>
    <w:p w14:paraId="6D282BEF"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UNFPA. (2022). </w:t>
      </w:r>
      <w:r w:rsidRPr="00443957">
        <w:rPr>
          <w:rFonts w:ascii="Times New Roman" w:eastAsia="Times New Roman" w:hAnsi="Times New Roman" w:cs="Times New Roman"/>
          <w:i/>
          <w:iCs/>
          <w:color w:val="0F1115"/>
          <w:kern w:val="0"/>
          <w14:ligatures w14:val="none"/>
        </w:rPr>
        <w:t>Renforcement des compétences en santé reproductive dans les zones rurales de la RDC</w:t>
      </w:r>
      <w:r w:rsidRPr="00443957">
        <w:rPr>
          <w:rFonts w:ascii="Times New Roman" w:eastAsia="Times New Roman" w:hAnsi="Times New Roman" w:cs="Times New Roman"/>
          <w:color w:val="0F1115"/>
          <w:kern w:val="0"/>
          <w14:ligatures w14:val="none"/>
        </w:rPr>
        <w:t>. UNFPA.</w:t>
      </w:r>
    </w:p>
    <w:p w14:paraId="392A6397" w14:textId="77777777" w:rsidR="00AB0514" w:rsidRPr="00443957" w:rsidRDefault="00AB0514" w:rsidP="00AB0514">
      <w:pPr>
        <w:shd w:val="clear" w:color="auto" w:fill="FFFFFF"/>
        <w:spacing w:before="240" w:after="240" w:line="420" w:lineRule="atLeast"/>
        <w:rPr>
          <w:rFonts w:ascii="Times New Roman" w:eastAsia="Times New Roman" w:hAnsi="Times New Roman" w:cs="Times New Roman"/>
          <w:color w:val="0F1115"/>
          <w:kern w:val="0"/>
          <w14:ligatures w14:val="none"/>
        </w:rPr>
      </w:pPr>
      <w:r w:rsidRPr="00443957">
        <w:rPr>
          <w:rFonts w:ascii="Times New Roman" w:eastAsia="Times New Roman" w:hAnsi="Times New Roman" w:cs="Times New Roman"/>
          <w:color w:val="0F1115"/>
          <w:kern w:val="0"/>
          <w14:ligatures w14:val="none"/>
        </w:rPr>
        <w:t>World Health Organization. (2019). </w:t>
      </w:r>
      <w:r w:rsidRPr="00443957">
        <w:rPr>
          <w:rFonts w:ascii="Times New Roman" w:eastAsia="Times New Roman" w:hAnsi="Times New Roman" w:cs="Times New Roman"/>
          <w:i/>
          <w:iCs/>
          <w:color w:val="0F1115"/>
          <w:kern w:val="0"/>
          <w14:ligatures w14:val="none"/>
        </w:rPr>
        <w:t>Patient-centred care and quality improvement in maternal health</w:t>
      </w:r>
      <w:r w:rsidRPr="00443957">
        <w:rPr>
          <w:rFonts w:ascii="Times New Roman" w:eastAsia="Times New Roman" w:hAnsi="Times New Roman" w:cs="Times New Roman"/>
          <w:color w:val="0F1115"/>
          <w:kern w:val="0"/>
          <w14:ligatures w14:val="none"/>
        </w:rPr>
        <w:t>. WHO.</w:t>
      </w:r>
    </w:p>
    <w:p w14:paraId="436EE364" w14:textId="77777777" w:rsidR="00AB0514" w:rsidRPr="00443957" w:rsidRDefault="00AB0514" w:rsidP="00AB0514">
      <w:pPr>
        <w:spacing w:after="0" w:line="240" w:lineRule="auto"/>
        <w:rPr>
          <w:rFonts w:ascii="Times New Roman" w:eastAsia="Times New Roman" w:hAnsi="Times New Roman" w:cs="Times New Roman"/>
          <w:kern w:val="0"/>
          <w14:ligatures w14:val="none"/>
        </w:rPr>
      </w:pPr>
    </w:p>
    <w:p w14:paraId="45301816" w14:textId="77777777" w:rsidR="00B41904" w:rsidRPr="00443957" w:rsidRDefault="00B41904">
      <w:pPr>
        <w:rPr>
          <w:rFonts w:ascii="Times New Roman" w:hAnsi="Times New Roman" w:cs="Times New Roman"/>
        </w:rPr>
      </w:pPr>
    </w:p>
    <w:sectPr w:rsidR="00B41904" w:rsidRPr="00443957">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3DB0" w14:textId="77777777" w:rsidR="00044F5D" w:rsidRDefault="00044F5D" w:rsidP="00443957">
      <w:pPr>
        <w:spacing w:after="0" w:line="240" w:lineRule="auto"/>
      </w:pPr>
      <w:r>
        <w:separator/>
      </w:r>
    </w:p>
  </w:endnote>
  <w:endnote w:type="continuationSeparator" w:id="0">
    <w:p w14:paraId="542E3EF1" w14:textId="77777777" w:rsidR="00044F5D" w:rsidRDefault="00044F5D" w:rsidP="00443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458495"/>
      <w:docPartObj>
        <w:docPartGallery w:val="Page Numbers (Bottom of Page)"/>
        <w:docPartUnique/>
      </w:docPartObj>
    </w:sdtPr>
    <w:sdtContent>
      <w:p w14:paraId="1C40F306" w14:textId="63D91733" w:rsidR="00443957" w:rsidRDefault="00443957" w:rsidP="001C04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C62FAEC" w14:textId="77777777" w:rsidR="00443957" w:rsidRDefault="00443957" w:rsidP="0044395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1767420"/>
      <w:docPartObj>
        <w:docPartGallery w:val="Page Numbers (Bottom of Page)"/>
        <w:docPartUnique/>
      </w:docPartObj>
    </w:sdtPr>
    <w:sdtContent>
      <w:p w14:paraId="6FDCE6BC" w14:textId="2BD56C23" w:rsidR="00443957" w:rsidRDefault="00443957" w:rsidP="001C04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6B246FAB" w14:textId="77777777" w:rsidR="00443957" w:rsidRDefault="00443957" w:rsidP="0044395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C5753" w14:textId="77777777" w:rsidR="00044F5D" w:rsidRDefault="00044F5D" w:rsidP="00443957">
      <w:pPr>
        <w:spacing w:after="0" w:line="240" w:lineRule="auto"/>
      </w:pPr>
      <w:r>
        <w:separator/>
      </w:r>
    </w:p>
  </w:footnote>
  <w:footnote w:type="continuationSeparator" w:id="0">
    <w:p w14:paraId="7F35101F" w14:textId="77777777" w:rsidR="00044F5D" w:rsidRDefault="00044F5D" w:rsidP="004439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14"/>
    <w:rsid w:val="00044F5D"/>
    <w:rsid w:val="002C4B73"/>
    <w:rsid w:val="003F70DD"/>
    <w:rsid w:val="00443957"/>
    <w:rsid w:val="008F6EA0"/>
    <w:rsid w:val="009E34A6"/>
    <w:rsid w:val="00AB0514"/>
    <w:rsid w:val="00AC0C13"/>
    <w:rsid w:val="00B4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051CF"/>
  <w15:chartTrackingRefBased/>
  <w15:docId w15:val="{43756740-B7D5-8D40-9F57-C02B4442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5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5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5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5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514"/>
    <w:rPr>
      <w:rFonts w:eastAsiaTheme="majorEastAsia" w:cstheme="majorBidi"/>
      <w:color w:val="272727" w:themeColor="text1" w:themeTint="D8"/>
    </w:rPr>
  </w:style>
  <w:style w:type="paragraph" w:styleId="Title">
    <w:name w:val="Title"/>
    <w:basedOn w:val="Normal"/>
    <w:next w:val="Normal"/>
    <w:link w:val="TitleChar"/>
    <w:uiPriority w:val="10"/>
    <w:qFormat/>
    <w:rsid w:val="00AB0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5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514"/>
    <w:pPr>
      <w:spacing w:before="160"/>
      <w:jc w:val="center"/>
    </w:pPr>
    <w:rPr>
      <w:i/>
      <w:iCs/>
      <w:color w:val="404040" w:themeColor="text1" w:themeTint="BF"/>
    </w:rPr>
  </w:style>
  <w:style w:type="character" w:customStyle="1" w:styleId="QuoteChar">
    <w:name w:val="Quote Char"/>
    <w:basedOn w:val="DefaultParagraphFont"/>
    <w:link w:val="Quote"/>
    <w:uiPriority w:val="29"/>
    <w:rsid w:val="00AB0514"/>
    <w:rPr>
      <w:i/>
      <w:iCs/>
      <w:color w:val="404040" w:themeColor="text1" w:themeTint="BF"/>
    </w:rPr>
  </w:style>
  <w:style w:type="paragraph" w:styleId="ListParagraph">
    <w:name w:val="List Paragraph"/>
    <w:basedOn w:val="Normal"/>
    <w:uiPriority w:val="34"/>
    <w:qFormat/>
    <w:rsid w:val="00AB0514"/>
    <w:pPr>
      <w:ind w:left="720"/>
      <w:contextualSpacing/>
    </w:pPr>
  </w:style>
  <w:style w:type="character" w:styleId="IntenseEmphasis">
    <w:name w:val="Intense Emphasis"/>
    <w:basedOn w:val="DefaultParagraphFont"/>
    <w:uiPriority w:val="21"/>
    <w:qFormat/>
    <w:rsid w:val="00AB0514"/>
    <w:rPr>
      <w:i/>
      <w:iCs/>
      <w:color w:val="0F4761" w:themeColor="accent1" w:themeShade="BF"/>
    </w:rPr>
  </w:style>
  <w:style w:type="paragraph" w:styleId="IntenseQuote">
    <w:name w:val="Intense Quote"/>
    <w:basedOn w:val="Normal"/>
    <w:next w:val="Normal"/>
    <w:link w:val="IntenseQuoteChar"/>
    <w:uiPriority w:val="30"/>
    <w:qFormat/>
    <w:rsid w:val="00AB0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514"/>
    <w:rPr>
      <w:i/>
      <w:iCs/>
      <w:color w:val="0F4761" w:themeColor="accent1" w:themeShade="BF"/>
    </w:rPr>
  </w:style>
  <w:style w:type="character" w:styleId="IntenseReference">
    <w:name w:val="Intense Reference"/>
    <w:basedOn w:val="DefaultParagraphFont"/>
    <w:uiPriority w:val="32"/>
    <w:qFormat/>
    <w:rsid w:val="00AB0514"/>
    <w:rPr>
      <w:b/>
      <w:bCs/>
      <w:smallCaps/>
      <w:color w:val="0F4761" w:themeColor="accent1" w:themeShade="BF"/>
      <w:spacing w:val="5"/>
    </w:rPr>
  </w:style>
  <w:style w:type="paragraph" w:customStyle="1" w:styleId="ds-markdown-paragraph">
    <w:name w:val="ds-markdown-paragraph"/>
    <w:basedOn w:val="Normal"/>
    <w:rsid w:val="00AB051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B0514"/>
    <w:rPr>
      <w:b/>
      <w:bCs/>
    </w:rPr>
  </w:style>
  <w:style w:type="character" w:styleId="Emphasis">
    <w:name w:val="Emphasis"/>
    <w:basedOn w:val="DefaultParagraphFont"/>
    <w:uiPriority w:val="20"/>
    <w:qFormat/>
    <w:rsid w:val="00AB0514"/>
    <w:rPr>
      <w:i/>
      <w:iCs/>
    </w:rPr>
  </w:style>
  <w:style w:type="paragraph" w:styleId="Footer">
    <w:name w:val="footer"/>
    <w:basedOn w:val="Normal"/>
    <w:link w:val="FooterChar"/>
    <w:uiPriority w:val="99"/>
    <w:unhideWhenUsed/>
    <w:rsid w:val="00443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957"/>
  </w:style>
  <w:style w:type="character" w:styleId="PageNumber">
    <w:name w:val="page number"/>
    <w:basedOn w:val="DefaultParagraphFont"/>
    <w:uiPriority w:val="99"/>
    <w:semiHidden/>
    <w:unhideWhenUsed/>
    <w:rsid w:val="00443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3288</Words>
  <Characters>18743</Characters>
  <Application>Microsoft Office Word</Application>
  <DocSecurity>0</DocSecurity>
  <Lines>156</Lines>
  <Paragraphs>43</Paragraphs>
  <ScaleCrop>false</ScaleCrop>
  <Company/>
  <LinksUpToDate>false</LinksUpToDate>
  <CharactersWithSpaces>21988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2026-05-15T07:27:00Z</dcterms:created>
  <dcterms:modified xsi:type="dcterms:W3CDTF">2026-05-15T07:32:00Z</dcterms:modified>
</cp:coreProperties>
</file>