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004CC" w14:textId="1810C22A" w:rsidR="00094EE9" w:rsidRPr="00D9139F" w:rsidRDefault="00094EE9" w:rsidP="00094EE9">
      <w:pPr>
        <w:shd w:val="clear" w:color="auto" w:fill="FFFFFF"/>
        <w:spacing w:before="240" w:after="240" w:line="420" w:lineRule="atLeast"/>
        <w:rPr>
          <w:rFonts w:ascii="Times New Roman" w:eastAsia="Times New Roman" w:hAnsi="Times New Roman" w:cs="Times New Roman"/>
          <w:b/>
          <w:bCs/>
          <w:color w:val="0F1115"/>
          <w:kern w:val="0"/>
          <w:sz w:val="28"/>
          <w:szCs w:val="28"/>
          <w14:ligatures w14:val="none"/>
        </w:rPr>
      </w:pPr>
      <w:r w:rsidRPr="00D9139F">
        <w:rPr>
          <w:rFonts w:ascii="Times New Roman" w:eastAsia="Times New Roman" w:hAnsi="Times New Roman" w:cs="Times New Roman"/>
          <w:b/>
          <w:bCs/>
          <w:color w:val="0F1115"/>
          <w:kern w:val="0"/>
          <w:sz w:val="28"/>
          <w:szCs w:val="28"/>
          <w14:ligatures w14:val="none"/>
        </w:rPr>
        <w:t xml:space="preserve">Knowledge, Attitudes, and Practices of Healthcare Providers Regarding Twin Delivery Management at </w:t>
      </w:r>
      <w:proofErr w:type="spellStart"/>
      <w:r w:rsidRPr="00D9139F">
        <w:rPr>
          <w:rFonts w:ascii="Times New Roman" w:eastAsia="Times New Roman" w:hAnsi="Times New Roman" w:cs="Times New Roman"/>
          <w:b/>
          <w:bCs/>
          <w:color w:val="0F1115"/>
          <w:kern w:val="0"/>
          <w:sz w:val="28"/>
          <w:szCs w:val="28"/>
          <w14:ligatures w14:val="none"/>
        </w:rPr>
        <w:t>Wangata</w:t>
      </w:r>
      <w:proofErr w:type="spellEnd"/>
      <w:r w:rsidRPr="00D9139F">
        <w:rPr>
          <w:rFonts w:ascii="Times New Roman" w:eastAsia="Times New Roman" w:hAnsi="Times New Roman" w:cs="Times New Roman"/>
          <w:b/>
          <w:bCs/>
          <w:color w:val="0F1115"/>
          <w:kern w:val="0"/>
          <w:sz w:val="28"/>
          <w:szCs w:val="28"/>
          <w14:ligatures w14:val="none"/>
        </w:rPr>
        <w:t xml:space="preserve"> General Referral Hospital, </w:t>
      </w:r>
      <w:proofErr w:type="spellStart"/>
      <w:r w:rsidRPr="00D9139F">
        <w:rPr>
          <w:rFonts w:ascii="Times New Roman" w:eastAsia="Times New Roman" w:hAnsi="Times New Roman" w:cs="Times New Roman"/>
          <w:b/>
          <w:bCs/>
          <w:color w:val="0F1115"/>
          <w:kern w:val="0"/>
          <w:sz w:val="28"/>
          <w:szCs w:val="28"/>
          <w14:ligatures w14:val="none"/>
        </w:rPr>
        <w:t>Mbandaka</w:t>
      </w:r>
      <w:proofErr w:type="spellEnd"/>
      <w:r w:rsidRPr="00D9139F">
        <w:rPr>
          <w:rFonts w:ascii="Times New Roman" w:eastAsia="Times New Roman" w:hAnsi="Times New Roman" w:cs="Times New Roman"/>
          <w:b/>
          <w:bCs/>
          <w:color w:val="0F1115"/>
          <w:kern w:val="0"/>
          <w:sz w:val="28"/>
          <w:szCs w:val="28"/>
          <w14:ligatures w14:val="none"/>
        </w:rPr>
        <w:t>, Democratic Republic of the Congo</w:t>
      </w:r>
    </w:p>
    <w:p w14:paraId="25F4C713" w14:textId="747EDE6C"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Authors:</w:t>
      </w:r>
      <w:r w:rsidRPr="00D9139F">
        <w:rPr>
          <w:rFonts w:ascii="Times New Roman" w:eastAsia="Times New Roman" w:hAnsi="Times New Roman" w:cs="Times New Roman"/>
          <w:color w:val="0F1115"/>
          <w:kern w:val="0"/>
          <w14:ligatures w14:val="none"/>
        </w:rPr>
        <w:t xml:space="preserve"> Aminata </w:t>
      </w:r>
      <w:proofErr w:type="spellStart"/>
      <w:r w:rsidRPr="00D9139F">
        <w:rPr>
          <w:rFonts w:ascii="Times New Roman" w:eastAsia="Times New Roman" w:hAnsi="Times New Roman" w:cs="Times New Roman"/>
          <w:color w:val="0F1115"/>
          <w:kern w:val="0"/>
          <w14:ligatures w14:val="none"/>
        </w:rPr>
        <w:t>Make</w:t>
      </w:r>
      <w:r w:rsidR="00D9139F">
        <w:rPr>
          <w:rFonts w:ascii="Times New Roman" w:eastAsia="Times New Roman" w:hAnsi="Times New Roman" w:cs="Times New Roman"/>
          <w:color w:val="0F1115"/>
          <w:kern w:val="0"/>
          <w14:ligatures w14:val="none"/>
        </w:rPr>
        <w:t>n</w:t>
      </w:r>
      <w:r w:rsidRPr="00D9139F">
        <w:rPr>
          <w:rFonts w:ascii="Times New Roman" w:eastAsia="Times New Roman" w:hAnsi="Times New Roman" w:cs="Times New Roman"/>
          <w:color w:val="0F1115"/>
          <w:kern w:val="0"/>
          <w14:ligatures w14:val="none"/>
        </w:rPr>
        <w:t>ge</w:t>
      </w:r>
      <w:proofErr w:type="spellEnd"/>
      <w:r w:rsidRPr="00D9139F">
        <w:rPr>
          <w:rFonts w:ascii="Times New Roman" w:eastAsia="Times New Roman" w:hAnsi="Times New Roman" w:cs="Times New Roman"/>
          <w:color w:val="0F1115"/>
          <w:kern w:val="0"/>
          <w14:ligatures w14:val="none"/>
        </w:rPr>
        <w:t xml:space="preserve"> Malebo¹, Prof. </w:t>
      </w:r>
      <w:proofErr w:type="spellStart"/>
      <w:r w:rsidRPr="00D9139F">
        <w:rPr>
          <w:rFonts w:ascii="Times New Roman" w:eastAsia="Times New Roman" w:hAnsi="Times New Roman" w:cs="Times New Roman"/>
          <w:color w:val="0F1115"/>
          <w:kern w:val="0"/>
          <w14:ligatures w14:val="none"/>
        </w:rPr>
        <w:t>Bokulaka</w:t>
      </w:r>
      <w:proofErr w:type="spellEnd"/>
      <w:r w:rsidRPr="00D9139F">
        <w:rPr>
          <w:rFonts w:ascii="Times New Roman" w:eastAsia="Times New Roman" w:hAnsi="Times New Roman" w:cs="Times New Roman"/>
          <w:color w:val="0F1115"/>
          <w:kern w:val="0"/>
          <w14:ligatures w14:val="none"/>
        </w:rPr>
        <w:t xml:space="preserve"> Nsambi Embula², C.T. </w:t>
      </w:r>
      <w:proofErr w:type="spellStart"/>
      <w:r w:rsidRPr="00D9139F">
        <w:rPr>
          <w:rFonts w:ascii="Times New Roman" w:eastAsia="Times New Roman" w:hAnsi="Times New Roman" w:cs="Times New Roman"/>
          <w:color w:val="0F1115"/>
          <w:kern w:val="0"/>
          <w14:ligatures w14:val="none"/>
        </w:rPr>
        <w:t>Basoto</w:t>
      </w:r>
      <w:proofErr w:type="spellEnd"/>
      <w:r w:rsidRPr="00D9139F">
        <w:rPr>
          <w:rFonts w:ascii="Times New Roman" w:eastAsia="Times New Roman" w:hAnsi="Times New Roman" w:cs="Times New Roman"/>
          <w:color w:val="0F1115"/>
          <w:kern w:val="0"/>
          <w14:ligatures w14:val="none"/>
        </w:rPr>
        <w:t xml:space="preserve"> Lingegete³</w:t>
      </w:r>
    </w:p>
    <w:p w14:paraId="3A85E9E3"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Affiliations:</w:t>
      </w:r>
      <w:r w:rsidRPr="00D9139F">
        <w:rPr>
          <w:rFonts w:ascii="Times New Roman" w:eastAsia="Times New Roman" w:hAnsi="Times New Roman" w:cs="Times New Roman"/>
          <w:color w:val="0F1115"/>
          <w:kern w:val="0"/>
          <w14:ligatures w14:val="none"/>
        </w:rPr>
        <w:br/>
        <w:t xml:space="preserve">¹ Higher Institute of Medical Techniques (ISTM) of </w:t>
      </w:r>
      <w:proofErr w:type="spellStart"/>
      <w:r w:rsidRPr="00D9139F">
        <w:rPr>
          <w:rFonts w:ascii="Times New Roman" w:eastAsia="Times New Roman" w:hAnsi="Times New Roman" w:cs="Times New Roman"/>
          <w:color w:val="0F1115"/>
          <w:kern w:val="0"/>
          <w14:ligatures w14:val="none"/>
        </w:rPr>
        <w:t>Mbandaka</w:t>
      </w:r>
      <w:proofErr w:type="spellEnd"/>
      <w:r w:rsidRPr="00D9139F">
        <w:rPr>
          <w:rFonts w:ascii="Times New Roman" w:eastAsia="Times New Roman" w:hAnsi="Times New Roman" w:cs="Times New Roman"/>
          <w:color w:val="0F1115"/>
          <w:kern w:val="0"/>
          <w14:ligatures w14:val="none"/>
        </w:rPr>
        <w:t>, DRC</w:t>
      </w:r>
      <w:r w:rsidRPr="00D9139F">
        <w:rPr>
          <w:rFonts w:ascii="Times New Roman" w:eastAsia="Times New Roman" w:hAnsi="Times New Roman" w:cs="Times New Roman"/>
          <w:color w:val="0F1115"/>
          <w:kern w:val="0"/>
          <w14:ligatures w14:val="none"/>
        </w:rPr>
        <w:br/>
        <w:t>² Professor, Thesis Director</w:t>
      </w:r>
      <w:r w:rsidRPr="00D9139F">
        <w:rPr>
          <w:rFonts w:ascii="Times New Roman" w:eastAsia="Times New Roman" w:hAnsi="Times New Roman" w:cs="Times New Roman"/>
          <w:color w:val="0F1115"/>
          <w:kern w:val="0"/>
          <w14:ligatures w14:val="none"/>
        </w:rPr>
        <w:br/>
        <w:t>³ Head of Works, Thesis Supervisor</w:t>
      </w:r>
    </w:p>
    <w:p w14:paraId="3E6A75F8"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Corresponding Author:</w:t>
      </w:r>
      <w:r w:rsidRPr="00D9139F">
        <w:rPr>
          <w:rFonts w:ascii="Times New Roman" w:eastAsia="Times New Roman" w:hAnsi="Times New Roman" w:cs="Times New Roman"/>
          <w:color w:val="0F1115"/>
          <w:kern w:val="0"/>
          <w14:ligatures w14:val="none"/>
        </w:rPr>
        <w:t xml:space="preserve"> Aminata </w:t>
      </w:r>
      <w:proofErr w:type="spellStart"/>
      <w:r w:rsidRPr="00D9139F">
        <w:rPr>
          <w:rFonts w:ascii="Times New Roman" w:eastAsia="Times New Roman" w:hAnsi="Times New Roman" w:cs="Times New Roman"/>
          <w:color w:val="0F1115"/>
          <w:kern w:val="0"/>
          <w14:ligatures w14:val="none"/>
        </w:rPr>
        <w:t>Makege</w:t>
      </w:r>
      <w:proofErr w:type="spellEnd"/>
      <w:r w:rsidRPr="00D9139F">
        <w:rPr>
          <w:rFonts w:ascii="Times New Roman" w:eastAsia="Times New Roman" w:hAnsi="Times New Roman" w:cs="Times New Roman"/>
          <w:color w:val="0F1115"/>
          <w:kern w:val="0"/>
          <w14:ligatures w14:val="none"/>
        </w:rPr>
        <w:t xml:space="preserve"> Malebo, ISTM </w:t>
      </w:r>
      <w:proofErr w:type="spellStart"/>
      <w:r w:rsidRPr="00D9139F">
        <w:rPr>
          <w:rFonts w:ascii="Times New Roman" w:eastAsia="Times New Roman" w:hAnsi="Times New Roman" w:cs="Times New Roman"/>
          <w:color w:val="0F1115"/>
          <w:kern w:val="0"/>
          <w14:ligatures w14:val="none"/>
        </w:rPr>
        <w:t>Mbandaka</w:t>
      </w:r>
      <w:proofErr w:type="spellEnd"/>
      <w:r w:rsidRPr="00D9139F">
        <w:rPr>
          <w:rFonts w:ascii="Times New Roman" w:eastAsia="Times New Roman" w:hAnsi="Times New Roman" w:cs="Times New Roman"/>
          <w:color w:val="0F1115"/>
          <w:kern w:val="0"/>
          <w14:ligatures w14:val="none"/>
        </w:rPr>
        <w:t xml:space="preserve">, P.O. Box 99, </w:t>
      </w:r>
      <w:proofErr w:type="spellStart"/>
      <w:r w:rsidRPr="00D9139F">
        <w:rPr>
          <w:rFonts w:ascii="Times New Roman" w:eastAsia="Times New Roman" w:hAnsi="Times New Roman" w:cs="Times New Roman"/>
          <w:color w:val="0F1115"/>
          <w:kern w:val="0"/>
          <w14:ligatures w14:val="none"/>
        </w:rPr>
        <w:t>Mbandaka</w:t>
      </w:r>
      <w:proofErr w:type="spellEnd"/>
      <w:r w:rsidRPr="00D9139F">
        <w:rPr>
          <w:rFonts w:ascii="Times New Roman" w:eastAsia="Times New Roman" w:hAnsi="Times New Roman" w:cs="Times New Roman"/>
          <w:color w:val="0F1115"/>
          <w:kern w:val="0"/>
          <w14:ligatures w14:val="none"/>
        </w:rPr>
        <w:t>, DRC. Email: istm.mbka@gmail.com</w:t>
      </w:r>
    </w:p>
    <w:p w14:paraId="153C7008"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Conflicts of Interest:</w:t>
      </w:r>
      <w:r w:rsidRPr="00D9139F">
        <w:rPr>
          <w:rFonts w:ascii="Times New Roman" w:eastAsia="Times New Roman" w:hAnsi="Times New Roman" w:cs="Times New Roman"/>
          <w:color w:val="0F1115"/>
          <w:kern w:val="0"/>
          <w14:ligatures w14:val="none"/>
        </w:rPr>
        <w:t> None declared.</w:t>
      </w:r>
      <w:r w:rsidRPr="00D9139F">
        <w:rPr>
          <w:rFonts w:ascii="Times New Roman" w:eastAsia="Times New Roman" w:hAnsi="Times New Roman" w:cs="Times New Roman"/>
          <w:color w:val="0F1115"/>
          <w:kern w:val="0"/>
          <w14:ligatures w14:val="none"/>
        </w:rPr>
        <w:br/>
      </w:r>
      <w:r w:rsidRPr="00D9139F">
        <w:rPr>
          <w:rFonts w:ascii="Times New Roman" w:eastAsia="Times New Roman" w:hAnsi="Times New Roman" w:cs="Times New Roman"/>
          <w:b/>
          <w:bCs/>
          <w:color w:val="0F1115"/>
          <w:kern w:val="0"/>
          <w14:ligatures w14:val="none"/>
        </w:rPr>
        <w:t>Funding:</w:t>
      </w:r>
      <w:r w:rsidRPr="00D9139F">
        <w:rPr>
          <w:rFonts w:ascii="Times New Roman" w:eastAsia="Times New Roman" w:hAnsi="Times New Roman" w:cs="Times New Roman"/>
          <w:color w:val="0F1115"/>
          <w:kern w:val="0"/>
          <w14:ligatures w14:val="none"/>
        </w:rPr>
        <w:t> This research received no external funding.</w:t>
      </w:r>
    </w:p>
    <w:p w14:paraId="5B10F808"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Abstract</w:t>
      </w:r>
    </w:p>
    <w:p w14:paraId="350823B3"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Introduction:</w:t>
      </w:r>
      <w:r w:rsidRPr="00D9139F">
        <w:rPr>
          <w:rFonts w:ascii="Times New Roman" w:eastAsia="Times New Roman" w:hAnsi="Times New Roman" w:cs="Times New Roman"/>
          <w:color w:val="0F1115"/>
          <w:kern w:val="0"/>
          <w14:ligatures w14:val="none"/>
        </w:rPr>
        <w:t> Twin deliveries are associated with significantly higher perinatal morbidity and mortality than singleton births. In the Democratic Republic of the Congo (DRC), particularly in the Équateur Province, data on healthcare providers' capacity to manage twin deliveries are lacking.</w:t>
      </w:r>
    </w:p>
    <w:p w14:paraId="144E46DF"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Methods:</w:t>
      </w:r>
      <w:r w:rsidRPr="00D9139F">
        <w:rPr>
          <w:rFonts w:ascii="Times New Roman" w:eastAsia="Times New Roman" w:hAnsi="Times New Roman" w:cs="Times New Roman"/>
          <w:color w:val="0F1115"/>
          <w:kern w:val="0"/>
          <w14:ligatures w14:val="none"/>
        </w:rPr>
        <w:t xml:space="preserve"> A descriptive and analytical cross-sectional study was conducted at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General Referral Hospital from June 2025 to March 2026. A simple random sample of 68 healthcare providers (physicians, midwives, obstetric nurses) completed a self-administered KAP (Knowledge, Attitudes, Practices) questionnaire. Bivariate analyses (Chi-square tests) and multivariate binary logistic regression were performed to identify factors independently associated with good knowledge of twin delivery management.</w:t>
      </w:r>
    </w:p>
    <w:p w14:paraId="1A019F5F"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Results:</w:t>
      </w:r>
      <w:r w:rsidRPr="00D9139F">
        <w:rPr>
          <w:rFonts w:ascii="Times New Roman" w:eastAsia="Times New Roman" w:hAnsi="Times New Roman" w:cs="Times New Roman"/>
          <w:color w:val="0F1115"/>
          <w:kern w:val="0"/>
          <w14:ligatures w14:val="none"/>
        </w:rPr>
        <w:t xml:space="preserve"> The sample was predominantly male (55.9%), aged 35–39 years (19.1%), with a </w:t>
      </w:r>
      <w:proofErr w:type="gramStart"/>
      <w:r w:rsidRPr="00D9139F">
        <w:rPr>
          <w:rFonts w:ascii="Times New Roman" w:eastAsia="Times New Roman" w:hAnsi="Times New Roman" w:cs="Times New Roman"/>
          <w:color w:val="0F1115"/>
          <w:kern w:val="0"/>
          <w14:ligatures w14:val="none"/>
        </w:rPr>
        <w:t>Bachelor's</w:t>
      </w:r>
      <w:proofErr w:type="gramEnd"/>
      <w:r w:rsidRPr="00D9139F">
        <w:rPr>
          <w:rFonts w:ascii="Times New Roman" w:eastAsia="Times New Roman" w:hAnsi="Times New Roman" w:cs="Times New Roman"/>
          <w:color w:val="0F1115"/>
          <w:kern w:val="0"/>
          <w14:ligatures w14:val="none"/>
        </w:rPr>
        <w:t xml:space="preserve"> degree (L2, 41.2%), and 1–10 years of seniority (39.7%). All participants (100%) </w:t>
      </w:r>
      <w:r w:rsidRPr="00D9139F">
        <w:rPr>
          <w:rFonts w:ascii="Times New Roman" w:eastAsia="Times New Roman" w:hAnsi="Times New Roman" w:cs="Times New Roman"/>
          <w:color w:val="0F1115"/>
          <w:kern w:val="0"/>
          <w14:ligatures w14:val="none"/>
        </w:rPr>
        <w:lastRenderedPageBreak/>
        <w:t>knew about twin delivery; 70.6% had good overall knowledge of management, but only 44.1% mastered diagnostic elements and 58.8% knew complications. The most reported attitudes were attentive observation (26.4%) and interdisciplinary collaboration (22.1%). Leading practices were prenatal assessment (23.5%) and postnatal care (22.1%). Bivariate analysis showed significant associations between education level/seniority and knowledge (p &lt; 0.001). Multivariate analysis identified L2 level (adjusted OR = 12.4, 95% CI: 3.21–47.8), Doctorate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 14.8, 95% CI: 3.56–61.5), and seniority ≥11 years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 8.94–10.3, p &lt; 0.001) as independent predictors of good knowledge. Gender was not associated (p = 0.745).</w:t>
      </w:r>
    </w:p>
    <w:p w14:paraId="4B4BC87E"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Conclusion:</w:t>
      </w:r>
      <w:r w:rsidRPr="00D9139F">
        <w:rPr>
          <w:rFonts w:ascii="Times New Roman" w:eastAsia="Times New Roman" w:hAnsi="Times New Roman" w:cs="Times New Roman"/>
          <w:color w:val="0F1115"/>
          <w:kern w:val="0"/>
          <w14:ligatures w14:val="none"/>
        </w:rPr>
        <w:t xml:space="preserve"> Knowledge of twin delivery management among providers at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Hospital is generally satisfactory but shows critical gaps in early diagnosis and complication recognition. Education level and professional seniority are the main determinants. Targeted continuous training, local protocols, and improved diagnostic equipment are urgently needed.</w:t>
      </w:r>
    </w:p>
    <w:p w14:paraId="35576077"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Keywords:</w:t>
      </w:r>
      <w:r w:rsidRPr="00D9139F">
        <w:rPr>
          <w:rFonts w:ascii="Times New Roman" w:eastAsia="Times New Roman" w:hAnsi="Times New Roman" w:cs="Times New Roman"/>
          <w:color w:val="0F1115"/>
          <w:kern w:val="0"/>
          <w14:ligatures w14:val="none"/>
        </w:rPr>
        <w:t xml:space="preserve"> Twin delivery, knowledge, attitudes, practices, healthcare providers,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Hospital, </w:t>
      </w:r>
      <w:proofErr w:type="spellStart"/>
      <w:r w:rsidRPr="00D9139F">
        <w:rPr>
          <w:rFonts w:ascii="Times New Roman" w:eastAsia="Times New Roman" w:hAnsi="Times New Roman" w:cs="Times New Roman"/>
          <w:color w:val="0F1115"/>
          <w:kern w:val="0"/>
          <w14:ligatures w14:val="none"/>
        </w:rPr>
        <w:t>Mbandaka</w:t>
      </w:r>
      <w:proofErr w:type="spellEnd"/>
      <w:r w:rsidRPr="00D9139F">
        <w:rPr>
          <w:rFonts w:ascii="Times New Roman" w:eastAsia="Times New Roman" w:hAnsi="Times New Roman" w:cs="Times New Roman"/>
          <w:color w:val="0F1115"/>
          <w:kern w:val="0"/>
          <w14:ligatures w14:val="none"/>
        </w:rPr>
        <w:t xml:space="preserve">, Democratic Republic of </w:t>
      </w:r>
      <w:proofErr w:type="gramStart"/>
      <w:r w:rsidRPr="00D9139F">
        <w:rPr>
          <w:rFonts w:ascii="Times New Roman" w:eastAsia="Times New Roman" w:hAnsi="Times New Roman" w:cs="Times New Roman"/>
          <w:color w:val="0F1115"/>
          <w:kern w:val="0"/>
          <w14:ligatures w14:val="none"/>
        </w:rPr>
        <w:t>the Congo</w:t>
      </w:r>
      <w:proofErr w:type="gramEnd"/>
      <w:r w:rsidRPr="00D9139F">
        <w:rPr>
          <w:rFonts w:ascii="Times New Roman" w:eastAsia="Times New Roman" w:hAnsi="Times New Roman" w:cs="Times New Roman"/>
          <w:color w:val="0F1115"/>
          <w:kern w:val="0"/>
          <w14:ligatures w14:val="none"/>
        </w:rPr>
        <w:t>.</w:t>
      </w:r>
    </w:p>
    <w:p w14:paraId="07924CBD"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1. Introduction</w:t>
      </w:r>
    </w:p>
    <w:p w14:paraId="1296AD3A"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Twin pregnancies represent a particular obstetric situation that, although often considered a marvel of nature, carries significantly higher risks for both mother and fetuses compared to singleton pregnancies. According to the World Health Organization (WHO, 2019), the prevalence of twin pregnancies varies from 1% to 3% worldwide, with a steady increase attributed to advancing maternal age and the development of assisted reproductive technologies. Globally, Blondel et al. (2017) demonstrated in a European study of 54,000 twin births that the risk of neonatal mortality is five to six times higher than for singleton births. In the United States, Martin et al. (2019) reported that the twin birth rate rose from 1.8% in 1980 to 3.2% in 2018, an increase of nearly 80%.</w:t>
      </w:r>
    </w:p>
    <w:p w14:paraId="3980573F"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In sub-Saharan Africa, twin pregnancies pose a particular challenge to already fragile health systems. Smits et al. (2019), in a study covering 31 African countries, reported that Nigeria has the highest twinning rate in the world (4.5% of births), followed by Benin (4.0%) and the Democratic Republic of the Congo (DRC) (3.0%). Pison et al. (2021) showed that twin mortality </w:t>
      </w:r>
      <w:r w:rsidRPr="00D9139F">
        <w:rPr>
          <w:rFonts w:ascii="Times New Roman" w:eastAsia="Times New Roman" w:hAnsi="Times New Roman" w:cs="Times New Roman"/>
          <w:color w:val="0F1115"/>
          <w:kern w:val="0"/>
          <w14:ligatures w14:val="none"/>
        </w:rPr>
        <w:lastRenderedPageBreak/>
        <w:t>remains three to five times higher than that of singletons, mainly due to prematurity and low birth weight.</w:t>
      </w:r>
    </w:p>
    <w:p w14:paraId="0B9FE92D"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Several African studies have documented this problem. In Mali, Diaby et al. (2018) reported that twin pregnancy was diagnosed in the delivery room in 40.2% of cases, reflecting a lack of prenatal surveillance. In Senegal, Diallo et al. (2019) found perinatal mortality of 18.5% for twin pregnancies versus 4.2% for singletons. In Burkina Faso, Ouedraogo (2020) highlighted that 45% of mothers of twins considered twin birth a "gift from ancestors" requiring no special medical care. In Côte d'Ivoire, </w:t>
      </w:r>
      <w:proofErr w:type="spellStart"/>
      <w:r w:rsidRPr="00D9139F">
        <w:rPr>
          <w:rFonts w:ascii="Times New Roman" w:eastAsia="Times New Roman" w:hAnsi="Times New Roman" w:cs="Times New Roman"/>
          <w:color w:val="0F1115"/>
          <w:kern w:val="0"/>
          <w14:ligatures w14:val="none"/>
        </w:rPr>
        <w:t>Kouamé</w:t>
      </w:r>
      <w:proofErr w:type="spellEnd"/>
      <w:r w:rsidRPr="00D9139F">
        <w:rPr>
          <w:rFonts w:ascii="Times New Roman" w:eastAsia="Times New Roman" w:hAnsi="Times New Roman" w:cs="Times New Roman"/>
          <w:color w:val="0F1115"/>
          <w:kern w:val="0"/>
          <w14:ligatures w14:val="none"/>
        </w:rPr>
        <w:t xml:space="preserve"> et al. (2018) found prematurity in 52.4% of twin pregnancies and neonatal mortality of 15.7%. In Cameroon, </w:t>
      </w:r>
      <w:proofErr w:type="spellStart"/>
      <w:r w:rsidRPr="00D9139F">
        <w:rPr>
          <w:rFonts w:ascii="Times New Roman" w:eastAsia="Times New Roman" w:hAnsi="Times New Roman" w:cs="Times New Roman"/>
          <w:color w:val="0F1115"/>
          <w:kern w:val="0"/>
          <w14:ligatures w14:val="none"/>
        </w:rPr>
        <w:t>Ndoumba</w:t>
      </w:r>
      <w:proofErr w:type="spellEnd"/>
      <w:r w:rsidRPr="00D9139F">
        <w:rPr>
          <w:rFonts w:ascii="Times New Roman" w:eastAsia="Times New Roman" w:hAnsi="Times New Roman" w:cs="Times New Roman"/>
          <w:color w:val="0F1115"/>
          <w:kern w:val="0"/>
          <w14:ligatures w14:val="none"/>
        </w:rPr>
        <w:t xml:space="preserve"> et al. (2021) reported cesarean section in 45.8% of twin deliveries, with perinatal mortality of 12.5%.</w:t>
      </w:r>
    </w:p>
    <w:p w14:paraId="10C11C4C"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In the DRC, data on twin deliveries remain scarce and fragmented. In Kinshasa, Kasongo et al. (2021) evaluated midwives' knowledge of obstetric emergencies and found that only 55.6% had good knowledge of multiple pregnancy management. In Lubumbashi, Mukendi et al. (2022) demonstrated that providers' education level was the main predictor of good obstetric practices, with only 45.3% having good knowledge of dystocia protocols. In Goma, </w:t>
      </w:r>
      <w:proofErr w:type="spellStart"/>
      <w:r w:rsidRPr="00D9139F">
        <w:rPr>
          <w:rFonts w:ascii="Times New Roman" w:eastAsia="Times New Roman" w:hAnsi="Times New Roman" w:cs="Times New Roman"/>
          <w:color w:val="0F1115"/>
          <w:kern w:val="0"/>
          <w14:ligatures w14:val="none"/>
        </w:rPr>
        <w:t>Bashige</w:t>
      </w:r>
      <w:proofErr w:type="spellEnd"/>
      <w:r w:rsidRPr="00D9139F">
        <w:rPr>
          <w:rFonts w:ascii="Times New Roman" w:eastAsia="Times New Roman" w:hAnsi="Times New Roman" w:cs="Times New Roman"/>
          <w:color w:val="0F1115"/>
          <w:kern w:val="0"/>
          <w14:ligatures w14:val="none"/>
        </w:rPr>
        <w:t xml:space="preserve"> et al. (2020) reported that twin pregnancies represented 2.1% of deliveries with perinatal mortality of 16.8%. In Kisangani, </w:t>
      </w:r>
      <w:proofErr w:type="spellStart"/>
      <w:r w:rsidRPr="00D9139F">
        <w:rPr>
          <w:rFonts w:ascii="Times New Roman" w:eastAsia="Times New Roman" w:hAnsi="Times New Roman" w:cs="Times New Roman"/>
          <w:color w:val="0F1115"/>
          <w:kern w:val="0"/>
          <w14:ligatures w14:val="none"/>
        </w:rPr>
        <w:t>Likwela</w:t>
      </w:r>
      <w:proofErr w:type="spellEnd"/>
      <w:r w:rsidRPr="00D9139F">
        <w:rPr>
          <w:rFonts w:ascii="Times New Roman" w:eastAsia="Times New Roman" w:hAnsi="Times New Roman" w:cs="Times New Roman"/>
          <w:color w:val="0F1115"/>
          <w:kern w:val="0"/>
          <w14:ligatures w14:val="none"/>
        </w:rPr>
        <w:t xml:space="preserve"> et al. (2019) found prematurity in 58.7% of twin cases and 32.5% of newborns weighing less than 2,000 grams.</w:t>
      </w:r>
    </w:p>
    <w:p w14:paraId="5B6744E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In Équateur Province, specifically at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General Referral Hospital in </w:t>
      </w:r>
      <w:proofErr w:type="spellStart"/>
      <w:r w:rsidRPr="00D9139F">
        <w:rPr>
          <w:rFonts w:ascii="Times New Roman" w:eastAsia="Times New Roman" w:hAnsi="Times New Roman" w:cs="Times New Roman"/>
          <w:color w:val="0F1115"/>
          <w:kern w:val="0"/>
          <w14:ligatures w14:val="none"/>
        </w:rPr>
        <w:t>Mbandaka</w:t>
      </w:r>
      <w:proofErr w:type="spellEnd"/>
      <w:r w:rsidRPr="00D9139F">
        <w:rPr>
          <w:rFonts w:ascii="Times New Roman" w:eastAsia="Times New Roman" w:hAnsi="Times New Roman" w:cs="Times New Roman"/>
          <w:color w:val="0F1115"/>
          <w:kern w:val="0"/>
          <w14:ligatures w14:val="none"/>
        </w:rPr>
        <w:t xml:space="preserve">, no published study has evaluated healthcare providers' knowledge, attitudes, and practices (KAP) regarding twin delivery management. However, hospital statistics for 2023 indicated that twin pregnancies represented approximately 1.8% of deliveries, with an estimated perinatal mortality rate of 14.5% (HGR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2023). This situation raises concerns about the actual level of provider competence in managing this specific obstetric emergency.</w:t>
      </w:r>
    </w:p>
    <w:p w14:paraId="23CA7190"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The theoretical framework for this study integrates three complementary models. First, the KAP model developed by Schwartz (1975) postulates a sequential relationship between knowledge, attitudes, and practices, where adequate knowledge is a necessary condition for appropriate practices. Second, Bandura's (1977) social learning theory emphasizes that observation of expert </w:t>
      </w:r>
      <w:r w:rsidRPr="00D9139F">
        <w:rPr>
          <w:rFonts w:ascii="Times New Roman" w:eastAsia="Times New Roman" w:hAnsi="Times New Roman" w:cs="Times New Roman"/>
          <w:color w:val="0F1115"/>
          <w:kern w:val="0"/>
          <w14:ligatures w14:val="none"/>
        </w:rPr>
        <w:lastRenderedPageBreak/>
        <w:t>models and personal experience play major roles in acquiring professional competencies, justifying the hypothesis that seniority influences knowledge. Third, Bronfenbrenner's (1979) bioecological model situates professional behavior within multiple nested systems (individual, organizational, and systemic), allowing for multilevel analysis and recommendations.</w:t>
      </w:r>
    </w:p>
    <w:p w14:paraId="28736486"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This study aimed to assess the knowledge, attitudes, and practices of healthcare providers regarding twin delivery management at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General Referral Hospital and to identify factors associated with good knowledge.</w:t>
      </w:r>
    </w:p>
    <w:p w14:paraId="6DE43FE5"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2. Methods</w:t>
      </w:r>
    </w:p>
    <w:p w14:paraId="68741E83"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2.1. Study Design and Setting</w:t>
      </w:r>
    </w:p>
    <w:p w14:paraId="49C37E33"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A descriptive and analytical cross-sectional study was conducted at the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General Referral Hospital (HGR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in </w:t>
      </w:r>
      <w:proofErr w:type="spellStart"/>
      <w:r w:rsidRPr="00D9139F">
        <w:rPr>
          <w:rFonts w:ascii="Times New Roman" w:eastAsia="Times New Roman" w:hAnsi="Times New Roman" w:cs="Times New Roman"/>
          <w:color w:val="0F1115"/>
          <w:kern w:val="0"/>
          <w14:ligatures w14:val="none"/>
        </w:rPr>
        <w:t>Mbandaka</w:t>
      </w:r>
      <w:proofErr w:type="spellEnd"/>
      <w:r w:rsidRPr="00D9139F">
        <w:rPr>
          <w:rFonts w:ascii="Times New Roman" w:eastAsia="Times New Roman" w:hAnsi="Times New Roman" w:cs="Times New Roman"/>
          <w:color w:val="0F1115"/>
          <w:kern w:val="0"/>
          <w14:ligatures w14:val="none"/>
        </w:rPr>
        <w:t xml:space="preserve">, Équateur Province, Democratic Republic of </w:t>
      </w:r>
      <w:proofErr w:type="gramStart"/>
      <w:r w:rsidRPr="00D9139F">
        <w:rPr>
          <w:rFonts w:ascii="Times New Roman" w:eastAsia="Times New Roman" w:hAnsi="Times New Roman" w:cs="Times New Roman"/>
          <w:color w:val="0F1115"/>
          <w:kern w:val="0"/>
          <w14:ligatures w14:val="none"/>
        </w:rPr>
        <w:t>the Congo</w:t>
      </w:r>
      <w:proofErr w:type="gramEnd"/>
      <w:r w:rsidRPr="00D9139F">
        <w:rPr>
          <w:rFonts w:ascii="Times New Roman" w:eastAsia="Times New Roman" w:hAnsi="Times New Roman" w:cs="Times New Roman"/>
          <w:color w:val="0F1115"/>
          <w:kern w:val="0"/>
          <w14:ligatures w14:val="none"/>
        </w:rPr>
        <w:t>. The hospital, originally established around 1920, is a level 2 referral facility with a bed capacity of 250 (161 functional beds) and a staff of 298 healthcare workers.</w:t>
      </w:r>
    </w:p>
    <w:p w14:paraId="6BCD58F8"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2.2. Study Period</w:t>
      </w:r>
    </w:p>
    <w:p w14:paraId="3FDB184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Data collection took place from June 12, 2025, to March 21, 2026.</w:t>
      </w:r>
    </w:p>
    <w:p w14:paraId="533E60AF"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2.3. Target and Accessible Population</w:t>
      </w:r>
    </w:p>
    <w:p w14:paraId="1B10091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The target population consisted of all healthcare providers (physicians, midwives, obstetric nurses) working in the DRC who are potentially involved in twin delivery management. The accessible population comprised all providers working at HGR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who met inclusion criteria (N = 112).</w:t>
      </w:r>
    </w:p>
    <w:p w14:paraId="5138B5CE"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2.4. Inclusion and Exclusion Criteria</w:t>
      </w:r>
    </w:p>
    <w:p w14:paraId="07A37781"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Inclusion criteria were: (1) being a healthcare provider (physician, midwife, obstetric nurse) working at HGR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(2) providing voluntary informed consent; (3) being present during the data collection period; and (4) having previously participated in at least one twin delivery.</w:t>
      </w:r>
    </w:p>
    <w:p w14:paraId="252C5746"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lastRenderedPageBreak/>
        <w:t>Exclusion criteria were: (1) providers on leave (annual, sick, maternity) during the collection period; (2) trainees not yet qualified as independent providers; and (3) refusal to participate.</w:t>
      </w:r>
    </w:p>
    <w:p w14:paraId="311CCFE1"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2.5. Sampling and Sample Size</w:t>
      </w:r>
    </w:p>
    <w:p w14:paraId="395FAE19"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A simple random sampling technique was employed. A complete list of eligible providers (n = 112) was compiled, each assigned a unique number, and 68 numbers were drawn using a random number table. The sample size was calculated using Schwartz's (1975) formula for finite populations: n = (Z² × p × q × N) / [e² × (N-1) + Z² × p × q], with Z = 1.96 (95% confidence), p = 0.5 (maximum variability), q = 0.5, N = 112, and e = 0.05 (5% margin of error). The theoretical minimum was 87, but due to provider availability constraints, 68 participated (response rate: 78.2%).</w:t>
      </w:r>
    </w:p>
    <w:p w14:paraId="26A6DA3D"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2.6. Data Collection Instrument</w:t>
      </w:r>
    </w:p>
    <w:p w14:paraId="6A0F11E0"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A structured, self-administered questionnaire was developed based on the KAP model and validated through: (1) theoretical validation using CNGOF (2024) recommendations; (2) face validity by an expert jury (thesis director and supervisor); and (3) pilot testing on 10 providers at HGR </w:t>
      </w:r>
      <w:proofErr w:type="spellStart"/>
      <w:r w:rsidRPr="00D9139F">
        <w:rPr>
          <w:rFonts w:ascii="Times New Roman" w:eastAsia="Times New Roman" w:hAnsi="Times New Roman" w:cs="Times New Roman"/>
          <w:color w:val="0F1115"/>
          <w:kern w:val="0"/>
          <w14:ligatures w14:val="none"/>
        </w:rPr>
        <w:t>Mbandaka</w:t>
      </w:r>
      <w:proofErr w:type="spellEnd"/>
      <w:r w:rsidRPr="00D9139F">
        <w:rPr>
          <w:rFonts w:ascii="Times New Roman" w:eastAsia="Times New Roman" w:hAnsi="Times New Roman" w:cs="Times New Roman"/>
          <w:color w:val="0F1115"/>
          <w:kern w:val="0"/>
          <w14:ligatures w14:val="none"/>
        </w:rPr>
        <w:t xml:space="preserve"> (outside the sample). The questionnaire comprised five sections:</w:t>
      </w:r>
    </w:p>
    <w:p w14:paraId="5F2DB5A9" w14:textId="77777777" w:rsidR="00094EE9" w:rsidRPr="00D9139F" w:rsidRDefault="00094EE9" w:rsidP="00094EE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Section A (Sociodemographic):</w:t>
      </w:r>
      <w:r w:rsidRPr="00D9139F">
        <w:rPr>
          <w:rFonts w:ascii="Times New Roman" w:eastAsia="Times New Roman" w:hAnsi="Times New Roman" w:cs="Times New Roman"/>
          <w:color w:val="0F1115"/>
          <w:kern w:val="0"/>
          <w14:ligatures w14:val="none"/>
        </w:rPr>
        <w:t xml:space="preserve"> Age, sex, education level (A2 = State Diploma, A1 = </w:t>
      </w:r>
      <w:proofErr w:type="gramStart"/>
      <w:r w:rsidRPr="00D9139F">
        <w:rPr>
          <w:rFonts w:ascii="Times New Roman" w:eastAsia="Times New Roman" w:hAnsi="Times New Roman" w:cs="Times New Roman"/>
          <w:color w:val="0F1115"/>
          <w:kern w:val="0"/>
          <w14:ligatures w14:val="none"/>
        </w:rPr>
        <w:t>Associate Degree</w:t>
      </w:r>
      <w:proofErr w:type="gramEnd"/>
      <w:r w:rsidRPr="00D9139F">
        <w:rPr>
          <w:rFonts w:ascii="Times New Roman" w:eastAsia="Times New Roman" w:hAnsi="Times New Roman" w:cs="Times New Roman"/>
          <w:color w:val="0F1115"/>
          <w:kern w:val="0"/>
          <w14:ligatures w14:val="none"/>
        </w:rPr>
        <w:t>, L2 = Bachelor's, Doctorate = Medicine), professional seniority (1–10, 11–20, ≥21 years).</w:t>
      </w:r>
    </w:p>
    <w:p w14:paraId="779EF4D3" w14:textId="77777777" w:rsidR="00094EE9" w:rsidRPr="00D9139F" w:rsidRDefault="00094EE9" w:rsidP="00094EE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Section B (Knowledge):</w:t>
      </w:r>
      <w:r w:rsidRPr="00D9139F">
        <w:rPr>
          <w:rFonts w:ascii="Times New Roman" w:eastAsia="Times New Roman" w:hAnsi="Times New Roman" w:cs="Times New Roman"/>
          <w:color w:val="0F1115"/>
          <w:kern w:val="0"/>
          <w14:ligatures w14:val="none"/>
        </w:rPr>
        <w:t> 12 questions on definition, evolution, diagnostic elements, surveillance, management, and complications of twin delivery.</w:t>
      </w:r>
    </w:p>
    <w:p w14:paraId="28233A17" w14:textId="77777777" w:rsidR="00094EE9" w:rsidRPr="00D9139F" w:rsidRDefault="00094EE9" w:rsidP="00094EE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Section C (Attitudes):</w:t>
      </w:r>
      <w:r w:rsidRPr="00D9139F">
        <w:rPr>
          <w:rFonts w:ascii="Times New Roman" w:eastAsia="Times New Roman" w:hAnsi="Times New Roman" w:cs="Times New Roman"/>
          <w:color w:val="0F1115"/>
          <w:kern w:val="0"/>
          <w14:ligatures w14:val="none"/>
        </w:rPr>
        <w:t> Multiple-response question on attitudes (empathy, emotional support, clear communication, interdisciplinary collaboration, attentive observation).</w:t>
      </w:r>
    </w:p>
    <w:p w14:paraId="6A784C5C" w14:textId="77777777" w:rsidR="00094EE9" w:rsidRPr="00D9139F" w:rsidRDefault="00094EE9" w:rsidP="00094EE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Section D (Practices):</w:t>
      </w:r>
      <w:r w:rsidRPr="00D9139F">
        <w:rPr>
          <w:rFonts w:ascii="Times New Roman" w:eastAsia="Times New Roman" w:hAnsi="Times New Roman" w:cs="Times New Roman"/>
          <w:color w:val="0F1115"/>
          <w:kern w:val="0"/>
          <w14:ligatures w14:val="none"/>
        </w:rPr>
        <w:t> Multiple-response question on practices (prenatal assessment, delivery planning, continuous monitoring, pain management, specific interventions, postnatal care).</w:t>
      </w:r>
    </w:p>
    <w:p w14:paraId="2416549E" w14:textId="77777777" w:rsidR="00094EE9" w:rsidRPr="00D9139F" w:rsidRDefault="00094EE9" w:rsidP="00094EE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Section E (Open comments):</w:t>
      </w:r>
      <w:r w:rsidRPr="00D9139F">
        <w:rPr>
          <w:rFonts w:ascii="Times New Roman" w:eastAsia="Times New Roman" w:hAnsi="Times New Roman" w:cs="Times New Roman"/>
          <w:color w:val="0F1115"/>
          <w:kern w:val="0"/>
          <w14:ligatures w14:val="none"/>
        </w:rPr>
        <w:t> Optional.</w:t>
      </w:r>
    </w:p>
    <w:p w14:paraId="07B8FA28"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lastRenderedPageBreak/>
        <w:t>A knowledge score was calculated: good knowledge = ≥60% correct answers (≥7/12); insufficient knowledge = &lt;60% correct answers (&lt;7/12), consistent with Kasongo et al. (2021).</w:t>
      </w:r>
    </w:p>
    <w:p w14:paraId="5E619251"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2.7. Ethical Considerations</w:t>
      </w:r>
    </w:p>
    <w:p w14:paraId="603719B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Ethical approval was obtained from the ISTM </w:t>
      </w:r>
      <w:proofErr w:type="spellStart"/>
      <w:r w:rsidRPr="00D9139F">
        <w:rPr>
          <w:rFonts w:ascii="Times New Roman" w:eastAsia="Times New Roman" w:hAnsi="Times New Roman" w:cs="Times New Roman"/>
          <w:color w:val="0F1115"/>
          <w:kern w:val="0"/>
          <w14:ligatures w14:val="none"/>
        </w:rPr>
        <w:t>Mbandaka</w:t>
      </w:r>
      <w:proofErr w:type="spellEnd"/>
      <w:r w:rsidRPr="00D9139F">
        <w:rPr>
          <w:rFonts w:ascii="Times New Roman" w:eastAsia="Times New Roman" w:hAnsi="Times New Roman" w:cs="Times New Roman"/>
          <w:color w:val="0F1115"/>
          <w:kern w:val="0"/>
          <w14:ligatures w14:val="none"/>
        </w:rPr>
        <w:t xml:space="preserve"> Research Committee and the Directorate of HGR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All participants received an information note explaining the study objectives, voluntary participation, the right to withdraw without consequence, and data confidentiality. Verbal informed consent was obtained, as per standard practice for non-interventional studies in the DRC (Ministry of Public Health DRC, 2021). Questionnaires were anonymized with unique identification numbers.</w:t>
      </w:r>
    </w:p>
    <w:p w14:paraId="3CE1AD90"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2.8. Data Analysis</w:t>
      </w:r>
    </w:p>
    <w:p w14:paraId="38CC365E"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Data were entered into Microsoft Excel 2019 and analyzed using SPSS version 25.0 (IBM Corp., 2017). Descriptive statistics (frequencies, percentages, means, standard deviations) were calculated. Bivariate associations were tested using Pearson's Chi-square test (χ²), with a significance threshold of p &lt; 0.05. Multivariate binary logistic regression (enter method) was performed to identify independent predictors of good knowledge (≥60% correct), adjusting for education level, seniority, and sex. Adjusted odds ratios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with 95% confidence intervals (CI) were reported.</w:t>
      </w:r>
    </w:p>
    <w:p w14:paraId="0D4E91D0"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3. Results</w:t>
      </w:r>
    </w:p>
    <w:p w14:paraId="1A3C8DFD"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3.1. Sociodemographic Characteristics of Participants</w:t>
      </w:r>
    </w:p>
    <w:p w14:paraId="201FE9F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A total of 68 healthcare providers participated (Table 1). The most represented age group was 35–39 years (19.1%), followed by 40–44 years (16.2%). The sample was predominantly male (55.9%). Regarding education level, </w:t>
      </w:r>
      <w:proofErr w:type="gramStart"/>
      <w:r w:rsidRPr="00D9139F">
        <w:rPr>
          <w:rFonts w:ascii="Times New Roman" w:eastAsia="Times New Roman" w:hAnsi="Times New Roman" w:cs="Times New Roman"/>
          <w:color w:val="0F1115"/>
          <w:kern w:val="0"/>
          <w14:ligatures w14:val="none"/>
        </w:rPr>
        <w:t>Bachelor's</w:t>
      </w:r>
      <w:proofErr w:type="gramEnd"/>
      <w:r w:rsidRPr="00D9139F">
        <w:rPr>
          <w:rFonts w:ascii="Times New Roman" w:eastAsia="Times New Roman" w:hAnsi="Times New Roman" w:cs="Times New Roman"/>
          <w:color w:val="0F1115"/>
          <w:kern w:val="0"/>
          <w14:ligatures w14:val="none"/>
        </w:rPr>
        <w:t xml:space="preserve"> degree (L2) holders constituted the largest group (41.2%), followed by </w:t>
      </w:r>
      <w:proofErr w:type="gramStart"/>
      <w:r w:rsidRPr="00D9139F">
        <w:rPr>
          <w:rFonts w:ascii="Times New Roman" w:eastAsia="Times New Roman" w:hAnsi="Times New Roman" w:cs="Times New Roman"/>
          <w:color w:val="0F1115"/>
          <w:kern w:val="0"/>
          <w14:ligatures w14:val="none"/>
        </w:rPr>
        <w:t>Associate</w:t>
      </w:r>
      <w:proofErr w:type="gramEnd"/>
      <w:r w:rsidRPr="00D9139F">
        <w:rPr>
          <w:rFonts w:ascii="Times New Roman" w:eastAsia="Times New Roman" w:hAnsi="Times New Roman" w:cs="Times New Roman"/>
          <w:color w:val="0F1115"/>
          <w:kern w:val="0"/>
          <w14:ligatures w14:val="none"/>
        </w:rPr>
        <w:t xml:space="preserve"> degree (A1, 29.4%), Doctorate (17.6%), and State Diploma (A2, 11.8%). Most participants had 1–10 years of professional seniority (39.7%), followed by 11–20 years (36.8%) and ≥21 years (23.5%).</w:t>
      </w:r>
    </w:p>
    <w:p w14:paraId="035EA3E3"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lastRenderedPageBreak/>
        <w:t>Table 1</w:t>
      </w:r>
      <w:r w:rsidRPr="00D9139F">
        <w:rPr>
          <w:rFonts w:ascii="Times New Roman" w:eastAsia="Times New Roman" w:hAnsi="Times New Roman" w:cs="Times New Roman"/>
          <w:color w:val="0F1115"/>
          <w:kern w:val="0"/>
          <w14:ligatures w14:val="none"/>
        </w:rPr>
        <w:br/>
        <w:t>*Sociodemographic Characteristics of Participants (N = 68)*</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98"/>
        <w:gridCol w:w="2496"/>
        <w:gridCol w:w="1721"/>
        <w:gridCol w:w="1830"/>
      </w:tblGrid>
      <w:tr w:rsidR="00094EE9" w:rsidRPr="00B13A14" w14:paraId="6EB65039" w14:textId="77777777" w:rsidTr="00B13A14">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0C1ED1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AB0887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16FBDD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Frequency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6D2593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Percentage (%)</w:t>
            </w:r>
          </w:p>
        </w:tc>
      </w:tr>
      <w:tr w:rsidR="00094EE9" w:rsidRPr="00B13A14" w14:paraId="379F70AC" w14:textId="77777777" w:rsidTr="00B13A14">
        <w:tc>
          <w:tcPr>
            <w:tcW w:w="0" w:type="auto"/>
            <w:tcBorders>
              <w:top w:val="single" w:sz="4" w:space="0" w:color="auto"/>
            </w:tcBorders>
            <w:tcMar>
              <w:top w:w="150" w:type="dxa"/>
              <w:left w:w="0" w:type="dxa"/>
              <w:bottom w:w="150" w:type="dxa"/>
              <w:right w:w="240" w:type="dxa"/>
            </w:tcMar>
            <w:vAlign w:val="center"/>
            <w:hideMark/>
          </w:tcPr>
          <w:p w14:paraId="63309D7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b/>
                <w:bCs/>
                <w:kern w:val="0"/>
                <w:sz w:val="22"/>
                <w:szCs w:val="22"/>
                <w14:ligatures w14:val="none"/>
              </w:rPr>
              <w:t>Age (years)</w:t>
            </w:r>
          </w:p>
        </w:tc>
        <w:tc>
          <w:tcPr>
            <w:tcW w:w="0" w:type="auto"/>
            <w:tcBorders>
              <w:top w:val="single" w:sz="4" w:space="0" w:color="auto"/>
            </w:tcBorders>
            <w:tcMar>
              <w:top w:w="150" w:type="dxa"/>
              <w:left w:w="240" w:type="dxa"/>
              <w:bottom w:w="150" w:type="dxa"/>
              <w:right w:w="240" w:type="dxa"/>
            </w:tcMar>
            <w:vAlign w:val="center"/>
            <w:hideMark/>
          </w:tcPr>
          <w:p w14:paraId="5B1569FE"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25–29</w:t>
            </w:r>
          </w:p>
        </w:tc>
        <w:tc>
          <w:tcPr>
            <w:tcW w:w="0" w:type="auto"/>
            <w:tcBorders>
              <w:top w:val="single" w:sz="4" w:space="0" w:color="auto"/>
            </w:tcBorders>
            <w:tcMar>
              <w:top w:w="150" w:type="dxa"/>
              <w:left w:w="240" w:type="dxa"/>
              <w:bottom w:w="150" w:type="dxa"/>
              <w:right w:w="240" w:type="dxa"/>
            </w:tcMar>
            <w:vAlign w:val="center"/>
            <w:hideMark/>
          </w:tcPr>
          <w:p w14:paraId="5F9022F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6</w:t>
            </w:r>
          </w:p>
        </w:tc>
        <w:tc>
          <w:tcPr>
            <w:tcW w:w="0" w:type="auto"/>
            <w:tcBorders>
              <w:top w:val="single" w:sz="4" w:space="0" w:color="auto"/>
            </w:tcBorders>
            <w:tcMar>
              <w:top w:w="150" w:type="dxa"/>
              <w:left w:w="240" w:type="dxa"/>
              <w:bottom w:w="150" w:type="dxa"/>
              <w:right w:w="0" w:type="dxa"/>
            </w:tcMar>
            <w:vAlign w:val="center"/>
            <w:hideMark/>
          </w:tcPr>
          <w:p w14:paraId="379A5AF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8.8</w:t>
            </w:r>
          </w:p>
        </w:tc>
      </w:tr>
      <w:tr w:rsidR="00094EE9" w:rsidRPr="00B13A14" w14:paraId="0C255E69" w14:textId="77777777" w:rsidTr="00B13A14">
        <w:tc>
          <w:tcPr>
            <w:tcW w:w="0" w:type="auto"/>
            <w:tcMar>
              <w:top w:w="150" w:type="dxa"/>
              <w:left w:w="0" w:type="dxa"/>
              <w:bottom w:w="150" w:type="dxa"/>
              <w:right w:w="240" w:type="dxa"/>
            </w:tcMar>
            <w:vAlign w:val="center"/>
            <w:hideMark/>
          </w:tcPr>
          <w:p w14:paraId="7AB234E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1A44129"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30–34</w:t>
            </w:r>
          </w:p>
        </w:tc>
        <w:tc>
          <w:tcPr>
            <w:tcW w:w="0" w:type="auto"/>
            <w:tcMar>
              <w:top w:w="150" w:type="dxa"/>
              <w:left w:w="240" w:type="dxa"/>
              <w:bottom w:w="150" w:type="dxa"/>
              <w:right w:w="240" w:type="dxa"/>
            </w:tcMar>
            <w:vAlign w:val="center"/>
            <w:hideMark/>
          </w:tcPr>
          <w:p w14:paraId="3564810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0" w:type="dxa"/>
            </w:tcMar>
            <w:vAlign w:val="center"/>
            <w:hideMark/>
          </w:tcPr>
          <w:p w14:paraId="6BB7FB0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14.7</w:t>
            </w:r>
          </w:p>
        </w:tc>
      </w:tr>
      <w:tr w:rsidR="00094EE9" w:rsidRPr="00B13A14" w14:paraId="66173671" w14:textId="77777777" w:rsidTr="00B13A14">
        <w:tc>
          <w:tcPr>
            <w:tcW w:w="0" w:type="auto"/>
            <w:tcMar>
              <w:top w:w="150" w:type="dxa"/>
              <w:left w:w="0" w:type="dxa"/>
              <w:bottom w:w="150" w:type="dxa"/>
              <w:right w:w="240" w:type="dxa"/>
            </w:tcMar>
            <w:vAlign w:val="center"/>
            <w:hideMark/>
          </w:tcPr>
          <w:p w14:paraId="10A39E2A"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FF777B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35–39</w:t>
            </w:r>
          </w:p>
        </w:tc>
        <w:tc>
          <w:tcPr>
            <w:tcW w:w="0" w:type="auto"/>
            <w:tcMar>
              <w:top w:w="150" w:type="dxa"/>
              <w:left w:w="240" w:type="dxa"/>
              <w:bottom w:w="150" w:type="dxa"/>
              <w:right w:w="240" w:type="dxa"/>
            </w:tcMar>
            <w:vAlign w:val="center"/>
            <w:hideMark/>
          </w:tcPr>
          <w:p w14:paraId="03B7914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13</w:t>
            </w:r>
          </w:p>
        </w:tc>
        <w:tc>
          <w:tcPr>
            <w:tcW w:w="0" w:type="auto"/>
            <w:tcMar>
              <w:top w:w="150" w:type="dxa"/>
              <w:left w:w="240" w:type="dxa"/>
              <w:bottom w:w="150" w:type="dxa"/>
              <w:right w:w="0" w:type="dxa"/>
            </w:tcMar>
            <w:vAlign w:val="center"/>
            <w:hideMark/>
          </w:tcPr>
          <w:p w14:paraId="344C16E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19.1</w:t>
            </w:r>
          </w:p>
        </w:tc>
      </w:tr>
      <w:tr w:rsidR="00094EE9" w:rsidRPr="00B13A14" w14:paraId="6DE2799B" w14:textId="77777777" w:rsidTr="00B13A14">
        <w:tc>
          <w:tcPr>
            <w:tcW w:w="0" w:type="auto"/>
            <w:tcMar>
              <w:top w:w="150" w:type="dxa"/>
              <w:left w:w="0" w:type="dxa"/>
              <w:bottom w:w="150" w:type="dxa"/>
              <w:right w:w="240" w:type="dxa"/>
            </w:tcMar>
            <w:vAlign w:val="center"/>
            <w:hideMark/>
          </w:tcPr>
          <w:p w14:paraId="2390726E"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782B69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40–44</w:t>
            </w:r>
          </w:p>
        </w:tc>
        <w:tc>
          <w:tcPr>
            <w:tcW w:w="0" w:type="auto"/>
            <w:tcMar>
              <w:top w:w="150" w:type="dxa"/>
              <w:left w:w="240" w:type="dxa"/>
              <w:bottom w:w="150" w:type="dxa"/>
              <w:right w:w="240" w:type="dxa"/>
            </w:tcMar>
            <w:vAlign w:val="center"/>
            <w:hideMark/>
          </w:tcPr>
          <w:p w14:paraId="6CA35D0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11</w:t>
            </w:r>
          </w:p>
        </w:tc>
        <w:tc>
          <w:tcPr>
            <w:tcW w:w="0" w:type="auto"/>
            <w:tcMar>
              <w:top w:w="150" w:type="dxa"/>
              <w:left w:w="240" w:type="dxa"/>
              <w:bottom w:w="150" w:type="dxa"/>
              <w:right w:w="0" w:type="dxa"/>
            </w:tcMar>
            <w:vAlign w:val="center"/>
            <w:hideMark/>
          </w:tcPr>
          <w:p w14:paraId="52359D5A"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16.2</w:t>
            </w:r>
          </w:p>
        </w:tc>
      </w:tr>
      <w:tr w:rsidR="00094EE9" w:rsidRPr="00B13A14" w14:paraId="7937F65A" w14:textId="77777777" w:rsidTr="00B13A14">
        <w:tc>
          <w:tcPr>
            <w:tcW w:w="0" w:type="auto"/>
            <w:tcMar>
              <w:top w:w="150" w:type="dxa"/>
              <w:left w:w="0" w:type="dxa"/>
              <w:bottom w:w="150" w:type="dxa"/>
              <w:right w:w="240" w:type="dxa"/>
            </w:tcMar>
            <w:vAlign w:val="center"/>
            <w:hideMark/>
          </w:tcPr>
          <w:p w14:paraId="24602F7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908A66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45–49</w:t>
            </w:r>
          </w:p>
        </w:tc>
        <w:tc>
          <w:tcPr>
            <w:tcW w:w="0" w:type="auto"/>
            <w:tcMar>
              <w:top w:w="150" w:type="dxa"/>
              <w:left w:w="240" w:type="dxa"/>
              <w:bottom w:w="150" w:type="dxa"/>
              <w:right w:w="240" w:type="dxa"/>
            </w:tcMar>
            <w:vAlign w:val="center"/>
            <w:hideMark/>
          </w:tcPr>
          <w:p w14:paraId="7BE427D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0" w:type="dxa"/>
            </w:tcMar>
            <w:vAlign w:val="center"/>
            <w:hideMark/>
          </w:tcPr>
          <w:p w14:paraId="7AD930F4"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14.7</w:t>
            </w:r>
          </w:p>
        </w:tc>
      </w:tr>
      <w:tr w:rsidR="00094EE9" w:rsidRPr="00B13A14" w14:paraId="01EA578A" w14:textId="77777777" w:rsidTr="00B13A14">
        <w:tc>
          <w:tcPr>
            <w:tcW w:w="0" w:type="auto"/>
            <w:tcMar>
              <w:top w:w="150" w:type="dxa"/>
              <w:left w:w="0" w:type="dxa"/>
              <w:bottom w:w="150" w:type="dxa"/>
              <w:right w:w="240" w:type="dxa"/>
            </w:tcMar>
            <w:vAlign w:val="center"/>
            <w:hideMark/>
          </w:tcPr>
          <w:p w14:paraId="72F2C25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615A5B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50–54</w:t>
            </w:r>
          </w:p>
        </w:tc>
        <w:tc>
          <w:tcPr>
            <w:tcW w:w="0" w:type="auto"/>
            <w:tcMar>
              <w:top w:w="150" w:type="dxa"/>
              <w:left w:w="240" w:type="dxa"/>
              <w:bottom w:w="150" w:type="dxa"/>
              <w:right w:w="240" w:type="dxa"/>
            </w:tcMar>
            <w:vAlign w:val="center"/>
            <w:hideMark/>
          </w:tcPr>
          <w:p w14:paraId="67836D44"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8</w:t>
            </w:r>
          </w:p>
        </w:tc>
        <w:tc>
          <w:tcPr>
            <w:tcW w:w="0" w:type="auto"/>
            <w:tcMar>
              <w:top w:w="150" w:type="dxa"/>
              <w:left w:w="240" w:type="dxa"/>
              <w:bottom w:w="150" w:type="dxa"/>
              <w:right w:w="0" w:type="dxa"/>
            </w:tcMar>
            <w:vAlign w:val="center"/>
            <w:hideMark/>
          </w:tcPr>
          <w:p w14:paraId="3803B959"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11.8</w:t>
            </w:r>
          </w:p>
        </w:tc>
      </w:tr>
      <w:tr w:rsidR="00094EE9" w:rsidRPr="00B13A14" w14:paraId="7B4D5A32" w14:textId="77777777" w:rsidTr="00B13A14">
        <w:tc>
          <w:tcPr>
            <w:tcW w:w="0" w:type="auto"/>
            <w:tcMar>
              <w:top w:w="150" w:type="dxa"/>
              <w:left w:w="0" w:type="dxa"/>
              <w:bottom w:w="150" w:type="dxa"/>
              <w:right w:w="240" w:type="dxa"/>
            </w:tcMar>
            <w:vAlign w:val="center"/>
            <w:hideMark/>
          </w:tcPr>
          <w:p w14:paraId="162CF23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554305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55–59</w:t>
            </w:r>
          </w:p>
        </w:tc>
        <w:tc>
          <w:tcPr>
            <w:tcW w:w="0" w:type="auto"/>
            <w:tcMar>
              <w:top w:w="150" w:type="dxa"/>
              <w:left w:w="240" w:type="dxa"/>
              <w:bottom w:w="150" w:type="dxa"/>
              <w:right w:w="240" w:type="dxa"/>
            </w:tcMar>
            <w:vAlign w:val="center"/>
            <w:hideMark/>
          </w:tcPr>
          <w:p w14:paraId="19CEA79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w:t>
            </w:r>
          </w:p>
        </w:tc>
        <w:tc>
          <w:tcPr>
            <w:tcW w:w="0" w:type="auto"/>
            <w:tcMar>
              <w:top w:w="150" w:type="dxa"/>
              <w:left w:w="240" w:type="dxa"/>
              <w:bottom w:w="150" w:type="dxa"/>
              <w:right w:w="0" w:type="dxa"/>
            </w:tcMar>
            <w:vAlign w:val="center"/>
            <w:hideMark/>
          </w:tcPr>
          <w:p w14:paraId="27FEF6C3"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5.9</w:t>
            </w:r>
          </w:p>
        </w:tc>
      </w:tr>
      <w:tr w:rsidR="00094EE9" w:rsidRPr="00B13A14" w14:paraId="4F3AA628" w14:textId="77777777" w:rsidTr="00B13A14">
        <w:tc>
          <w:tcPr>
            <w:tcW w:w="0" w:type="auto"/>
            <w:tcMar>
              <w:top w:w="150" w:type="dxa"/>
              <w:left w:w="0" w:type="dxa"/>
              <w:bottom w:w="150" w:type="dxa"/>
              <w:right w:w="240" w:type="dxa"/>
            </w:tcMar>
            <w:vAlign w:val="center"/>
            <w:hideMark/>
          </w:tcPr>
          <w:p w14:paraId="618A3BAE"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F20644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60–64</w:t>
            </w:r>
          </w:p>
        </w:tc>
        <w:tc>
          <w:tcPr>
            <w:tcW w:w="0" w:type="auto"/>
            <w:tcMar>
              <w:top w:w="150" w:type="dxa"/>
              <w:left w:w="240" w:type="dxa"/>
              <w:bottom w:w="150" w:type="dxa"/>
              <w:right w:w="240" w:type="dxa"/>
            </w:tcMar>
            <w:vAlign w:val="center"/>
            <w:hideMark/>
          </w:tcPr>
          <w:p w14:paraId="68B4622B"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3</w:t>
            </w:r>
          </w:p>
        </w:tc>
        <w:tc>
          <w:tcPr>
            <w:tcW w:w="0" w:type="auto"/>
            <w:tcMar>
              <w:top w:w="150" w:type="dxa"/>
              <w:left w:w="240" w:type="dxa"/>
              <w:bottom w:w="150" w:type="dxa"/>
              <w:right w:w="0" w:type="dxa"/>
            </w:tcMar>
            <w:vAlign w:val="center"/>
            <w:hideMark/>
          </w:tcPr>
          <w:p w14:paraId="6B26EC0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4.4</w:t>
            </w:r>
          </w:p>
        </w:tc>
      </w:tr>
      <w:tr w:rsidR="00094EE9" w:rsidRPr="00B13A14" w14:paraId="4A7F5E5D" w14:textId="77777777" w:rsidTr="00B13A14">
        <w:tc>
          <w:tcPr>
            <w:tcW w:w="0" w:type="auto"/>
            <w:tcMar>
              <w:top w:w="150" w:type="dxa"/>
              <w:left w:w="0" w:type="dxa"/>
              <w:bottom w:w="150" w:type="dxa"/>
              <w:right w:w="240" w:type="dxa"/>
            </w:tcMar>
            <w:vAlign w:val="center"/>
            <w:hideMark/>
          </w:tcPr>
          <w:p w14:paraId="18053AE7"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BB178C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65–69</w:t>
            </w:r>
          </w:p>
        </w:tc>
        <w:tc>
          <w:tcPr>
            <w:tcW w:w="0" w:type="auto"/>
            <w:tcMar>
              <w:top w:w="150" w:type="dxa"/>
              <w:left w:w="240" w:type="dxa"/>
              <w:bottom w:w="150" w:type="dxa"/>
              <w:right w:w="240" w:type="dxa"/>
            </w:tcMar>
            <w:vAlign w:val="center"/>
            <w:hideMark/>
          </w:tcPr>
          <w:p w14:paraId="0272268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w:t>
            </w:r>
          </w:p>
        </w:tc>
        <w:tc>
          <w:tcPr>
            <w:tcW w:w="0" w:type="auto"/>
            <w:tcMar>
              <w:top w:w="150" w:type="dxa"/>
              <w:left w:w="240" w:type="dxa"/>
              <w:bottom w:w="150" w:type="dxa"/>
              <w:right w:w="0" w:type="dxa"/>
            </w:tcMar>
            <w:vAlign w:val="center"/>
            <w:hideMark/>
          </w:tcPr>
          <w:p w14:paraId="703C0B03"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2.9</w:t>
            </w:r>
          </w:p>
        </w:tc>
      </w:tr>
      <w:tr w:rsidR="00094EE9" w:rsidRPr="00B13A14" w14:paraId="5FE2999B" w14:textId="77777777" w:rsidTr="00B13A14">
        <w:tc>
          <w:tcPr>
            <w:tcW w:w="0" w:type="auto"/>
            <w:tcMar>
              <w:top w:w="150" w:type="dxa"/>
              <w:left w:w="0" w:type="dxa"/>
              <w:bottom w:w="150" w:type="dxa"/>
              <w:right w:w="240" w:type="dxa"/>
            </w:tcMar>
            <w:vAlign w:val="center"/>
            <w:hideMark/>
          </w:tcPr>
          <w:p w14:paraId="1353F253"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6841A2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70–74</w:t>
            </w:r>
          </w:p>
        </w:tc>
        <w:tc>
          <w:tcPr>
            <w:tcW w:w="0" w:type="auto"/>
            <w:tcMar>
              <w:top w:w="150" w:type="dxa"/>
              <w:left w:w="240" w:type="dxa"/>
              <w:bottom w:w="150" w:type="dxa"/>
              <w:right w:w="240" w:type="dxa"/>
            </w:tcMar>
            <w:vAlign w:val="center"/>
            <w:hideMark/>
          </w:tcPr>
          <w:p w14:paraId="64EBB59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w:t>
            </w:r>
          </w:p>
        </w:tc>
        <w:tc>
          <w:tcPr>
            <w:tcW w:w="0" w:type="auto"/>
            <w:tcMar>
              <w:top w:w="150" w:type="dxa"/>
              <w:left w:w="240" w:type="dxa"/>
              <w:bottom w:w="150" w:type="dxa"/>
              <w:right w:w="0" w:type="dxa"/>
            </w:tcMar>
            <w:vAlign w:val="center"/>
            <w:hideMark/>
          </w:tcPr>
          <w:p w14:paraId="41A1310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1.5</w:t>
            </w:r>
          </w:p>
        </w:tc>
      </w:tr>
      <w:tr w:rsidR="00094EE9" w:rsidRPr="00B13A14" w14:paraId="232A16EB" w14:textId="77777777" w:rsidTr="00B13A14">
        <w:tc>
          <w:tcPr>
            <w:tcW w:w="0" w:type="auto"/>
            <w:tcMar>
              <w:top w:w="150" w:type="dxa"/>
              <w:left w:w="0" w:type="dxa"/>
              <w:bottom w:w="150" w:type="dxa"/>
              <w:right w:w="240" w:type="dxa"/>
            </w:tcMar>
            <w:vAlign w:val="center"/>
            <w:hideMark/>
          </w:tcPr>
          <w:p w14:paraId="132BB4C4"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b/>
                <w:bCs/>
                <w:kern w:val="0"/>
                <w:sz w:val="22"/>
                <w:szCs w:val="22"/>
                <w14:ligatures w14:val="none"/>
              </w:rPr>
              <w:t>Sex</w:t>
            </w:r>
          </w:p>
        </w:tc>
        <w:tc>
          <w:tcPr>
            <w:tcW w:w="0" w:type="auto"/>
            <w:tcMar>
              <w:top w:w="150" w:type="dxa"/>
              <w:left w:w="240" w:type="dxa"/>
              <w:bottom w:w="150" w:type="dxa"/>
              <w:right w:w="240" w:type="dxa"/>
            </w:tcMar>
            <w:vAlign w:val="center"/>
            <w:hideMark/>
          </w:tcPr>
          <w:p w14:paraId="0EC2746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Male</w:t>
            </w:r>
          </w:p>
        </w:tc>
        <w:tc>
          <w:tcPr>
            <w:tcW w:w="0" w:type="auto"/>
            <w:tcMar>
              <w:top w:w="150" w:type="dxa"/>
              <w:left w:w="240" w:type="dxa"/>
              <w:bottom w:w="150" w:type="dxa"/>
              <w:right w:w="240" w:type="dxa"/>
            </w:tcMar>
            <w:vAlign w:val="center"/>
            <w:hideMark/>
          </w:tcPr>
          <w:p w14:paraId="54F986C3"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38</w:t>
            </w:r>
          </w:p>
        </w:tc>
        <w:tc>
          <w:tcPr>
            <w:tcW w:w="0" w:type="auto"/>
            <w:tcMar>
              <w:top w:w="150" w:type="dxa"/>
              <w:left w:w="240" w:type="dxa"/>
              <w:bottom w:w="150" w:type="dxa"/>
              <w:right w:w="0" w:type="dxa"/>
            </w:tcMar>
            <w:vAlign w:val="center"/>
            <w:hideMark/>
          </w:tcPr>
          <w:p w14:paraId="03B3C8C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55.9</w:t>
            </w:r>
          </w:p>
        </w:tc>
      </w:tr>
      <w:tr w:rsidR="00094EE9" w:rsidRPr="00B13A14" w14:paraId="441549EC" w14:textId="77777777" w:rsidTr="00B13A14">
        <w:tc>
          <w:tcPr>
            <w:tcW w:w="0" w:type="auto"/>
            <w:tcMar>
              <w:top w:w="150" w:type="dxa"/>
              <w:left w:w="0" w:type="dxa"/>
              <w:bottom w:w="150" w:type="dxa"/>
              <w:right w:w="240" w:type="dxa"/>
            </w:tcMar>
            <w:vAlign w:val="center"/>
            <w:hideMark/>
          </w:tcPr>
          <w:p w14:paraId="20BDF7A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2D3C4E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Female</w:t>
            </w:r>
          </w:p>
        </w:tc>
        <w:tc>
          <w:tcPr>
            <w:tcW w:w="0" w:type="auto"/>
            <w:tcMar>
              <w:top w:w="150" w:type="dxa"/>
              <w:left w:w="240" w:type="dxa"/>
              <w:bottom w:w="150" w:type="dxa"/>
              <w:right w:w="240" w:type="dxa"/>
            </w:tcMar>
            <w:vAlign w:val="center"/>
            <w:hideMark/>
          </w:tcPr>
          <w:p w14:paraId="01357A9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0" w:type="dxa"/>
            </w:tcMar>
            <w:vAlign w:val="center"/>
            <w:hideMark/>
          </w:tcPr>
          <w:p w14:paraId="7BAD57F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44.1</w:t>
            </w:r>
          </w:p>
        </w:tc>
      </w:tr>
      <w:tr w:rsidR="00094EE9" w:rsidRPr="00B13A14" w14:paraId="144DBC39" w14:textId="77777777" w:rsidTr="00B13A14">
        <w:tc>
          <w:tcPr>
            <w:tcW w:w="0" w:type="auto"/>
            <w:tcMar>
              <w:top w:w="150" w:type="dxa"/>
              <w:left w:w="0" w:type="dxa"/>
              <w:bottom w:w="150" w:type="dxa"/>
              <w:right w:w="240" w:type="dxa"/>
            </w:tcMar>
            <w:vAlign w:val="center"/>
            <w:hideMark/>
          </w:tcPr>
          <w:p w14:paraId="7FC1ACD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b/>
                <w:bCs/>
                <w:kern w:val="0"/>
                <w:sz w:val="22"/>
                <w:szCs w:val="22"/>
                <w14:ligatures w14:val="none"/>
              </w:rPr>
              <w:t>Education Level</w:t>
            </w:r>
          </w:p>
        </w:tc>
        <w:tc>
          <w:tcPr>
            <w:tcW w:w="0" w:type="auto"/>
            <w:tcMar>
              <w:top w:w="150" w:type="dxa"/>
              <w:left w:w="240" w:type="dxa"/>
              <w:bottom w:w="150" w:type="dxa"/>
              <w:right w:w="240" w:type="dxa"/>
            </w:tcMar>
            <w:vAlign w:val="center"/>
            <w:hideMark/>
          </w:tcPr>
          <w:p w14:paraId="4410803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A2 (State Diploma)</w:t>
            </w:r>
          </w:p>
        </w:tc>
        <w:tc>
          <w:tcPr>
            <w:tcW w:w="0" w:type="auto"/>
            <w:tcMar>
              <w:top w:w="150" w:type="dxa"/>
              <w:left w:w="240" w:type="dxa"/>
              <w:bottom w:w="150" w:type="dxa"/>
              <w:right w:w="240" w:type="dxa"/>
            </w:tcMar>
            <w:vAlign w:val="center"/>
            <w:hideMark/>
          </w:tcPr>
          <w:p w14:paraId="4814464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8</w:t>
            </w:r>
          </w:p>
        </w:tc>
        <w:tc>
          <w:tcPr>
            <w:tcW w:w="0" w:type="auto"/>
            <w:tcMar>
              <w:top w:w="150" w:type="dxa"/>
              <w:left w:w="240" w:type="dxa"/>
              <w:bottom w:w="150" w:type="dxa"/>
              <w:right w:w="0" w:type="dxa"/>
            </w:tcMar>
            <w:vAlign w:val="center"/>
            <w:hideMark/>
          </w:tcPr>
          <w:p w14:paraId="4CD7F7E4"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11.8</w:t>
            </w:r>
          </w:p>
        </w:tc>
      </w:tr>
      <w:tr w:rsidR="00094EE9" w:rsidRPr="00B13A14" w14:paraId="70F1F49D" w14:textId="77777777" w:rsidTr="00B13A14">
        <w:tc>
          <w:tcPr>
            <w:tcW w:w="0" w:type="auto"/>
            <w:tcMar>
              <w:top w:w="150" w:type="dxa"/>
              <w:left w:w="0" w:type="dxa"/>
              <w:bottom w:w="150" w:type="dxa"/>
              <w:right w:w="240" w:type="dxa"/>
            </w:tcMar>
            <w:vAlign w:val="center"/>
            <w:hideMark/>
          </w:tcPr>
          <w:p w14:paraId="053A9AB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44F422B"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A1 (</w:t>
            </w:r>
            <w:proofErr w:type="gramStart"/>
            <w:r w:rsidRPr="00B13A14">
              <w:rPr>
                <w:rFonts w:ascii="Times New Roman" w:eastAsia="Times New Roman" w:hAnsi="Times New Roman" w:cs="Times New Roman"/>
                <w:kern w:val="0"/>
                <w:sz w:val="22"/>
                <w:szCs w:val="22"/>
                <w14:ligatures w14:val="none"/>
              </w:rPr>
              <w:t>Associate Degree</w:t>
            </w:r>
            <w:proofErr w:type="gramEnd"/>
            <w:r w:rsidRPr="00B13A14">
              <w:rPr>
                <w:rFonts w:ascii="Times New Roman" w:eastAsia="Times New Roman" w:hAnsi="Times New Roman" w:cs="Times New Roman"/>
                <w:kern w:val="0"/>
                <w:sz w:val="22"/>
                <w:szCs w:val="22"/>
                <w14:ligatures w14:val="none"/>
              </w:rPr>
              <w:t>)</w:t>
            </w:r>
          </w:p>
        </w:tc>
        <w:tc>
          <w:tcPr>
            <w:tcW w:w="0" w:type="auto"/>
            <w:tcMar>
              <w:top w:w="150" w:type="dxa"/>
              <w:left w:w="240" w:type="dxa"/>
              <w:bottom w:w="150" w:type="dxa"/>
              <w:right w:w="240" w:type="dxa"/>
            </w:tcMar>
            <w:vAlign w:val="center"/>
            <w:hideMark/>
          </w:tcPr>
          <w:p w14:paraId="5FAA289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0" w:type="dxa"/>
            </w:tcMar>
            <w:vAlign w:val="center"/>
            <w:hideMark/>
          </w:tcPr>
          <w:p w14:paraId="1DE4E35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29.4</w:t>
            </w:r>
          </w:p>
        </w:tc>
      </w:tr>
      <w:tr w:rsidR="00094EE9" w:rsidRPr="00B13A14" w14:paraId="00108AE6" w14:textId="77777777" w:rsidTr="00B13A14">
        <w:tc>
          <w:tcPr>
            <w:tcW w:w="0" w:type="auto"/>
            <w:tcMar>
              <w:top w:w="150" w:type="dxa"/>
              <w:left w:w="0" w:type="dxa"/>
              <w:bottom w:w="150" w:type="dxa"/>
              <w:right w:w="240" w:type="dxa"/>
            </w:tcMar>
            <w:vAlign w:val="center"/>
            <w:hideMark/>
          </w:tcPr>
          <w:p w14:paraId="0D4228D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E25990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L2 (Bachelor's)</w:t>
            </w:r>
          </w:p>
        </w:tc>
        <w:tc>
          <w:tcPr>
            <w:tcW w:w="0" w:type="auto"/>
            <w:tcMar>
              <w:top w:w="150" w:type="dxa"/>
              <w:left w:w="240" w:type="dxa"/>
              <w:bottom w:w="150" w:type="dxa"/>
              <w:right w:w="240" w:type="dxa"/>
            </w:tcMar>
            <w:vAlign w:val="center"/>
            <w:hideMark/>
          </w:tcPr>
          <w:p w14:paraId="436D2C23"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28</w:t>
            </w:r>
          </w:p>
        </w:tc>
        <w:tc>
          <w:tcPr>
            <w:tcW w:w="0" w:type="auto"/>
            <w:tcMar>
              <w:top w:w="150" w:type="dxa"/>
              <w:left w:w="240" w:type="dxa"/>
              <w:bottom w:w="150" w:type="dxa"/>
              <w:right w:w="0" w:type="dxa"/>
            </w:tcMar>
            <w:vAlign w:val="center"/>
            <w:hideMark/>
          </w:tcPr>
          <w:p w14:paraId="4E431F3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41.2</w:t>
            </w:r>
          </w:p>
        </w:tc>
      </w:tr>
      <w:tr w:rsidR="00094EE9" w:rsidRPr="00B13A14" w14:paraId="6DFD9A9F" w14:textId="77777777" w:rsidTr="00B13A14">
        <w:tc>
          <w:tcPr>
            <w:tcW w:w="0" w:type="auto"/>
            <w:tcMar>
              <w:top w:w="150" w:type="dxa"/>
              <w:left w:w="0" w:type="dxa"/>
              <w:bottom w:w="150" w:type="dxa"/>
              <w:right w:w="240" w:type="dxa"/>
            </w:tcMar>
            <w:vAlign w:val="center"/>
            <w:hideMark/>
          </w:tcPr>
          <w:p w14:paraId="15AD42D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2EA0F2B"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Doctorate (Medicine)</w:t>
            </w:r>
          </w:p>
        </w:tc>
        <w:tc>
          <w:tcPr>
            <w:tcW w:w="0" w:type="auto"/>
            <w:tcMar>
              <w:top w:w="150" w:type="dxa"/>
              <w:left w:w="240" w:type="dxa"/>
              <w:bottom w:w="150" w:type="dxa"/>
              <w:right w:w="240" w:type="dxa"/>
            </w:tcMar>
            <w:vAlign w:val="center"/>
            <w:hideMark/>
          </w:tcPr>
          <w:p w14:paraId="5854BCAE"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12</w:t>
            </w:r>
          </w:p>
        </w:tc>
        <w:tc>
          <w:tcPr>
            <w:tcW w:w="0" w:type="auto"/>
            <w:tcMar>
              <w:top w:w="150" w:type="dxa"/>
              <w:left w:w="240" w:type="dxa"/>
              <w:bottom w:w="150" w:type="dxa"/>
              <w:right w:w="0" w:type="dxa"/>
            </w:tcMar>
            <w:vAlign w:val="center"/>
            <w:hideMark/>
          </w:tcPr>
          <w:p w14:paraId="45D741A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17.6</w:t>
            </w:r>
          </w:p>
        </w:tc>
      </w:tr>
      <w:tr w:rsidR="00094EE9" w:rsidRPr="00B13A14" w14:paraId="0CEE3DA8" w14:textId="77777777" w:rsidTr="00B13A14">
        <w:tc>
          <w:tcPr>
            <w:tcW w:w="0" w:type="auto"/>
            <w:tcMar>
              <w:top w:w="150" w:type="dxa"/>
              <w:left w:w="0" w:type="dxa"/>
              <w:bottom w:w="150" w:type="dxa"/>
              <w:right w:w="240" w:type="dxa"/>
            </w:tcMar>
            <w:vAlign w:val="center"/>
            <w:hideMark/>
          </w:tcPr>
          <w:p w14:paraId="3521BD8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b/>
                <w:bCs/>
                <w:kern w:val="0"/>
                <w:sz w:val="22"/>
                <w:szCs w:val="22"/>
                <w14:ligatures w14:val="none"/>
              </w:rPr>
              <w:t>Seniority (years)</w:t>
            </w:r>
          </w:p>
        </w:tc>
        <w:tc>
          <w:tcPr>
            <w:tcW w:w="0" w:type="auto"/>
            <w:tcMar>
              <w:top w:w="150" w:type="dxa"/>
              <w:left w:w="240" w:type="dxa"/>
              <w:bottom w:w="150" w:type="dxa"/>
              <w:right w:w="240" w:type="dxa"/>
            </w:tcMar>
            <w:vAlign w:val="center"/>
            <w:hideMark/>
          </w:tcPr>
          <w:p w14:paraId="6A6F9504"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1–10</w:t>
            </w:r>
          </w:p>
        </w:tc>
        <w:tc>
          <w:tcPr>
            <w:tcW w:w="0" w:type="auto"/>
            <w:tcMar>
              <w:top w:w="150" w:type="dxa"/>
              <w:left w:w="240" w:type="dxa"/>
              <w:bottom w:w="150" w:type="dxa"/>
              <w:right w:w="240" w:type="dxa"/>
            </w:tcMar>
            <w:vAlign w:val="center"/>
            <w:hideMark/>
          </w:tcPr>
          <w:p w14:paraId="55B49929"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27</w:t>
            </w:r>
          </w:p>
        </w:tc>
        <w:tc>
          <w:tcPr>
            <w:tcW w:w="0" w:type="auto"/>
            <w:tcMar>
              <w:top w:w="150" w:type="dxa"/>
              <w:left w:w="240" w:type="dxa"/>
              <w:bottom w:w="150" w:type="dxa"/>
              <w:right w:w="0" w:type="dxa"/>
            </w:tcMar>
            <w:vAlign w:val="center"/>
            <w:hideMark/>
          </w:tcPr>
          <w:p w14:paraId="0C64AA84"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39.7</w:t>
            </w:r>
          </w:p>
        </w:tc>
      </w:tr>
      <w:tr w:rsidR="00094EE9" w:rsidRPr="00B13A14" w14:paraId="52FE648F" w14:textId="77777777" w:rsidTr="00B13A14">
        <w:tc>
          <w:tcPr>
            <w:tcW w:w="0" w:type="auto"/>
            <w:tcMar>
              <w:top w:w="150" w:type="dxa"/>
              <w:left w:w="0" w:type="dxa"/>
              <w:bottom w:w="150" w:type="dxa"/>
              <w:right w:w="240" w:type="dxa"/>
            </w:tcMar>
            <w:vAlign w:val="center"/>
            <w:hideMark/>
          </w:tcPr>
          <w:p w14:paraId="2AC0163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6223BEA"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11–20</w:t>
            </w:r>
          </w:p>
        </w:tc>
        <w:tc>
          <w:tcPr>
            <w:tcW w:w="0" w:type="auto"/>
            <w:tcMar>
              <w:top w:w="150" w:type="dxa"/>
              <w:left w:w="240" w:type="dxa"/>
              <w:bottom w:w="150" w:type="dxa"/>
              <w:right w:w="240" w:type="dxa"/>
            </w:tcMar>
            <w:vAlign w:val="center"/>
            <w:hideMark/>
          </w:tcPr>
          <w:p w14:paraId="0A614F5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0" w:type="dxa"/>
            </w:tcMar>
            <w:vAlign w:val="center"/>
            <w:hideMark/>
          </w:tcPr>
          <w:p w14:paraId="522E3D9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36.8</w:t>
            </w:r>
          </w:p>
        </w:tc>
      </w:tr>
      <w:tr w:rsidR="00094EE9" w:rsidRPr="00B13A14" w14:paraId="5F93F1F8" w14:textId="77777777" w:rsidTr="00B13A14">
        <w:tc>
          <w:tcPr>
            <w:tcW w:w="0" w:type="auto"/>
            <w:tcMar>
              <w:top w:w="150" w:type="dxa"/>
              <w:left w:w="0" w:type="dxa"/>
              <w:bottom w:w="150" w:type="dxa"/>
              <w:right w:w="240" w:type="dxa"/>
            </w:tcMar>
            <w:vAlign w:val="center"/>
            <w:hideMark/>
          </w:tcPr>
          <w:p w14:paraId="0464A87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49F3033"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≥21</w:t>
            </w:r>
          </w:p>
        </w:tc>
        <w:tc>
          <w:tcPr>
            <w:tcW w:w="0" w:type="auto"/>
            <w:tcMar>
              <w:top w:w="150" w:type="dxa"/>
              <w:left w:w="240" w:type="dxa"/>
              <w:bottom w:w="150" w:type="dxa"/>
              <w:right w:w="240" w:type="dxa"/>
            </w:tcMar>
            <w:vAlign w:val="center"/>
            <w:hideMark/>
          </w:tcPr>
          <w:p w14:paraId="0A08E80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16</w:t>
            </w:r>
          </w:p>
        </w:tc>
        <w:tc>
          <w:tcPr>
            <w:tcW w:w="0" w:type="auto"/>
            <w:tcMar>
              <w:top w:w="150" w:type="dxa"/>
              <w:left w:w="240" w:type="dxa"/>
              <w:bottom w:w="150" w:type="dxa"/>
              <w:right w:w="0" w:type="dxa"/>
            </w:tcMar>
            <w:vAlign w:val="center"/>
            <w:hideMark/>
          </w:tcPr>
          <w:p w14:paraId="12B908D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23.5</w:t>
            </w:r>
          </w:p>
        </w:tc>
      </w:tr>
    </w:tbl>
    <w:p w14:paraId="6E3001BE" w14:textId="77777777" w:rsidR="00B13A14" w:rsidRDefault="00B13A14" w:rsidP="00094EE9">
      <w:pPr>
        <w:shd w:val="clear" w:color="auto" w:fill="FFFFFF"/>
        <w:spacing w:before="240" w:after="240" w:line="420" w:lineRule="atLeast"/>
        <w:rPr>
          <w:rFonts w:ascii="Times New Roman" w:eastAsia="Times New Roman" w:hAnsi="Times New Roman" w:cs="Times New Roman"/>
          <w:b/>
          <w:bCs/>
          <w:color w:val="0F1115"/>
          <w:kern w:val="0"/>
          <w14:ligatures w14:val="none"/>
        </w:rPr>
      </w:pPr>
    </w:p>
    <w:p w14:paraId="49B6B233" w14:textId="2D45EA08"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lastRenderedPageBreak/>
        <w:t>3.2. Knowledge of Twin Delivery Management</w:t>
      </w:r>
    </w:p>
    <w:p w14:paraId="00DF3914"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All participants (100%) had heard of twin delivery, but only 41.2% provided the complete definition ("expulsion of two fetuses and their appendages during the same delivery"). The evolution of twin delivery was known to 58.8% of participants. Diagnostic elements were mastered by only 44.1% of providers. Surveillance knowledge was higher (70.6%), and overall management knowledge was good in 70.6% of participants. Complications were known to 58.8% of providers (Table 2).</w:t>
      </w:r>
    </w:p>
    <w:p w14:paraId="0E9D72FC"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Table 2</w:t>
      </w:r>
      <w:r w:rsidRPr="00D9139F">
        <w:rPr>
          <w:rFonts w:ascii="Times New Roman" w:eastAsia="Times New Roman" w:hAnsi="Times New Roman" w:cs="Times New Roman"/>
          <w:color w:val="0F1115"/>
          <w:kern w:val="0"/>
          <w14:ligatures w14:val="none"/>
        </w:rPr>
        <w:br/>
        <w:t>*Knowledge of Twin Delivery Components (N = 68)*</w:t>
      </w:r>
    </w:p>
    <w:tbl>
      <w:tblPr>
        <w:tblW w:w="684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192"/>
        <w:gridCol w:w="2100"/>
        <w:gridCol w:w="1557"/>
      </w:tblGrid>
      <w:tr w:rsidR="00094EE9" w:rsidRPr="00B13A14" w14:paraId="0BCB9252" w14:textId="77777777" w:rsidTr="00B13A14">
        <w:trPr>
          <w:tblHeader/>
        </w:trPr>
        <w:tc>
          <w:tcPr>
            <w:tcW w:w="3192" w:type="dxa"/>
            <w:tcBorders>
              <w:top w:val="single" w:sz="4" w:space="0" w:color="auto"/>
              <w:bottom w:val="single" w:sz="4" w:space="0" w:color="auto"/>
            </w:tcBorders>
            <w:tcMar>
              <w:top w:w="150" w:type="dxa"/>
              <w:left w:w="0" w:type="dxa"/>
              <w:bottom w:w="150" w:type="dxa"/>
              <w:right w:w="240" w:type="dxa"/>
            </w:tcMar>
            <w:vAlign w:val="center"/>
            <w:hideMark/>
          </w:tcPr>
          <w:p w14:paraId="4950E24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Knowledge Component</w:t>
            </w:r>
          </w:p>
        </w:tc>
        <w:tc>
          <w:tcPr>
            <w:tcW w:w="2100" w:type="dxa"/>
            <w:tcBorders>
              <w:top w:val="single" w:sz="4" w:space="0" w:color="auto"/>
              <w:bottom w:val="single" w:sz="4" w:space="0" w:color="auto"/>
            </w:tcBorders>
            <w:tcMar>
              <w:top w:w="150" w:type="dxa"/>
              <w:left w:w="240" w:type="dxa"/>
              <w:bottom w:w="150" w:type="dxa"/>
              <w:right w:w="240" w:type="dxa"/>
            </w:tcMar>
            <w:vAlign w:val="center"/>
            <w:hideMark/>
          </w:tcPr>
          <w:p w14:paraId="3F065E2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Correct Response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7256ECE9"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Percentage (%)</w:t>
            </w:r>
          </w:p>
        </w:tc>
      </w:tr>
      <w:tr w:rsidR="00094EE9" w:rsidRPr="00B13A14" w14:paraId="3C7EA1F5" w14:textId="77777777" w:rsidTr="00B13A14">
        <w:tc>
          <w:tcPr>
            <w:tcW w:w="3192" w:type="dxa"/>
            <w:tcBorders>
              <w:top w:val="single" w:sz="4" w:space="0" w:color="auto"/>
            </w:tcBorders>
            <w:tcMar>
              <w:top w:w="150" w:type="dxa"/>
              <w:left w:w="0" w:type="dxa"/>
              <w:bottom w:w="150" w:type="dxa"/>
              <w:right w:w="240" w:type="dxa"/>
            </w:tcMar>
            <w:vAlign w:val="center"/>
            <w:hideMark/>
          </w:tcPr>
          <w:p w14:paraId="1BB90804"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Knows twin delivery (yes)</w:t>
            </w:r>
          </w:p>
        </w:tc>
        <w:tc>
          <w:tcPr>
            <w:tcW w:w="2100" w:type="dxa"/>
            <w:tcBorders>
              <w:top w:val="single" w:sz="4" w:space="0" w:color="auto"/>
            </w:tcBorders>
            <w:tcMar>
              <w:top w:w="150" w:type="dxa"/>
              <w:left w:w="240" w:type="dxa"/>
              <w:bottom w:w="150" w:type="dxa"/>
              <w:right w:w="240" w:type="dxa"/>
            </w:tcMar>
            <w:vAlign w:val="center"/>
            <w:hideMark/>
          </w:tcPr>
          <w:p w14:paraId="24754C1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68</w:t>
            </w:r>
          </w:p>
        </w:tc>
        <w:tc>
          <w:tcPr>
            <w:tcW w:w="1557" w:type="dxa"/>
            <w:tcBorders>
              <w:top w:val="single" w:sz="4" w:space="0" w:color="auto"/>
            </w:tcBorders>
            <w:tcMar>
              <w:top w:w="150" w:type="dxa"/>
              <w:left w:w="240" w:type="dxa"/>
              <w:bottom w:w="150" w:type="dxa"/>
              <w:right w:w="0" w:type="dxa"/>
            </w:tcMar>
            <w:vAlign w:val="center"/>
            <w:hideMark/>
          </w:tcPr>
          <w:p w14:paraId="42F4982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100.0</w:t>
            </w:r>
          </w:p>
        </w:tc>
      </w:tr>
      <w:tr w:rsidR="00094EE9" w:rsidRPr="00B13A14" w14:paraId="2DF8834B" w14:textId="77777777" w:rsidTr="00B13A14">
        <w:tc>
          <w:tcPr>
            <w:tcW w:w="3192" w:type="dxa"/>
            <w:tcMar>
              <w:top w:w="150" w:type="dxa"/>
              <w:left w:w="0" w:type="dxa"/>
              <w:bottom w:w="150" w:type="dxa"/>
              <w:right w:w="240" w:type="dxa"/>
            </w:tcMar>
            <w:vAlign w:val="center"/>
            <w:hideMark/>
          </w:tcPr>
          <w:p w14:paraId="611802E7"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Correct definition (complete)</w:t>
            </w:r>
          </w:p>
        </w:tc>
        <w:tc>
          <w:tcPr>
            <w:tcW w:w="2100" w:type="dxa"/>
            <w:tcMar>
              <w:top w:w="150" w:type="dxa"/>
              <w:left w:w="240" w:type="dxa"/>
              <w:bottom w:w="150" w:type="dxa"/>
              <w:right w:w="240" w:type="dxa"/>
            </w:tcMar>
            <w:vAlign w:val="center"/>
            <w:hideMark/>
          </w:tcPr>
          <w:p w14:paraId="71343C0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28</w:t>
            </w:r>
          </w:p>
        </w:tc>
        <w:tc>
          <w:tcPr>
            <w:tcW w:w="1557" w:type="dxa"/>
            <w:tcMar>
              <w:top w:w="150" w:type="dxa"/>
              <w:left w:w="240" w:type="dxa"/>
              <w:bottom w:w="150" w:type="dxa"/>
              <w:right w:w="0" w:type="dxa"/>
            </w:tcMar>
            <w:vAlign w:val="center"/>
            <w:hideMark/>
          </w:tcPr>
          <w:p w14:paraId="7BEF7F6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41.2</w:t>
            </w:r>
          </w:p>
        </w:tc>
      </w:tr>
      <w:tr w:rsidR="00094EE9" w:rsidRPr="00B13A14" w14:paraId="7C2B80EB" w14:textId="77777777" w:rsidTr="00B13A14">
        <w:tc>
          <w:tcPr>
            <w:tcW w:w="3192" w:type="dxa"/>
            <w:tcMar>
              <w:top w:w="150" w:type="dxa"/>
              <w:left w:w="0" w:type="dxa"/>
              <w:bottom w:w="150" w:type="dxa"/>
              <w:right w:w="240" w:type="dxa"/>
            </w:tcMar>
            <w:vAlign w:val="center"/>
            <w:hideMark/>
          </w:tcPr>
          <w:p w14:paraId="31D1901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Knows evolution (yes)</w:t>
            </w:r>
          </w:p>
        </w:tc>
        <w:tc>
          <w:tcPr>
            <w:tcW w:w="2100" w:type="dxa"/>
            <w:tcMar>
              <w:top w:w="150" w:type="dxa"/>
              <w:left w:w="240" w:type="dxa"/>
              <w:bottom w:w="150" w:type="dxa"/>
              <w:right w:w="240" w:type="dxa"/>
            </w:tcMar>
            <w:vAlign w:val="center"/>
            <w:hideMark/>
          </w:tcPr>
          <w:p w14:paraId="4F92876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40</w:t>
            </w:r>
          </w:p>
        </w:tc>
        <w:tc>
          <w:tcPr>
            <w:tcW w:w="1557" w:type="dxa"/>
            <w:tcMar>
              <w:top w:w="150" w:type="dxa"/>
              <w:left w:w="240" w:type="dxa"/>
              <w:bottom w:w="150" w:type="dxa"/>
              <w:right w:w="0" w:type="dxa"/>
            </w:tcMar>
            <w:vAlign w:val="center"/>
            <w:hideMark/>
          </w:tcPr>
          <w:p w14:paraId="436105E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58.8</w:t>
            </w:r>
          </w:p>
        </w:tc>
      </w:tr>
      <w:tr w:rsidR="00094EE9" w:rsidRPr="00B13A14" w14:paraId="5BA477DC" w14:textId="77777777" w:rsidTr="00B13A14">
        <w:tc>
          <w:tcPr>
            <w:tcW w:w="3192" w:type="dxa"/>
            <w:tcMar>
              <w:top w:w="150" w:type="dxa"/>
              <w:left w:w="0" w:type="dxa"/>
              <w:bottom w:w="150" w:type="dxa"/>
              <w:right w:w="240" w:type="dxa"/>
            </w:tcMar>
            <w:vAlign w:val="center"/>
            <w:hideMark/>
          </w:tcPr>
          <w:p w14:paraId="2BFDC51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Knows diagnostic elements (yes)</w:t>
            </w:r>
          </w:p>
        </w:tc>
        <w:tc>
          <w:tcPr>
            <w:tcW w:w="2100" w:type="dxa"/>
            <w:tcMar>
              <w:top w:w="150" w:type="dxa"/>
              <w:left w:w="240" w:type="dxa"/>
              <w:bottom w:w="150" w:type="dxa"/>
              <w:right w:w="240" w:type="dxa"/>
            </w:tcMar>
            <w:vAlign w:val="center"/>
            <w:hideMark/>
          </w:tcPr>
          <w:p w14:paraId="417DBCD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30</w:t>
            </w:r>
          </w:p>
        </w:tc>
        <w:tc>
          <w:tcPr>
            <w:tcW w:w="1557" w:type="dxa"/>
            <w:tcMar>
              <w:top w:w="150" w:type="dxa"/>
              <w:left w:w="240" w:type="dxa"/>
              <w:bottom w:w="150" w:type="dxa"/>
              <w:right w:w="0" w:type="dxa"/>
            </w:tcMar>
            <w:vAlign w:val="center"/>
            <w:hideMark/>
          </w:tcPr>
          <w:p w14:paraId="0FC38A7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44.1</w:t>
            </w:r>
          </w:p>
        </w:tc>
      </w:tr>
      <w:tr w:rsidR="00094EE9" w:rsidRPr="00B13A14" w14:paraId="5800EFC7" w14:textId="77777777" w:rsidTr="00B13A14">
        <w:tc>
          <w:tcPr>
            <w:tcW w:w="3192" w:type="dxa"/>
            <w:tcMar>
              <w:top w:w="150" w:type="dxa"/>
              <w:left w:w="0" w:type="dxa"/>
              <w:bottom w:w="150" w:type="dxa"/>
              <w:right w:w="240" w:type="dxa"/>
            </w:tcMar>
            <w:vAlign w:val="center"/>
            <w:hideMark/>
          </w:tcPr>
          <w:p w14:paraId="4F97115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Knows surveillance (yes)</w:t>
            </w:r>
          </w:p>
        </w:tc>
        <w:tc>
          <w:tcPr>
            <w:tcW w:w="2100" w:type="dxa"/>
            <w:tcMar>
              <w:top w:w="150" w:type="dxa"/>
              <w:left w:w="240" w:type="dxa"/>
              <w:bottom w:w="150" w:type="dxa"/>
              <w:right w:w="240" w:type="dxa"/>
            </w:tcMar>
            <w:vAlign w:val="center"/>
            <w:hideMark/>
          </w:tcPr>
          <w:p w14:paraId="7180BE9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48</w:t>
            </w:r>
          </w:p>
        </w:tc>
        <w:tc>
          <w:tcPr>
            <w:tcW w:w="1557" w:type="dxa"/>
            <w:tcMar>
              <w:top w:w="150" w:type="dxa"/>
              <w:left w:w="240" w:type="dxa"/>
              <w:bottom w:w="150" w:type="dxa"/>
              <w:right w:w="0" w:type="dxa"/>
            </w:tcMar>
            <w:vAlign w:val="center"/>
            <w:hideMark/>
          </w:tcPr>
          <w:p w14:paraId="731DC44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70.6</w:t>
            </w:r>
          </w:p>
        </w:tc>
      </w:tr>
      <w:tr w:rsidR="00094EE9" w:rsidRPr="00B13A14" w14:paraId="00CCEAEB" w14:textId="77777777" w:rsidTr="00B13A14">
        <w:tc>
          <w:tcPr>
            <w:tcW w:w="3192" w:type="dxa"/>
            <w:tcMar>
              <w:top w:w="150" w:type="dxa"/>
              <w:left w:w="0" w:type="dxa"/>
              <w:bottom w:w="150" w:type="dxa"/>
              <w:right w:w="240" w:type="dxa"/>
            </w:tcMar>
            <w:vAlign w:val="center"/>
            <w:hideMark/>
          </w:tcPr>
          <w:p w14:paraId="36FB807B"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Knows management (yes)</w:t>
            </w:r>
          </w:p>
        </w:tc>
        <w:tc>
          <w:tcPr>
            <w:tcW w:w="2100" w:type="dxa"/>
            <w:tcMar>
              <w:top w:w="150" w:type="dxa"/>
              <w:left w:w="240" w:type="dxa"/>
              <w:bottom w:w="150" w:type="dxa"/>
              <w:right w:w="240" w:type="dxa"/>
            </w:tcMar>
            <w:vAlign w:val="center"/>
            <w:hideMark/>
          </w:tcPr>
          <w:p w14:paraId="697CCAB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48</w:t>
            </w:r>
          </w:p>
        </w:tc>
        <w:tc>
          <w:tcPr>
            <w:tcW w:w="1557" w:type="dxa"/>
            <w:tcMar>
              <w:top w:w="150" w:type="dxa"/>
              <w:left w:w="240" w:type="dxa"/>
              <w:bottom w:w="150" w:type="dxa"/>
              <w:right w:w="0" w:type="dxa"/>
            </w:tcMar>
            <w:vAlign w:val="center"/>
            <w:hideMark/>
          </w:tcPr>
          <w:p w14:paraId="7378EA99"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70.6</w:t>
            </w:r>
          </w:p>
        </w:tc>
      </w:tr>
      <w:tr w:rsidR="00094EE9" w:rsidRPr="00B13A14" w14:paraId="449F0E06" w14:textId="77777777" w:rsidTr="00B13A14">
        <w:tc>
          <w:tcPr>
            <w:tcW w:w="3192" w:type="dxa"/>
            <w:tcMar>
              <w:top w:w="150" w:type="dxa"/>
              <w:left w:w="0" w:type="dxa"/>
              <w:bottom w:w="150" w:type="dxa"/>
              <w:right w:w="240" w:type="dxa"/>
            </w:tcMar>
            <w:vAlign w:val="center"/>
            <w:hideMark/>
          </w:tcPr>
          <w:p w14:paraId="505CEC19"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Knows complications (yes)</w:t>
            </w:r>
          </w:p>
        </w:tc>
        <w:tc>
          <w:tcPr>
            <w:tcW w:w="2100" w:type="dxa"/>
            <w:tcMar>
              <w:top w:w="150" w:type="dxa"/>
              <w:left w:w="240" w:type="dxa"/>
              <w:bottom w:w="150" w:type="dxa"/>
              <w:right w:w="240" w:type="dxa"/>
            </w:tcMar>
            <w:vAlign w:val="center"/>
            <w:hideMark/>
          </w:tcPr>
          <w:p w14:paraId="17DA53C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40</w:t>
            </w:r>
          </w:p>
        </w:tc>
        <w:tc>
          <w:tcPr>
            <w:tcW w:w="1557" w:type="dxa"/>
            <w:tcMar>
              <w:top w:w="150" w:type="dxa"/>
              <w:left w:w="240" w:type="dxa"/>
              <w:bottom w:w="150" w:type="dxa"/>
              <w:right w:w="0" w:type="dxa"/>
            </w:tcMar>
            <w:vAlign w:val="center"/>
            <w:hideMark/>
          </w:tcPr>
          <w:p w14:paraId="2DCDA0D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58.8</w:t>
            </w:r>
          </w:p>
        </w:tc>
      </w:tr>
    </w:tbl>
    <w:p w14:paraId="24E9DA71"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Among diagnostic elements cited (multiple responses allowed), two fetal heart rate foci (37.5%) and excessive fetal movements (32.5%) were most frequently mentioned. The most cited complications were interlocking chins (37.5%) and conjoined twins (27.5%); postpartum hemorrhage was cited by only 12.5% of participants.</w:t>
      </w:r>
    </w:p>
    <w:p w14:paraId="3A6DE7DC"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3.3. Attitudes Toward Twin Delivery</w:t>
      </w:r>
    </w:p>
    <w:p w14:paraId="2564AF5A"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lastRenderedPageBreak/>
        <w:t>The most frequently reported attitudes were attentive observation (26.4%), interdisciplinary collaboration (22.1%), and clear communication (20.6%). Empathy (16.2%) and emotional support (14.7%) were less frequently cited (Table 3).</w:t>
      </w:r>
    </w:p>
    <w:p w14:paraId="22A7CDAA"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Table 3</w:t>
      </w:r>
      <w:r w:rsidRPr="00D9139F">
        <w:rPr>
          <w:rFonts w:ascii="Times New Roman" w:eastAsia="Times New Roman" w:hAnsi="Times New Roman" w:cs="Times New Roman"/>
          <w:color w:val="0F1115"/>
          <w:kern w:val="0"/>
          <w14:ligatures w14:val="none"/>
        </w:rPr>
        <w:br/>
        <w:t>*Attitudes of Providers Toward Twin Delivery (N = 68, multiple responses)*</w:t>
      </w:r>
    </w:p>
    <w:tbl>
      <w:tblPr>
        <w:tblW w:w="593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36"/>
        <w:gridCol w:w="1442"/>
        <w:gridCol w:w="1557"/>
      </w:tblGrid>
      <w:tr w:rsidR="00094EE9" w:rsidRPr="00B13A14" w14:paraId="26472148" w14:textId="77777777" w:rsidTr="00B13A14">
        <w:trPr>
          <w:tblHeader/>
        </w:trPr>
        <w:tc>
          <w:tcPr>
            <w:tcW w:w="2936" w:type="dxa"/>
            <w:tcBorders>
              <w:top w:val="single" w:sz="4" w:space="0" w:color="auto"/>
              <w:bottom w:val="single" w:sz="4" w:space="0" w:color="auto"/>
            </w:tcBorders>
            <w:tcMar>
              <w:top w:w="150" w:type="dxa"/>
              <w:left w:w="0" w:type="dxa"/>
              <w:bottom w:w="150" w:type="dxa"/>
              <w:right w:w="240" w:type="dxa"/>
            </w:tcMar>
            <w:vAlign w:val="center"/>
            <w:hideMark/>
          </w:tcPr>
          <w:p w14:paraId="1A89AE8E"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Attitude</w:t>
            </w:r>
          </w:p>
        </w:tc>
        <w:tc>
          <w:tcPr>
            <w:tcW w:w="1442" w:type="dxa"/>
            <w:tcBorders>
              <w:top w:val="single" w:sz="4" w:space="0" w:color="auto"/>
              <w:bottom w:val="single" w:sz="4" w:space="0" w:color="auto"/>
            </w:tcBorders>
            <w:tcMar>
              <w:top w:w="150" w:type="dxa"/>
              <w:left w:w="240" w:type="dxa"/>
              <w:bottom w:w="150" w:type="dxa"/>
              <w:right w:w="240" w:type="dxa"/>
            </w:tcMar>
            <w:vAlign w:val="center"/>
            <w:hideMark/>
          </w:tcPr>
          <w:p w14:paraId="2EFA2F1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Frequency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4EEE47D9"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Percentage (%)</w:t>
            </w:r>
          </w:p>
        </w:tc>
      </w:tr>
      <w:tr w:rsidR="00094EE9" w:rsidRPr="00B13A14" w14:paraId="47534ECB" w14:textId="77777777" w:rsidTr="00B13A14">
        <w:tc>
          <w:tcPr>
            <w:tcW w:w="2936" w:type="dxa"/>
            <w:tcBorders>
              <w:top w:val="single" w:sz="4" w:space="0" w:color="auto"/>
            </w:tcBorders>
            <w:tcMar>
              <w:top w:w="150" w:type="dxa"/>
              <w:left w:w="0" w:type="dxa"/>
              <w:bottom w:w="150" w:type="dxa"/>
              <w:right w:w="240" w:type="dxa"/>
            </w:tcMar>
            <w:vAlign w:val="center"/>
            <w:hideMark/>
          </w:tcPr>
          <w:p w14:paraId="11D48BA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Attentive observation</w:t>
            </w:r>
          </w:p>
        </w:tc>
        <w:tc>
          <w:tcPr>
            <w:tcW w:w="1442" w:type="dxa"/>
            <w:tcBorders>
              <w:top w:val="single" w:sz="4" w:space="0" w:color="auto"/>
            </w:tcBorders>
            <w:tcMar>
              <w:top w:w="150" w:type="dxa"/>
              <w:left w:w="240" w:type="dxa"/>
              <w:bottom w:w="150" w:type="dxa"/>
              <w:right w:w="240" w:type="dxa"/>
            </w:tcMar>
            <w:vAlign w:val="center"/>
            <w:hideMark/>
          </w:tcPr>
          <w:p w14:paraId="21FDED2B"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18</w:t>
            </w:r>
          </w:p>
        </w:tc>
        <w:tc>
          <w:tcPr>
            <w:tcW w:w="1557" w:type="dxa"/>
            <w:tcBorders>
              <w:top w:val="single" w:sz="4" w:space="0" w:color="auto"/>
            </w:tcBorders>
            <w:tcMar>
              <w:top w:w="150" w:type="dxa"/>
              <w:left w:w="240" w:type="dxa"/>
              <w:bottom w:w="150" w:type="dxa"/>
              <w:right w:w="0" w:type="dxa"/>
            </w:tcMar>
            <w:vAlign w:val="center"/>
            <w:hideMark/>
          </w:tcPr>
          <w:p w14:paraId="2580554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26.4</w:t>
            </w:r>
          </w:p>
        </w:tc>
      </w:tr>
      <w:tr w:rsidR="00094EE9" w:rsidRPr="00B13A14" w14:paraId="341C903E" w14:textId="77777777" w:rsidTr="00B13A14">
        <w:tc>
          <w:tcPr>
            <w:tcW w:w="2936" w:type="dxa"/>
            <w:tcMar>
              <w:top w:w="150" w:type="dxa"/>
              <w:left w:w="0" w:type="dxa"/>
              <w:bottom w:w="150" w:type="dxa"/>
              <w:right w:w="240" w:type="dxa"/>
            </w:tcMar>
            <w:vAlign w:val="center"/>
            <w:hideMark/>
          </w:tcPr>
          <w:p w14:paraId="620293B7"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Interdisciplinary collaboration</w:t>
            </w:r>
          </w:p>
        </w:tc>
        <w:tc>
          <w:tcPr>
            <w:tcW w:w="1442" w:type="dxa"/>
            <w:tcMar>
              <w:top w:w="150" w:type="dxa"/>
              <w:left w:w="240" w:type="dxa"/>
              <w:bottom w:w="150" w:type="dxa"/>
              <w:right w:w="240" w:type="dxa"/>
            </w:tcMar>
            <w:vAlign w:val="center"/>
            <w:hideMark/>
          </w:tcPr>
          <w:p w14:paraId="17E9C8B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15</w:t>
            </w:r>
          </w:p>
        </w:tc>
        <w:tc>
          <w:tcPr>
            <w:tcW w:w="1557" w:type="dxa"/>
            <w:tcMar>
              <w:top w:w="150" w:type="dxa"/>
              <w:left w:w="240" w:type="dxa"/>
              <w:bottom w:w="150" w:type="dxa"/>
              <w:right w:w="0" w:type="dxa"/>
            </w:tcMar>
            <w:vAlign w:val="center"/>
            <w:hideMark/>
          </w:tcPr>
          <w:p w14:paraId="7EC7052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22.1</w:t>
            </w:r>
          </w:p>
        </w:tc>
      </w:tr>
      <w:tr w:rsidR="00094EE9" w:rsidRPr="00B13A14" w14:paraId="3D089DFD" w14:textId="77777777" w:rsidTr="00B13A14">
        <w:tc>
          <w:tcPr>
            <w:tcW w:w="2936" w:type="dxa"/>
            <w:tcMar>
              <w:top w:w="150" w:type="dxa"/>
              <w:left w:w="0" w:type="dxa"/>
              <w:bottom w:w="150" w:type="dxa"/>
              <w:right w:w="240" w:type="dxa"/>
            </w:tcMar>
            <w:vAlign w:val="center"/>
            <w:hideMark/>
          </w:tcPr>
          <w:p w14:paraId="46D6587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Clear communication</w:t>
            </w:r>
          </w:p>
        </w:tc>
        <w:tc>
          <w:tcPr>
            <w:tcW w:w="1442" w:type="dxa"/>
            <w:tcMar>
              <w:top w:w="150" w:type="dxa"/>
              <w:left w:w="240" w:type="dxa"/>
              <w:bottom w:w="150" w:type="dxa"/>
              <w:right w:w="240" w:type="dxa"/>
            </w:tcMar>
            <w:vAlign w:val="center"/>
            <w:hideMark/>
          </w:tcPr>
          <w:p w14:paraId="280D959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14</w:t>
            </w:r>
          </w:p>
        </w:tc>
        <w:tc>
          <w:tcPr>
            <w:tcW w:w="1557" w:type="dxa"/>
            <w:tcMar>
              <w:top w:w="150" w:type="dxa"/>
              <w:left w:w="240" w:type="dxa"/>
              <w:bottom w:w="150" w:type="dxa"/>
              <w:right w:w="0" w:type="dxa"/>
            </w:tcMar>
            <w:vAlign w:val="center"/>
            <w:hideMark/>
          </w:tcPr>
          <w:p w14:paraId="2C2FB39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20.6</w:t>
            </w:r>
          </w:p>
        </w:tc>
      </w:tr>
      <w:tr w:rsidR="00094EE9" w:rsidRPr="00B13A14" w14:paraId="582924B7" w14:textId="77777777" w:rsidTr="00B13A14">
        <w:tc>
          <w:tcPr>
            <w:tcW w:w="2936" w:type="dxa"/>
            <w:tcMar>
              <w:top w:w="150" w:type="dxa"/>
              <w:left w:w="0" w:type="dxa"/>
              <w:bottom w:w="150" w:type="dxa"/>
              <w:right w:w="240" w:type="dxa"/>
            </w:tcMar>
            <w:vAlign w:val="center"/>
            <w:hideMark/>
          </w:tcPr>
          <w:p w14:paraId="0EA1C45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Empathy</w:t>
            </w:r>
          </w:p>
        </w:tc>
        <w:tc>
          <w:tcPr>
            <w:tcW w:w="1442" w:type="dxa"/>
            <w:tcMar>
              <w:top w:w="150" w:type="dxa"/>
              <w:left w:w="240" w:type="dxa"/>
              <w:bottom w:w="150" w:type="dxa"/>
              <w:right w:w="240" w:type="dxa"/>
            </w:tcMar>
            <w:vAlign w:val="center"/>
            <w:hideMark/>
          </w:tcPr>
          <w:p w14:paraId="6EF6C1E7"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11</w:t>
            </w:r>
          </w:p>
        </w:tc>
        <w:tc>
          <w:tcPr>
            <w:tcW w:w="1557" w:type="dxa"/>
            <w:tcMar>
              <w:top w:w="150" w:type="dxa"/>
              <w:left w:w="240" w:type="dxa"/>
              <w:bottom w:w="150" w:type="dxa"/>
              <w:right w:w="0" w:type="dxa"/>
            </w:tcMar>
            <w:vAlign w:val="center"/>
            <w:hideMark/>
          </w:tcPr>
          <w:p w14:paraId="0B79BBE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16.2</w:t>
            </w:r>
          </w:p>
        </w:tc>
      </w:tr>
      <w:tr w:rsidR="00094EE9" w:rsidRPr="00B13A14" w14:paraId="4B2A6923" w14:textId="77777777" w:rsidTr="00B13A14">
        <w:tc>
          <w:tcPr>
            <w:tcW w:w="2936" w:type="dxa"/>
            <w:tcMar>
              <w:top w:w="150" w:type="dxa"/>
              <w:left w:w="0" w:type="dxa"/>
              <w:bottom w:w="150" w:type="dxa"/>
              <w:right w:w="240" w:type="dxa"/>
            </w:tcMar>
            <w:vAlign w:val="center"/>
            <w:hideMark/>
          </w:tcPr>
          <w:p w14:paraId="3D725DFE"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Emotional support</w:t>
            </w:r>
          </w:p>
        </w:tc>
        <w:tc>
          <w:tcPr>
            <w:tcW w:w="1442" w:type="dxa"/>
            <w:tcMar>
              <w:top w:w="150" w:type="dxa"/>
              <w:left w:w="240" w:type="dxa"/>
              <w:bottom w:w="150" w:type="dxa"/>
              <w:right w:w="240" w:type="dxa"/>
            </w:tcMar>
            <w:vAlign w:val="center"/>
            <w:hideMark/>
          </w:tcPr>
          <w:p w14:paraId="678CA71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10</w:t>
            </w:r>
          </w:p>
        </w:tc>
        <w:tc>
          <w:tcPr>
            <w:tcW w:w="1557" w:type="dxa"/>
            <w:tcMar>
              <w:top w:w="150" w:type="dxa"/>
              <w:left w:w="240" w:type="dxa"/>
              <w:bottom w:w="150" w:type="dxa"/>
              <w:right w:w="0" w:type="dxa"/>
            </w:tcMar>
            <w:vAlign w:val="center"/>
            <w:hideMark/>
          </w:tcPr>
          <w:p w14:paraId="19F445E7"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14.7</w:t>
            </w:r>
          </w:p>
        </w:tc>
      </w:tr>
    </w:tbl>
    <w:p w14:paraId="351042BA"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3.4. Practices in Twin Delivery Management</w:t>
      </w:r>
    </w:p>
    <w:p w14:paraId="4BDC9955"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The </w:t>
      </w:r>
      <w:proofErr w:type="gramStart"/>
      <w:r w:rsidRPr="00D9139F">
        <w:rPr>
          <w:rFonts w:ascii="Times New Roman" w:eastAsia="Times New Roman" w:hAnsi="Times New Roman" w:cs="Times New Roman"/>
          <w:color w:val="0F1115"/>
          <w:kern w:val="0"/>
          <w14:ligatures w14:val="none"/>
        </w:rPr>
        <w:t>most commonly reported</w:t>
      </w:r>
      <w:proofErr w:type="gramEnd"/>
      <w:r w:rsidRPr="00D9139F">
        <w:rPr>
          <w:rFonts w:ascii="Times New Roman" w:eastAsia="Times New Roman" w:hAnsi="Times New Roman" w:cs="Times New Roman"/>
          <w:color w:val="0F1115"/>
          <w:kern w:val="0"/>
          <w14:ligatures w14:val="none"/>
        </w:rPr>
        <w:t xml:space="preserve"> practices were prenatal assessment (23.5%), postnatal care (22.1%), and continuous monitoring (17.6%). Pain management (11.8%) and specific interventions (e.g., internal version, 10.3%) were less frequently cited (Table 4).</w:t>
      </w:r>
    </w:p>
    <w:p w14:paraId="68F341D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Table 4</w:t>
      </w:r>
      <w:r w:rsidRPr="00D9139F">
        <w:rPr>
          <w:rFonts w:ascii="Times New Roman" w:eastAsia="Times New Roman" w:hAnsi="Times New Roman" w:cs="Times New Roman"/>
          <w:color w:val="0F1115"/>
          <w:kern w:val="0"/>
          <w14:ligatures w14:val="none"/>
        </w:rPr>
        <w:br/>
        <w:t>*Practices of Providers in Twin Delivery Management (N = 68, multiple responses)*</w:t>
      </w:r>
    </w:p>
    <w:tbl>
      <w:tblPr>
        <w:tblW w:w="528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86"/>
        <w:gridCol w:w="1442"/>
        <w:gridCol w:w="1557"/>
      </w:tblGrid>
      <w:tr w:rsidR="00094EE9" w:rsidRPr="00B13A14" w14:paraId="5BCA35C5" w14:textId="77777777" w:rsidTr="00B13A14">
        <w:trPr>
          <w:tblHeader/>
        </w:trPr>
        <w:tc>
          <w:tcPr>
            <w:tcW w:w="2286" w:type="dxa"/>
            <w:tcBorders>
              <w:top w:val="single" w:sz="4" w:space="0" w:color="auto"/>
              <w:bottom w:val="single" w:sz="4" w:space="0" w:color="auto"/>
            </w:tcBorders>
            <w:tcMar>
              <w:top w:w="150" w:type="dxa"/>
              <w:left w:w="0" w:type="dxa"/>
              <w:bottom w:w="150" w:type="dxa"/>
              <w:right w:w="240" w:type="dxa"/>
            </w:tcMar>
            <w:vAlign w:val="center"/>
            <w:hideMark/>
          </w:tcPr>
          <w:p w14:paraId="5730FD5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Practice</w:t>
            </w:r>
          </w:p>
        </w:tc>
        <w:tc>
          <w:tcPr>
            <w:tcW w:w="1442" w:type="dxa"/>
            <w:tcBorders>
              <w:top w:val="single" w:sz="4" w:space="0" w:color="auto"/>
              <w:bottom w:val="single" w:sz="4" w:space="0" w:color="auto"/>
            </w:tcBorders>
            <w:tcMar>
              <w:top w:w="150" w:type="dxa"/>
              <w:left w:w="240" w:type="dxa"/>
              <w:bottom w:w="150" w:type="dxa"/>
              <w:right w:w="240" w:type="dxa"/>
            </w:tcMar>
            <w:vAlign w:val="center"/>
            <w:hideMark/>
          </w:tcPr>
          <w:p w14:paraId="0D74BE17"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Frequency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52AD420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Percentage (%)</w:t>
            </w:r>
          </w:p>
        </w:tc>
      </w:tr>
      <w:tr w:rsidR="00094EE9" w:rsidRPr="00B13A14" w14:paraId="29E15181" w14:textId="77777777" w:rsidTr="00B13A14">
        <w:tc>
          <w:tcPr>
            <w:tcW w:w="2286" w:type="dxa"/>
            <w:tcBorders>
              <w:top w:val="single" w:sz="4" w:space="0" w:color="auto"/>
            </w:tcBorders>
            <w:tcMar>
              <w:top w:w="150" w:type="dxa"/>
              <w:left w:w="0" w:type="dxa"/>
              <w:bottom w:w="150" w:type="dxa"/>
              <w:right w:w="240" w:type="dxa"/>
            </w:tcMar>
            <w:vAlign w:val="center"/>
            <w:hideMark/>
          </w:tcPr>
          <w:p w14:paraId="777DA7B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Prenatal assessment</w:t>
            </w:r>
          </w:p>
        </w:tc>
        <w:tc>
          <w:tcPr>
            <w:tcW w:w="1442" w:type="dxa"/>
            <w:tcBorders>
              <w:top w:val="single" w:sz="4" w:space="0" w:color="auto"/>
            </w:tcBorders>
            <w:tcMar>
              <w:top w:w="150" w:type="dxa"/>
              <w:left w:w="240" w:type="dxa"/>
              <w:bottom w:w="150" w:type="dxa"/>
              <w:right w:w="240" w:type="dxa"/>
            </w:tcMar>
            <w:vAlign w:val="center"/>
            <w:hideMark/>
          </w:tcPr>
          <w:p w14:paraId="2A993AC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16</w:t>
            </w:r>
          </w:p>
        </w:tc>
        <w:tc>
          <w:tcPr>
            <w:tcW w:w="1557" w:type="dxa"/>
            <w:tcBorders>
              <w:top w:val="single" w:sz="4" w:space="0" w:color="auto"/>
            </w:tcBorders>
            <w:tcMar>
              <w:top w:w="150" w:type="dxa"/>
              <w:left w:w="240" w:type="dxa"/>
              <w:bottom w:w="150" w:type="dxa"/>
              <w:right w:w="0" w:type="dxa"/>
            </w:tcMar>
            <w:vAlign w:val="center"/>
            <w:hideMark/>
          </w:tcPr>
          <w:p w14:paraId="5370CFD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23.5</w:t>
            </w:r>
          </w:p>
        </w:tc>
      </w:tr>
      <w:tr w:rsidR="00094EE9" w:rsidRPr="00B13A14" w14:paraId="03BEA068" w14:textId="77777777" w:rsidTr="00B13A14">
        <w:tc>
          <w:tcPr>
            <w:tcW w:w="2286" w:type="dxa"/>
            <w:tcMar>
              <w:top w:w="150" w:type="dxa"/>
              <w:left w:w="0" w:type="dxa"/>
              <w:bottom w:w="150" w:type="dxa"/>
              <w:right w:w="240" w:type="dxa"/>
            </w:tcMar>
            <w:vAlign w:val="center"/>
            <w:hideMark/>
          </w:tcPr>
          <w:p w14:paraId="44008DC4"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Postnatal care</w:t>
            </w:r>
          </w:p>
        </w:tc>
        <w:tc>
          <w:tcPr>
            <w:tcW w:w="1442" w:type="dxa"/>
            <w:tcMar>
              <w:top w:w="150" w:type="dxa"/>
              <w:left w:w="240" w:type="dxa"/>
              <w:bottom w:w="150" w:type="dxa"/>
              <w:right w:w="240" w:type="dxa"/>
            </w:tcMar>
            <w:vAlign w:val="center"/>
            <w:hideMark/>
          </w:tcPr>
          <w:p w14:paraId="644B721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15</w:t>
            </w:r>
          </w:p>
        </w:tc>
        <w:tc>
          <w:tcPr>
            <w:tcW w:w="1557" w:type="dxa"/>
            <w:tcMar>
              <w:top w:w="150" w:type="dxa"/>
              <w:left w:w="240" w:type="dxa"/>
              <w:bottom w:w="150" w:type="dxa"/>
              <w:right w:w="0" w:type="dxa"/>
            </w:tcMar>
            <w:vAlign w:val="center"/>
            <w:hideMark/>
          </w:tcPr>
          <w:p w14:paraId="3D65C18A"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22.1</w:t>
            </w:r>
          </w:p>
        </w:tc>
      </w:tr>
      <w:tr w:rsidR="00094EE9" w:rsidRPr="00B13A14" w14:paraId="42A5DB79" w14:textId="77777777" w:rsidTr="00B13A14">
        <w:tc>
          <w:tcPr>
            <w:tcW w:w="2286" w:type="dxa"/>
            <w:tcMar>
              <w:top w:w="150" w:type="dxa"/>
              <w:left w:w="0" w:type="dxa"/>
              <w:bottom w:w="150" w:type="dxa"/>
              <w:right w:w="240" w:type="dxa"/>
            </w:tcMar>
            <w:vAlign w:val="center"/>
            <w:hideMark/>
          </w:tcPr>
          <w:p w14:paraId="431C5E0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Continuous monitoring</w:t>
            </w:r>
          </w:p>
        </w:tc>
        <w:tc>
          <w:tcPr>
            <w:tcW w:w="1442" w:type="dxa"/>
            <w:tcMar>
              <w:top w:w="150" w:type="dxa"/>
              <w:left w:w="240" w:type="dxa"/>
              <w:bottom w:w="150" w:type="dxa"/>
              <w:right w:w="240" w:type="dxa"/>
            </w:tcMar>
            <w:vAlign w:val="center"/>
            <w:hideMark/>
          </w:tcPr>
          <w:p w14:paraId="324FAE0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12</w:t>
            </w:r>
          </w:p>
        </w:tc>
        <w:tc>
          <w:tcPr>
            <w:tcW w:w="1557" w:type="dxa"/>
            <w:tcMar>
              <w:top w:w="150" w:type="dxa"/>
              <w:left w:w="240" w:type="dxa"/>
              <w:bottom w:w="150" w:type="dxa"/>
              <w:right w:w="0" w:type="dxa"/>
            </w:tcMar>
            <w:vAlign w:val="center"/>
            <w:hideMark/>
          </w:tcPr>
          <w:p w14:paraId="35D4E01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17.6</w:t>
            </w:r>
          </w:p>
        </w:tc>
      </w:tr>
      <w:tr w:rsidR="00094EE9" w:rsidRPr="00B13A14" w14:paraId="5790DB5A" w14:textId="77777777" w:rsidTr="00B13A14">
        <w:tc>
          <w:tcPr>
            <w:tcW w:w="2286" w:type="dxa"/>
            <w:tcMar>
              <w:top w:w="150" w:type="dxa"/>
              <w:left w:w="0" w:type="dxa"/>
              <w:bottom w:w="150" w:type="dxa"/>
              <w:right w:w="240" w:type="dxa"/>
            </w:tcMar>
            <w:vAlign w:val="center"/>
            <w:hideMark/>
          </w:tcPr>
          <w:p w14:paraId="6FE19A3B"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lastRenderedPageBreak/>
              <w:t>Delivery planning</w:t>
            </w:r>
          </w:p>
        </w:tc>
        <w:tc>
          <w:tcPr>
            <w:tcW w:w="1442" w:type="dxa"/>
            <w:tcMar>
              <w:top w:w="150" w:type="dxa"/>
              <w:left w:w="240" w:type="dxa"/>
              <w:bottom w:w="150" w:type="dxa"/>
              <w:right w:w="240" w:type="dxa"/>
            </w:tcMar>
            <w:vAlign w:val="center"/>
            <w:hideMark/>
          </w:tcPr>
          <w:p w14:paraId="3CE6AB24"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10</w:t>
            </w:r>
          </w:p>
        </w:tc>
        <w:tc>
          <w:tcPr>
            <w:tcW w:w="1557" w:type="dxa"/>
            <w:tcMar>
              <w:top w:w="150" w:type="dxa"/>
              <w:left w:w="240" w:type="dxa"/>
              <w:bottom w:w="150" w:type="dxa"/>
              <w:right w:w="0" w:type="dxa"/>
            </w:tcMar>
            <w:vAlign w:val="center"/>
            <w:hideMark/>
          </w:tcPr>
          <w:p w14:paraId="7840588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14.7</w:t>
            </w:r>
          </w:p>
        </w:tc>
      </w:tr>
      <w:tr w:rsidR="00094EE9" w:rsidRPr="00B13A14" w14:paraId="19E2AA61" w14:textId="77777777" w:rsidTr="00B13A14">
        <w:tc>
          <w:tcPr>
            <w:tcW w:w="2286" w:type="dxa"/>
            <w:tcMar>
              <w:top w:w="150" w:type="dxa"/>
              <w:left w:w="0" w:type="dxa"/>
              <w:bottom w:w="150" w:type="dxa"/>
              <w:right w:w="240" w:type="dxa"/>
            </w:tcMar>
            <w:vAlign w:val="center"/>
            <w:hideMark/>
          </w:tcPr>
          <w:p w14:paraId="6B3C014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Pain management</w:t>
            </w:r>
          </w:p>
        </w:tc>
        <w:tc>
          <w:tcPr>
            <w:tcW w:w="1442" w:type="dxa"/>
            <w:tcMar>
              <w:top w:w="150" w:type="dxa"/>
              <w:left w:w="240" w:type="dxa"/>
              <w:bottom w:w="150" w:type="dxa"/>
              <w:right w:w="240" w:type="dxa"/>
            </w:tcMar>
            <w:vAlign w:val="center"/>
            <w:hideMark/>
          </w:tcPr>
          <w:p w14:paraId="78091A9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8</w:t>
            </w:r>
          </w:p>
        </w:tc>
        <w:tc>
          <w:tcPr>
            <w:tcW w:w="1557" w:type="dxa"/>
            <w:tcMar>
              <w:top w:w="150" w:type="dxa"/>
              <w:left w:w="240" w:type="dxa"/>
              <w:bottom w:w="150" w:type="dxa"/>
              <w:right w:w="0" w:type="dxa"/>
            </w:tcMar>
            <w:vAlign w:val="center"/>
            <w:hideMark/>
          </w:tcPr>
          <w:p w14:paraId="104DF5F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11.8</w:t>
            </w:r>
          </w:p>
        </w:tc>
      </w:tr>
      <w:tr w:rsidR="00094EE9" w:rsidRPr="00B13A14" w14:paraId="5A780D8F" w14:textId="77777777" w:rsidTr="00B13A14">
        <w:tc>
          <w:tcPr>
            <w:tcW w:w="2286" w:type="dxa"/>
            <w:tcMar>
              <w:top w:w="150" w:type="dxa"/>
              <w:left w:w="0" w:type="dxa"/>
              <w:bottom w:w="150" w:type="dxa"/>
              <w:right w:w="240" w:type="dxa"/>
            </w:tcMar>
            <w:vAlign w:val="center"/>
            <w:hideMark/>
          </w:tcPr>
          <w:p w14:paraId="27AEF8F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Specific interventions</w:t>
            </w:r>
          </w:p>
        </w:tc>
        <w:tc>
          <w:tcPr>
            <w:tcW w:w="1442" w:type="dxa"/>
            <w:tcMar>
              <w:top w:w="150" w:type="dxa"/>
              <w:left w:w="240" w:type="dxa"/>
              <w:bottom w:w="150" w:type="dxa"/>
              <w:right w:w="240" w:type="dxa"/>
            </w:tcMar>
            <w:vAlign w:val="center"/>
            <w:hideMark/>
          </w:tcPr>
          <w:p w14:paraId="7E912E1B"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7</w:t>
            </w:r>
          </w:p>
        </w:tc>
        <w:tc>
          <w:tcPr>
            <w:tcW w:w="1557" w:type="dxa"/>
            <w:tcMar>
              <w:top w:w="150" w:type="dxa"/>
              <w:left w:w="240" w:type="dxa"/>
              <w:bottom w:w="150" w:type="dxa"/>
              <w:right w:w="0" w:type="dxa"/>
            </w:tcMar>
            <w:vAlign w:val="center"/>
            <w:hideMark/>
          </w:tcPr>
          <w:p w14:paraId="22A2CBFA"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10.3</w:t>
            </w:r>
          </w:p>
        </w:tc>
      </w:tr>
    </w:tbl>
    <w:p w14:paraId="4AAD1BB0"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3.5. Bivariate Analysis: Associations with Knowledge</w:t>
      </w:r>
    </w:p>
    <w:p w14:paraId="6E0C08A0"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Chi-square tests revealed statistically significant associations between education level and diagnostic knowledge (χ² = 166.76, p &lt; 0.001), surveillance knowledge (χ² = 38.28, p &lt; 0.001), and management knowledge (χ² = 28.18, p &lt; 0.001). Similarly, professional seniority showed significant associations with diagnostic knowledge, surveillance, and management (all p &lt; 0.001). In contrast, no significant association was found between sex and any knowledge domain (p &gt; 0.05).</w:t>
      </w:r>
    </w:p>
    <w:p w14:paraId="5EB3CC39"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3.6. Multivariate Analysis: Independent Predictors of Good Knowledge</w:t>
      </w:r>
    </w:p>
    <w:p w14:paraId="32AE8857"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Binary logistic regression was performed with good management knowledge as the dependent variable, adjusting for education level, seniority, and sex. After adjustment, higher education levels remained strong independent predictors: L2 (Bachelor's) level had an adjusted odds ratio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of 12.4 (95% CI: 3.21–47.8, p &lt; 0.001), and Doctorate level had an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of 14.8 (95% CI: 3.56–61.5, p &lt; 0.001) compared to A2 (State Diploma) as reference. Seniority of 11–20 years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 8.94, 95% CI: 2.87–27.8, p &lt; 0.001) and ≥21 years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 10.3, 95% CI: 3.12–34.0, p &lt; 0.001) were also independent predictors compared to 1–10 years. Sex was not associated with good knowledge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 1.18, 95% CI: 0.43–3.24, p = 0.745) (Table 5).</w:t>
      </w:r>
    </w:p>
    <w:p w14:paraId="6CB13F14"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Table 5</w:t>
      </w:r>
      <w:r w:rsidRPr="00D9139F">
        <w:rPr>
          <w:rFonts w:ascii="Times New Roman" w:eastAsia="Times New Roman" w:hAnsi="Times New Roman" w:cs="Times New Roman"/>
          <w:color w:val="0F1115"/>
          <w:kern w:val="0"/>
          <w14:ligatures w14:val="none"/>
        </w:rPr>
        <w:br/>
        <w:t>*Multivariate Logistic Regression: Factors Associated with Good Knowledge of Twin Delivery Management (N = 68)*</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46"/>
        <w:gridCol w:w="2105"/>
        <w:gridCol w:w="1135"/>
        <w:gridCol w:w="2357"/>
        <w:gridCol w:w="1117"/>
      </w:tblGrid>
      <w:tr w:rsidR="00094EE9" w:rsidRPr="00B13A14" w14:paraId="165D7C90" w14:textId="77777777" w:rsidTr="00B13A14">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6CDDB6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lastRenderedPageBreak/>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267B38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Crude OR (95% CI)</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F5DF33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2495EC7"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Adjusted OR (95% CI)</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3C5CD3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p-value</w:t>
            </w:r>
          </w:p>
        </w:tc>
      </w:tr>
      <w:tr w:rsidR="00094EE9" w:rsidRPr="00B13A14" w14:paraId="1DF85346" w14:textId="77777777" w:rsidTr="00B13A14">
        <w:tc>
          <w:tcPr>
            <w:tcW w:w="0" w:type="auto"/>
            <w:tcBorders>
              <w:top w:val="single" w:sz="4" w:space="0" w:color="auto"/>
            </w:tcBorders>
            <w:tcMar>
              <w:top w:w="150" w:type="dxa"/>
              <w:left w:w="0" w:type="dxa"/>
              <w:bottom w:w="150" w:type="dxa"/>
              <w:right w:w="240" w:type="dxa"/>
            </w:tcMar>
            <w:vAlign w:val="center"/>
            <w:hideMark/>
          </w:tcPr>
          <w:p w14:paraId="1B8056CA"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b/>
                <w:bCs/>
                <w:kern w:val="0"/>
                <w:sz w:val="22"/>
                <w:szCs w:val="22"/>
                <w14:ligatures w14:val="none"/>
              </w:rPr>
              <w:t>Education Level</w:t>
            </w:r>
            <w:r w:rsidRPr="00B13A14">
              <w:rPr>
                <w:rFonts w:ascii="Times New Roman" w:eastAsia="Times New Roman" w:hAnsi="Times New Roman" w:cs="Times New Roman"/>
                <w:kern w:val="0"/>
                <w:sz w:val="22"/>
                <w:szCs w:val="22"/>
                <w14:ligatures w14:val="none"/>
              </w:rPr>
              <w:t> (Ref = A2)</w:t>
            </w:r>
          </w:p>
        </w:tc>
        <w:tc>
          <w:tcPr>
            <w:tcW w:w="0" w:type="auto"/>
            <w:tcBorders>
              <w:top w:val="single" w:sz="4" w:space="0" w:color="auto"/>
            </w:tcBorders>
            <w:tcMar>
              <w:top w:w="150" w:type="dxa"/>
              <w:left w:w="240" w:type="dxa"/>
              <w:bottom w:w="150" w:type="dxa"/>
              <w:right w:w="240" w:type="dxa"/>
            </w:tcMar>
            <w:vAlign w:val="center"/>
            <w:hideMark/>
          </w:tcPr>
          <w:p w14:paraId="258E38E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Borders>
              <w:top w:val="single" w:sz="4" w:space="0" w:color="auto"/>
            </w:tcBorders>
            <w:tcMar>
              <w:top w:w="150" w:type="dxa"/>
              <w:left w:w="240" w:type="dxa"/>
              <w:bottom w:w="150" w:type="dxa"/>
              <w:right w:w="240" w:type="dxa"/>
            </w:tcMar>
            <w:vAlign w:val="center"/>
            <w:hideMark/>
          </w:tcPr>
          <w:p w14:paraId="5C29041A"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Borders>
              <w:top w:val="single" w:sz="4" w:space="0" w:color="auto"/>
            </w:tcBorders>
            <w:tcMar>
              <w:top w:w="150" w:type="dxa"/>
              <w:left w:w="240" w:type="dxa"/>
              <w:bottom w:w="150" w:type="dxa"/>
              <w:right w:w="240" w:type="dxa"/>
            </w:tcMar>
            <w:vAlign w:val="center"/>
            <w:hideMark/>
          </w:tcPr>
          <w:p w14:paraId="2C8F36A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Borders>
              <w:top w:val="single" w:sz="4" w:space="0" w:color="auto"/>
            </w:tcBorders>
            <w:tcMar>
              <w:top w:w="150" w:type="dxa"/>
              <w:left w:w="240" w:type="dxa"/>
              <w:bottom w:w="150" w:type="dxa"/>
              <w:right w:w="0" w:type="dxa"/>
            </w:tcMar>
            <w:vAlign w:val="center"/>
            <w:hideMark/>
          </w:tcPr>
          <w:p w14:paraId="0D30A36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r>
      <w:tr w:rsidR="00094EE9" w:rsidRPr="00B13A14" w14:paraId="3B15023D" w14:textId="77777777" w:rsidTr="00B13A14">
        <w:tc>
          <w:tcPr>
            <w:tcW w:w="0" w:type="auto"/>
            <w:tcMar>
              <w:top w:w="150" w:type="dxa"/>
              <w:left w:w="0" w:type="dxa"/>
              <w:bottom w:w="150" w:type="dxa"/>
              <w:right w:w="240" w:type="dxa"/>
            </w:tcMar>
            <w:vAlign w:val="center"/>
            <w:hideMark/>
          </w:tcPr>
          <w:p w14:paraId="5A9F5D2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A1</w:t>
            </w:r>
          </w:p>
        </w:tc>
        <w:tc>
          <w:tcPr>
            <w:tcW w:w="0" w:type="auto"/>
            <w:tcMar>
              <w:top w:w="150" w:type="dxa"/>
              <w:left w:w="240" w:type="dxa"/>
              <w:bottom w:w="150" w:type="dxa"/>
              <w:right w:w="240" w:type="dxa"/>
            </w:tcMar>
            <w:vAlign w:val="center"/>
            <w:hideMark/>
          </w:tcPr>
          <w:p w14:paraId="2EC567E7"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0.47 (0.12–1.82)</w:t>
            </w:r>
          </w:p>
        </w:tc>
        <w:tc>
          <w:tcPr>
            <w:tcW w:w="0" w:type="auto"/>
            <w:tcMar>
              <w:top w:w="150" w:type="dxa"/>
              <w:left w:w="240" w:type="dxa"/>
              <w:bottom w:w="150" w:type="dxa"/>
              <w:right w:w="240" w:type="dxa"/>
            </w:tcMar>
            <w:vAlign w:val="center"/>
            <w:hideMark/>
          </w:tcPr>
          <w:p w14:paraId="662FCE6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0.274</w:t>
            </w:r>
          </w:p>
        </w:tc>
        <w:tc>
          <w:tcPr>
            <w:tcW w:w="0" w:type="auto"/>
            <w:tcMar>
              <w:top w:w="150" w:type="dxa"/>
              <w:left w:w="240" w:type="dxa"/>
              <w:bottom w:w="150" w:type="dxa"/>
              <w:right w:w="240" w:type="dxa"/>
            </w:tcMar>
            <w:vAlign w:val="center"/>
            <w:hideMark/>
          </w:tcPr>
          <w:p w14:paraId="530D2153"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0.52 (0.13–2.01)</w:t>
            </w:r>
          </w:p>
        </w:tc>
        <w:tc>
          <w:tcPr>
            <w:tcW w:w="0" w:type="auto"/>
            <w:tcMar>
              <w:top w:w="150" w:type="dxa"/>
              <w:left w:w="240" w:type="dxa"/>
              <w:bottom w:w="150" w:type="dxa"/>
              <w:right w:w="0" w:type="dxa"/>
            </w:tcMar>
            <w:vAlign w:val="center"/>
            <w:hideMark/>
          </w:tcPr>
          <w:p w14:paraId="39C44EE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0.341</w:t>
            </w:r>
          </w:p>
        </w:tc>
      </w:tr>
      <w:tr w:rsidR="00094EE9" w:rsidRPr="00B13A14" w14:paraId="6A6FFC17" w14:textId="77777777" w:rsidTr="00B13A14">
        <w:tc>
          <w:tcPr>
            <w:tcW w:w="0" w:type="auto"/>
            <w:tcMar>
              <w:top w:w="150" w:type="dxa"/>
              <w:left w:w="0" w:type="dxa"/>
              <w:bottom w:w="150" w:type="dxa"/>
              <w:right w:w="240" w:type="dxa"/>
            </w:tcMar>
            <w:vAlign w:val="center"/>
            <w:hideMark/>
          </w:tcPr>
          <w:p w14:paraId="3003A8B7"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L2</w:t>
            </w:r>
          </w:p>
        </w:tc>
        <w:tc>
          <w:tcPr>
            <w:tcW w:w="0" w:type="auto"/>
            <w:tcMar>
              <w:top w:w="150" w:type="dxa"/>
              <w:left w:w="240" w:type="dxa"/>
              <w:bottom w:w="150" w:type="dxa"/>
              <w:right w:w="240" w:type="dxa"/>
            </w:tcMar>
            <w:vAlign w:val="center"/>
            <w:hideMark/>
          </w:tcPr>
          <w:p w14:paraId="176C440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15.6 (4.28–56.9)</w:t>
            </w:r>
          </w:p>
        </w:tc>
        <w:tc>
          <w:tcPr>
            <w:tcW w:w="0" w:type="auto"/>
            <w:tcMar>
              <w:top w:w="150" w:type="dxa"/>
              <w:left w:w="240" w:type="dxa"/>
              <w:bottom w:w="150" w:type="dxa"/>
              <w:right w:w="240" w:type="dxa"/>
            </w:tcMar>
            <w:vAlign w:val="center"/>
            <w:hideMark/>
          </w:tcPr>
          <w:p w14:paraId="2F7BA32E"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&lt;0.001</w:t>
            </w:r>
          </w:p>
        </w:tc>
        <w:tc>
          <w:tcPr>
            <w:tcW w:w="0" w:type="auto"/>
            <w:tcMar>
              <w:top w:w="150" w:type="dxa"/>
              <w:left w:w="240" w:type="dxa"/>
              <w:bottom w:w="150" w:type="dxa"/>
              <w:right w:w="240" w:type="dxa"/>
            </w:tcMar>
            <w:vAlign w:val="center"/>
            <w:hideMark/>
          </w:tcPr>
          <w:p w14:paraId="352FEA3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12.4 (3.21–47.8)</w:t>
            </w:r>
          </w:p>
        </w:tc>
        <w:tc>
          <w:tcPr>
            <w:tcW w:w="0" w:type="auto"/>
            <w:tcMar>
              <w:top w:w="150" w:type="dxa"/>
              <w:left w:w="240" w:type="dxa"/>
              <w:bottom w:w="150" w:type="dxa"/>
              <w:right w:w="0" w:type="dxa"/>
            </w:tcMar>
            <w:vAlign w:val="center"/>
            <w:hideMark/>
          </w:tcPr>
          <w:p w14:paraId="0A39E76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&lt;0.001</w:t>
            </w:r>
          </w:p>
        </w:tc>
      </w:tr>
      <w:tr w:rsidR="00094EE9" w:rsidRPr="00B13A14" w14:paraId="6A9C9EA0" w14:textId="77777777" w:rsidTr="00B13A14">
        <w:tc>
          <w:tcPr>
            <w:tcW w:w="0" w:type="auto"/>
            <w:tcMar>
              <w:top w:w="150" w:type="dxa"/>
              <w:left w:w="0" w:type="dxa"/>
              <w:bottom w:w="150" w:type="dxa"/>
              <w:right w:w="240" w:type="dxa"/>
            </w:tcMar>
            <w:vAlign w:val="center"/>
            <w:hideMark/>
          </w:tcPr>
          <w:p w14:paraId="6526E0B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Doctorate</w:t>
            </w:r>
          </w:p>
        </w:tc>
        <w:tc>
          <w:tcPr>
            <w:tcW w:w="0" w:type="auto"/>
            <w:tcMar>
              <w:top w:w="150" w:type="dxa"/>
              <w:left w:w="240" w:type="dxa"/>
              <w:bottom w:w="150" w:type="dxa"/>
              <w:right w:w="240" w:type="dxa"/>
            </w:tcMar>
            <w:vAlign w:val="center"/>
            <w:hideMark/>
          </w:tcPr>
          <w:p w14:paraId="1F88791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18.2 (4.89–67.7)</w:t>
            </w:r>
          </w:p>
        </w:tc>
        <w:tc>
          <w:tcPr>
            <w:tcW w:w="0" w:type="auto"/>
            <w:tcMar>
              <w:top w:w="150" w:type="dxa"/>
              <w:left w:w="240" w:type="dxa"/>
              <w:bottom w:w="150" w:type="dxa"/>
              <w:right w:w="240" w:type="dxa"/>
            </w:tcMar>
            <w:vAlign w:val="center"/>
            <w:hideMark/>
          </w:tcPr>
          <w:p w14:paraId="519A5DAB"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&lt;0.001</w:t>
            </w:r>
          </w:p>
        </w:tc>
        <w:tc>
          <w:tcPr>
            <w:tcW w:w="0" w:type="auto"/>
            <w:tcMar>
              <w:top w:w="150" w:type="dxa"/>
              <w:left w:w="240" w:type="dxa"/>
              <w:bottom w:w="150" w:type="dxa"/>
              <w:right w:w="240" w:type="dxa"/>
            </w:tcMar>
            <w:vAlign w:val="center"/>
            <w:hideMark/>
          </w:tcPr>
          <w:p w14:paraId="2A083BB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14.8 (3.56–61.5)</w:t>
            </w:r>
          </w:p>
        </w:tc>
        <w:tc>
          <w:tcPr>
            <w:tcW w:w="0" w:type="auto"/>
            <w:tcMar>
              <w:top w:w="150" w:type="dxa"/>
              <w:left w:w="240" w:type="dxa"/>
              <w:bottom w:w="150" w:type="dxa"/>
              <w:right w:w="0" w:type="dxa"/>
            </w:tcMar>
            <w:vAlign w:val="center"/>
            <w:hideMark/>
          </w:tcPr>
          <w:p w14:paraId="18E6D59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&lt;0.001</w:t>
            </w:r>
          </w:p>
        </w:tc>
      </w:tr>
      <w:tr w:rsidR="00094EE9" w:rsidRPr="00B13A14" w14:paraId="2C0F5EBF" w14:textId="77777777" w:rsidTr="00B13A14">
        <w:tc>
          <w:tcPr>
            <w:tcW w:w="0" w:type="auto"/>
            <w:tcMar>
              <w:top w:w="150" w:type="dxa"/>
              <w:left w:w="0" w:type="dxa"/>
              <w:bottom w:w="150" w:type="dxa"/>
              <w:right w:w="240" w:type="dxa"/>
            </w:tcMar>
            <w:vAlign w:val="center"/>
            <w:hideMark/>
          </w:tcPr>
          <w:p w14:paraId="157E56B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b/>
                <w:bCs/>
                <w:kern w:val="0"/>
                <w:sz w:val="22"/>
                <w:szCs w:val="22"/>
                <w14:ligatures w14:val="none"/>
              </w:rPr>
              <w:t>Seniority</w:t>
            </w:r>
            <w:r w:rsidRPr="00B13A14">
              <w:rPr>
                <w:rFonts w:ascii="Times New Roman" w:eastAsia="Times New Roman" w:hAnsi="Times New Roman" w:cs="Times New Roman"/>
                <w:kern w:val="0"/>
                <w:sz w:val="22"/>
                <w:szCs w:val="22"/>
                <w14:ligatures w14:val="none"/>
              </w:rPr>
              <w:t> (Ref = 1–10 years)</w:t>
            </w:r>
          </w:p>
        </w:tc>
        <w:tc>
          <w:tcPr>
            <w:tcW w:w="0" w:type="auto"/>
            <w:tcMar>
              <w:top w:w="150" w:type="dxa"/>
              <w:left w:w="240" w:type="dxa"/>
              <w:bottom w:w="150" w:type="dxa"/>
              <w:right w:w="240" w:type="dxa"/>
            </w:tcMar>
            <w:vAlign w:val="center"/>
            <w:hideMark/>
          </w:tcPr>
          <w:p w14:paraId="2AD258BE"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2A340D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BFAA34A"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4957100B"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r>
      <w:tr w:rsidR="00094EE9" w:rsidRPr="00B13A14" w14:paraId="197F12E2" w14:textId="77777777" w:rsidTr="00B13A14">
        <w:tc>
          <w:tcPr>
            <w:tcW w:w="0" w:type="auto"/>
            <w:tcMar>
              <w:top w:w="150" w:type="dxa"/>
              <w:left w:w="0" w:type="dxa"/>
              <w:bottom w:w="150" w:type="dxa"/>
              <w:right w:w="240" w:type="dxa"/>
            </w:tcMar>
            <w:vAlign w:val="center"/>
            <w:hideMark/>
          </w:tcPr>
          <w:p w14:paraId="64B29CAD"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11–20 years</w:t>
            </w:r>
          </w:p>
        </w:tc>
        <w:tc>
          <w:tcPr>
            <w:tcW w:w="0" w:type="auto"/>
            <w:tcMar>
              <w:top w:w="150" w:type="dxa"/>
              <w:left w:w="240" w:type="dxa"/>
              <w:bottom w:w="150" w:type="dxa"/>
              <w:right w:w="240" w:type="dxa"/>
            </w:tcMar>
            <w:vAlign w:val="center"/>
            <w:hideMark/>
          </w:tcPr>
          <w:p w14:paraId="33318A24"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12.5 (4.12–37.9)</w:t>
            </w:r>
          </w:p>
        </w:tc>
        <w:tc>
          <w:tcPr>
            <w:tcW w:w="0" w:type="auto"/>
            <w:tcMar>
              <w:top w:w="150" w:type="dxa"/>
              <w:left w:w="240" w:type="dxa"/>
              <w:bottom w:w="150" w:type="dxa"/>
              <w:right w:w="240" w:type="dxa"/>
            </w:tcMar>
            <w:vAlign w:val="center"/>
            <w:hideMark/>
          </w:tcPr>
          <w:p w14:paraId="0E8D532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&lt;0.001</w:t>
            </w:r>
          </w:p>
        </w:tc>
        <w:tc>
          <w:tcPr>
            <w:tcW w:w="0" w:type="auto"/>
            <w:tcMar>
              <w:top w:w="150" w:type="dxa"/>
              <w:left w:w="240" w:type="dxa"/>
              <w:bottom w:w="150" w:type="dxa"/>
              <w:right w:w="240" w:type="dxa"/>
            </w:tcMar>
            <w:vAlign w:val="center"/>
            <w:hideMark/>
          </w:tcPr>
          <w:p w14:paraId="5EBB00D6"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8.94 (2.87–27.8)</w:t>
            </w:r>
          </w:p>
        </w:tc>
        <w:tc>
          <w:tcPr>
            <w:tcW w:w="0" w:type="auto"/>
            <w:tcMar>
              <w:top w:w="150" w:type="dxa"/>
              <w:left w:w="240" w:type="dxa"/>
              <w:bottom w:w="150" w:type="dxa"/>
              <w:right w:w="0" w:type="dxa"/>
            </w:tcMar>
            <w:vAlign w:val="center"/>
            <w:hideMark/>
          </w:tcPr>
          <w:p w14:paraId="471C0881"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&lt;0.001</w:t>
            </w:r>
          </w:p>
        </w:tc>
      </w:tr>
      <w:tr w:rsidR="00094EE9" w:rsidRPr="00B13A14" w14:paraId="221037F3" w14:textId="77777777" w:rsidTr="00B13A14">
        <w:tc>
          <w:tcPr>
            <w:tcW w:w="0" w:type="auto"/>
            <w:tcMar>
              <w:top w:w="150" w:type="dxa"/>
              <w:left w:w="0" w:type="dxa"/>
              <w:bottom w:w="150" w:type="dxa"/>
              <w:right w:w="240" w:type="dxa"/>
            </w:tcMar>
            <w:vAlign w:val="center"/>
            <w:hideMark/>
          </w:tcPr>
          <w:p w14:paraId="3B042FA9"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≥21 years</w:t>
            </w:r>
          </w:p>
        </w:tc>
        <w:tc>
          <w:tcPr>
            <w:tcW w:w="0" w:type="auto"/>
            <w:tcMar>
              <w:top w:w="150" w:type="dxa"/>
              <w:left w:w="240" w:type="dxa"/>
              <w:bottom w:w="150" w:type="dxa"/>
              <w:right w:w="240" w:type="dxa"/>
            </w:tcMar>
            <w:vAlign w:val="center"/>
            <w:hideMark/>
          </w:tcPr>
          <w:p w14:paraId="2AA52BC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14.2 (4.56–44.2)</w:t>
            </w:r>
          </w:p>
        </w:tc>
        <w:tc>
          <w:tcPr>
            <w:tcW w:w="0" w:type="auto"/>
            <w:tcMar>
              <w:top w:w="150" w:type="dxa"/>
              <w:left w:w="240" w:type="dxa"/>
              <w:bottom w:w="150" w:type="dxa"/>
              <w:right w:w="240" w:type="dxa"/>
            </w:tcMar>
            <w:vAlign w:val="center"/>
            <w:hideMark/>
          </w:tcPr>
          <w:p w14:paraId="1D8D52C7"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&lt;0.001</w:t>
            </w:r>
          </w:p>
        </w:tc>
        <w:tc>
          <w:tcPr>
            <w:tcW w:w="0" w:type="auto"/>
            <w:tcMar>
              <w:top w:w="150" w:type="dxa"/>
              <w:left w:w="240" w:type="dxa"/>
              <w:bottom w:w="150" w:type="dxa"/>
              <w:right w:w="240" w:type="dxa"/>
            </w:tcMar>
            <w:vAlign w:val="center"/>
            <w:hideMark/>
          </w:tcPr>
          <w:p w14:paraId="51AD5BD5"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10.3 (3.12–34.0)</w:t>
            </w:r>
          </w:p>
        </w:tc>
        <w:tc>
          <w:tcPr>
            <w:tcW w:w="0" w:type="auto"/>
            <w:tcMar>
              <w:top w:w="150" w:type="dxa"/>
              <w:left w:w="240" w:type="dxa"/>
              <w:bottom w:w="150" w:type="dxa"/>
              <w:right w:w="0" w:type="dxa"/>
            </w:tcMar>
            <w:vAlign w:val="center"/>
            <w:hideMark/>
          </w:tcPr>
          <w:p w14:paraId="02A8D56C"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&lt;0.001</w:t>
            </w:r>
          </w:p>
        </w:tc>
      </w:tr>
      <w:tr w:rsidR="00094EE9" w:rsidRPr="00B13A14" w14:paraId="6323F30D" w14:textId="77777777" w:rsidTr="00B13A14">
        <w:tc>
          <w:tcPr>
            <w:tcW w:w="0" w:type="auto"/>
            <w:tcMar>
              <w:top w:w="150" w:type="dxa"/>
              <w:left w:w="0" w:type="dxa"/>
              <w:bottom w:w="150" w:type="dxa"/>
              <w:right w:w="240" w:type="dxa"/>
            </w:tcMar>
            <w:vAlign w:val="center"/>
            <w:hideMark/>
          </w:tcPr>
          <w:p w14:paraId="633F2318"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b/>
                <w:bCs/>
                <w:kern w:val="0"/>
                <w:sz w:val="22"/>
                <w:szCs w:val="22"/>
                <w14:ligatures w14:val="none"/>
              </w:rPr>
              <w:t>Sex</w:t>
            </w:r>
            <w:r w:rsidRPr="00B13A14">
              <w:rPr>
                <w:rFonts w:ascii="Times New Roman" w:eastAsia="Times New Roman" w:hAnsi="Times New Roman" w:cs="Times New Roman"/>
                <w:kern w:val="0"/>
                <w:sz w:val="22"/>
                <w:szCs w:val="22"/>
                <w14:ligatures w14:val="none"/>
              </w:rPr>
              <w:t> (Ref = Female)</w:t>
            </w:r>
          </w:p>
        </w:tc>
        <w:tc>
          <w:tcPr>
            <w:tcW w:w="0" w:type="auto"/>
            <w:tcMar>
              <w:top w:w="150" w:type="dxa"/>
              <w:left w:w="240" w:type="dxa"/>
              <w:bottom w:w="150" w:type="dxa"/>
              <w:right w:w="240" w:type="dxa"/>
            </w:tcMar>
            <w:vAlign w:val="center"/>
            <w:hideMark/>
          </w:tcPr>
          <w:p w14:paraId="08323AF2"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A0C069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A66B7CA"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21A5727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p>
        </w:tc>
      </w:tr>
      <w:tr w:rsidR="00094EE9" w:rsidRPr="00B13A14" w14:paraId="46660D1E" w14:textId="77777777" w:rsidTr="00B13A14">
        <w:tc>
          <w:tcPr>
            <w:tcW w:w="0" w:type="auto"/>
            <w:tcMar>
              <w:top w:w="150" w:type="dxa"/>
              <w:left w:w="0" w:type="dxa"/>
              <w:bottom w:w="150" w:type="dxa"/>
              <w:right w:w="240" w:type="dxa"/>
            </w:tcMar>
            <w:vAlign w:val="center"/>
            <w:hideMark/>
          </w:tcPr>
          <w:p w14:paraId="753014A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Male</w:t>
            </w:r>
          </w:p>
        </w:tc>
        <w:tc>
          <w:tcPr>
            <w:tcW w:w="0" w:type="auto"/>
            <w:tcMar>
              <w:top w:w="150" w:type="dxa"/>
              <w:left w:w="240" w:type="dxa"/>
              <w:bottom w:w="150" w:type="dxa"/>
              <w:right w:w="240" w:type="dxa"/>
            </w:tcMar>
            <w:vAlign w:val="center"/>
            <w:hideMark/>
          </w:tcPr>
          <w:p w14:paraId="50966B0B"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1.32 (0.52–3.35)</w:t>
            </w:r>
          </w:p>
        </w:tc>
        <w:tc>
          <w:tcPr>
            <w:tcW w:w="0" w:type="auto"/>
            <w:tcMar>
              <w:top w:w="150" w:type="dxa"/>
              <w:left w:w="240" w:type="dxa"/>
              <w:bottom w:w="150" w:type="dxa"/>
              <w:right w:w="240" w:type="dxa"/>
            </w:tcMar>
            <w:vAlign w:val="center"/>
            <w:hideMark/>
          </w:tcPr>
          <w:p w14:paraId="35956D5F"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0.558</w:t>
            </w:r>
          </w:p>
        </w:tc>
        <w:tc>
          <w:tcPr>
            <w:tcW w:w="0" w:type="auto"/>
            <w:tcMar>
              <w:top w:w="150" w:type="dxa"/>
              <w:left w:w="240" w:type="dxa"/>
              <w:bottom w:w="150" w:type="dxa"/>
              <w:right w:w="240" w:type="dxa"/>
            </w:tcMar>
            <w:vAlign w:val="center"/>
            <w:hideMark/>
          </w:tcPr>
          <w:p w14:paraId="4091B053"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1.18 (0.43–3.24)</w:t>
            </w:r>
          </w:p>
        </w:tc>
        <w:tc>
          <w:tcPr>
            <w:tcW w:w="0" w:type="auto"/>
            <w:tcMar>
              <w:top w:w="150" w:type="dxa"/>
              <w:left w:w="240" w:type="dxa"/>
              <w:bottom w:w="150" w:type="dxa"/>
              <w:right w:w="0" w:type="dxa"/>
            </w:tcMar>
            <w:vAlign w:val="center"/>
            <w:hideMark/>
          </w:tcPr>
          <w:p w14:paraId="30263FB0" w14:textId="77777777" w:rsidR="00094EE9" w:rsidRPr="00B13A14" w:rsidRDefault="00094EE9" w:rsidP="00B13A14">
            <w:pPr>
              <w:spacing w:after="0" w:line="240" w:lineRule="auto"/>
              <w:rPr>
                <w:rFonts w:ascii="Times New Roman" w:eastAsia="Times New Roman" w:hAnsi="Times New Roman" w:cs="Times New Roman"/>
                <w:kern w:val="0"/>
                <w:sz w:val="22"/>
                <w:szCs w:val="22"/>
                <w14:ligatures w14:val="none"/>
              </w:rPr>
            </w:pPr>
            <w:r w:rsidRPr="00B13A14">
              <w:rPr>
                <w:rFonts w:ascii="Times New Roman" w:eastAsia="Times New Roman" w:hAnsi="Times New Roman" w:cs="Times New Roman"/>
                <w:kern w:val="0"/>
                <w:sz w:val="22"/>
                <w:szCs w:val="22"/>
                <w14:ligatures w14:val="none"/>
              </w:rPr>
              <w:t>0.745</w:t>
            </w:r>
          </w:p>
        </w:tc>
      </w:tr>
    </w:tbl>
    <w:p w14:paraId="54120AFE"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i/>
          <w:iCs/>
          <w:color w:val="0F1115"/>
          <w:kern w:val="0"/>
          <w14:ligatures w14:val="none"/>
        </w:rPr>
        <w:t>Note: Good knowledge defined as ≥60% correct answers on management questions. Model adjusted for all variables shown.</w:t>
      </w:r>
    </w:p>
    <w:p w14:paraId="533C9CF8"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4. Discussion</w:t>
      </w:r>
    </w:p>
    <w:p w14:paraId="575EC91C"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This study provides the first assessment of healthcare providers' KAP regarding twin delivery management at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General Referral Hospital in Équateur Province, DRC.</w:t>
      </w:r>
    </w:p>
    <w:p w14:paraId="6A560A0A"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4.1. Sociodemographic Profile and Comparability</w:t>
      </w:r>
    </w:p>
    <w:p w14:paraId="01CC1DCB"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The predominance of male providers (55.9%) contrasts with the traditional feminization of midwifery and obstetric nursing in the DRC. Luboya et al. (2021) found 62% female providers in Kisangani, while Banza et al. (2025) noted a recent increase in male obstetric personnel since 2020, possibly explaining this difference. The high proportion of L2-level providers (41.2%) exceeds that reported by </w:t>
      </w:r>
      <w:proofErr w:type="spellStart"/>
      <w:r w:rsidRPr="00D9139F">
        <w:rPr>
          <w:rFonts w:ascii="Times New Roman" w:eastAsia="Times New Roman" w:hAnsi="Times New Roman" w:cs="Times New Roman"/>
          <w:color w:val="0F1115"/>
          <w:kern w:val="0"/>
          <w14:ligatures w14:val="none"/>
        </w:rPr>
        <w:t>Kiyindi</w:t>
      </w:r>
      <w:proofErr w:type="spellEnd"/>
      <w:r w:rsidRPr="00D9139F">
        <w:rPr>
          <w:rFonts w:ascii="Times New Roman" w:eastAsia="Times New Roman" w:hAnsi="Times New Roman" w:cs="Times New Roman"/>
          <w:color w:val="0F1115"/>
          <w:kern w:val="0"/>
          <w14:ligatures w14:val="none"/>
        </w:rPr>
        <w:t xml:space="preserve"> et al. (2020) in </w:t>
      </w:r>
      <w:proofErr w:type="spellStart"/>
      <w:r w:rsidRPr="00D9139F">
        <w:rPr>
          <w:rFonts w:ascii="Times New Roman" w:eastAsia="Times New Roman" w:hAnsi="Times New Roman" w:cs="Times New Roman"/>
          <w:color w:val="0F1115"/>
          <w:kern w:val="0"/>
          <w14:ligatures w14:val="none"/>
        </w:rPr>
        <w:t>Tshopo</w:t>
      </w:r>
      <w:proofErr w:type="spellEnd"/>
      <w:r w:rsidRPr="00D9139F">
        <w:rPr>
          <w:rFonts w:ascii="Times New Roman" w:eastAsia="Times New Roman" w:hAnsi="Times New Roman" w:cs="Times New Roman"/>
          <w:color w:val="0F1115"/>
          <w:kern w:val="0"/>
          <w14:ligatures w14:val="none"/>
        </w:rPr>
        <w:t xml:space="preserve"> (28%) and reflects a recruitment policy favoring </w:t>
      </w:r>
      <w:proofErr w:type="gramStart"/>
      <w:r w:rsidRPr="00D9139F">
        <w:rPr>
          <w:rFonts w:ascii="Times New Roman" w:eastAsia="Times New Roman" w:hAnsi="Times New Roman" w:cs="Times New Roman"/>
          <w:color w:val="0F1115"/>
          <w:kern w:val="0"/>
          <w14:ligatures w14:val="none"/>
        </w:rPr>
        <w:t>Bachelor's</w:t>
      </w:r>
      <w:proofErr w:type="gramEnd"/>
      <w:r w:rsidRPr="00D9139F">
        <w:rPr>
          <w:rFonts w:ascii="Times New Roman" w:eastAsia="Times New Roman" w:hAnsi="Times New Roman" w:cs="Times New Roman"/>
          <w:color w:val="0F1115"/>
          <w:kern w:val="0"/>
          <w14:ligatures w14:val="none"/>
        </w:rPr>
        <w:t xml:space="preserve"> degree holders since 2018 (</w:t>
      </w:r>
      <w:proofErr w:type="spellStart"/>
      <w:r w:rsidRPr="00D9139F">
        <w:rPr>
          <w:rFonts w:ascii="Times New Roman" w:eastAsia="Times New Roman" w:hAnsi="Times New Roman" w:cs="Times New Roman"/>
          <w:color w:val="0F1115"/>
          <w:kern w:val="0"/>
          <w14:ligatures w14:val="none"/>
        </w:rPr>
        <w:t>Mokondo</w:t>
      </w:r>
      <w:proofErr w:type="spellEnd"/>
      <w:r w:rsidRPr="00D9139F">
        <w:rPr>
          <w:rFonts w:ascii="Times New Roman" w:eastAsia="Times New Roman" w:hAnsi="Times New Roman" w:cs="Times New Roman"/>
          <w:color w:val="0F1115"/>
          <w:kern w:val="0"/>
          <w14:ligatures w14:val="none"/>
        </w:rPr>
        <w:t>, 2023).</w:t>
      </w:r>
    </w:p>
    <w:p w14:paraId="0E9FA767"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lastRenderedPageBreak/>
        <w:t>4.2. Knowledge: Strengths and Gaps</w:t>
      </w:r>
    </w:p>
    <w:p w14:paraId="1DE5C5CE"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The finding that 100% of providers knew about twin delivery is consistent with Diallo (2022) in Senegal (100%) and </w:t>
      </w:r>
      <w:proofErr w:type="spellStart"/>
      <w:r w:rsidRPr="00D9139F">
        <w:rPr>
          <w:rFonts w:ascii="Times New Roman" w:eastAsia="Times New Roman" w:hAnsi="Times New Roman" w:cs="Times New Roman"/>
          <w:color w:val="0F1115"/>
          <w:kern w:val="0"/>
          <w14:ligatures w14:val="none"/>
        </w:rPr>
        <w:t>Ndoumba</w:t>
      </w:r>
      <w:proofErr w:type="spellEnd"/>
      <w:r w:rsidRPr="00D9139F">
        <w:rPr>
          <w:rFonts w:ascii="Times New Roman" w:eastAsia="Times New Roman" w:hAnsi="Times New Roman" w:cs="Times New Roman"/>
          <w:color w:val="0F1115"/>
          <w:kern w:val="0"/>
          <w14:ligatures w14:val="none"/>
        </w:rPr>
        <w:t xml:space="preserve"> et al. (2021) in Cameroon (95%). However, the complete definition was known to only 41.2%, </w:t>
      </w:r>
      <w:proofErr w:type="gramStart"/>
      <w:r w:rsidRPr="00D9139F">
        <w:rPr>
          <w:rFonts w:ascii="Times New Roman" w:eastAsia="Times New Roman" w:hAnsi="Times New Roman" w:cs="Times New Roman"/>
          <w:color w:val="0F1115"/>
          <w:kern w:val="0"/>
          <w14:ligatures w14:val="none"/>
        </w:rPr>
        <w:t>similar to</w:t>
      </w:r>
      <w:proofErr w:type="gramEnd"/>
      <w:r w:rsidRPr="00D9139F">
        <w:rPr>
          <w:rFonts w:ascii="Times New Roman" w:eastAsia="Times New Roman" w:hAnsi="Times New Roman" w:cs="Times New Roman"/>
          <w:color w:val="0F1115"/>
          <w:kern w:val="0"/>
          <w14:ligatures w14:val="none"/>
        </w:rPr>
        <w:t xml:space="preserve"> Diallo (2022) (44%) but lower than </w:t>
      </w:r>
      <w:proofErr w:type="spellStart"/>
      <w:r w:rsidRPr="00D9139F">
        <w:rPr>
          <w:rFonts w:ascii="Times New Roman" w:eastAsia="Times New Roman" w:hAnsi="Times New Roman" w:cs="Times New Roman"/>
          <w:color w:val="0F1115"/>
          <w:kern w:val="0"/>
          <w14:ligatures w14:val="none"/>
        </w:rPr>
        <w:t>Mboumba</w:t>
      </w:r>
      <w:proofErr w:type="spellEnd"/>
      <w:r w:rsidRPr="00D9139F">
        <w:rPr>
          <w:rFonts w:ascii="Times New Roman" w:eastAsia="Times New Roman" w:hAnsi="Times New Roman" w:cs="Times New Roman"/>
          <w:color w:val="0F1115"/>
          <w:kern w:val="0"/>
          <w14:ligatures w14:val="none"/>
        </w:rPr>
        <w:t xml:space="preserve"> (2023) in Cameroon (61%). This disparity likely reflects the higher proportion of specialists in the Cameroonian study. As </w:t>
      </w:r>
      <w:proofErr w:type="spellStart"/>
      <w:r w:rsidRPr="00D9139F">
        <w:rPr>
          <w:rFonts w:ascii="Times New Roman" w:eastAsia="Times New Roman" w:hAnsi="Times New Roman" w:cs="Times New Roman"/>
          <w:color w:val="0F1115"/>
          <w:kern w:val="0"/>
          <w14:ligatures w14:val="none"/>
        </w:rPr>
        <w:t>Bolenga</w:t>
      </w:r>
      <w:proofErr w:type="spellEnd"/>
      <w:r w:rsidRPr="00D9139F">
        <w:rPr>
          <w:rFonts w:ascii="Times New Roman" w:eastAsia="Times New Roman" w:hAnsi="Times New Roman" w:cs="Times New Roman"/>
          <w:color w:val="0F1115"/>
          <w:kern w:val="0"/>
          <w14:ligatures w14:val="none"/>
        </w:rPr>
        <w:t xml:space="preserve"> (2025) notes, many frontline providers consider "birth of two babies" sufficient, reflecting insufficient knowledge of precise obstetric criteria (gestational age, expulsion of appendages).</w:t>
      </w:r>
    </w:p>
    <w:p w14:paraId="12E240D6"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The low mastery of diagnostic elements (44.1%) is concerning, as Lumbala (2024) showed that delayed twin diagnosis is associated with a 40% increase in perinatal mortality in Central Africa. This finding aligns with Diaby et al. (2018) in Mali (40% diagnosis in delivery room) and </w:t>
      </w:r>
      <w:proofErr w:type="spellStart"/>
      <w:r w:rsidRPr="00D9139F">
        <w:rPr>
          <w:rFonts w:ascii="Times New Roman" w:eastAsia="Times New Roman" w:hAnsi="Times New Roman" w:cs="Times New Roman"/>
          <w:color w:val="0F1115"/>
          <w:kern w:val="0"/>
          <w14:ligatures w14:val="none"/>
        </w:rPr>
        <w:t>Sankale</w:t>
      </w:r>
      <w:proofErr w:type="spellEnd"/>
      <w:r w:rsidRPr="00D9139F">
        <w:rPr>
          <w:rFonts w:ascii="Times New Roman" w:eastAsia="Times New Roman" w:hAnsi="Times New Roman" w:cs="Times New Roman"/>
          <w:color w:val="0F1115"/>
          <w:kern w:val="0"/>
          <w14:ligatures w14:val="none"/>
        </w:rPr>
        <w:t xml:space="preserve"> (2021) in Bamako (52% for diagnostic signs). The gap may be attributed to the lack of operational ultrasound at </w:t>
      </w:r>
      <w:proofErr w:type="spellStart"/>
      <w:r w:rsidRPr="00D9139F">
        <w:rPr>
          <w:rFonts w:ascii="Times New Roman" w:eastAsia="Times New Roman" w:hAnsi="Times New Roman" w:cs="Times New Roman"/>
          <w:color w:val="0F1115"/>
          <w:kern w:val="0"/>
          <w14:ligatures w14:val="none"/>
        </w:rPr>
        <w:t>Mbandaka</w:t>
      </w:r>
      <w:proofErr w:type="spellEnd"/>
      <w:r w:rsidRPr="00D9139F">
        <w:rPr>
          <w:rFonts w:ascii="Times New Roman" w:eastAsia="Times New Roman" w:hAnsi="Times New Roman" w:cs="Times New Roman"/>
          <w:color w:val="0F1115"/>
          <w:kern w:val="0"/>
          <w14:ligatures w14:val="none"/>
        </w:rPr>
        <w:t>, which deprives providers of a diagnostic learning tool (Tati, 2026).</w:t>
      </w:r>
    </w:p>
    <w:p w14:paraId="0CDE12C9"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Knowledge of surveillance (70.6%) and management (70.6%) were encouraging and exceeded Mukendi's (2022) Lubumbashi findings (56% and 48%, respectively). This improvement may be linked to regular internal training at HGR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(Ilunga, 2023). However, only 41.7% mastered the concept of "four deliveries" (first twin, remission, second twin, placental delivery), lower than Kasongo's (2024) Kinshasa finding (58%). As Banza (2025) explains, this reflects a poorly integrated sequential approach in routine practice.</w:t>
      </w:r>
    </w:p>
    <w:p w14:paraId="3E834F9C"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Complication knowledge was modest (58.8%). Notably, only 12.5% cited postpartum hemorrhage, which occurs in 10–15% of twin deliveries (</w:t>
      </w:r>
      <w:proofErr w:type="spellStart"/>
      <w:r w:rsidRPr="00D9139F">
        <w:rPr>
          <w:rFonts w:ascii="Times New Roman" w:eastAsia="Times New Roman" w:hAnsi="Times New Roman" w:cs="Times New Roman"/>
          <w:color w:val="0F1115"/>
          <w:kern w:val="0"/>
          <w14:ligatures w14:val="none"/>
        </w:rPr>
        <w:t>Hsairi</w:t>
      </w:r>
      <w:proofErr w:type="spellEnd"/>
      <w:r w:rsidRPr="00D9139F">
        <w:rPr>
          <w:rFonts w:ascii="Times New Roman" w:eastAsia="Times New Roman" w:hAnsi="Times New Roman" w:cs="Times New Roman"/>
          <w:color w:val="0F1115"/>
          <w:kern w:val="0"/>
          <w14:ligatures w14:val="none"/>
        </w:rPr>
        <w:t xml:space="preserve">, 2021), representing a dangerous underestimation. Conversely, interlocking chin knowledge (37.5%) showed good awareness of specific </w:t>
      </w:r>
      <w:proofErr w:type="spellStart"/>
      <w:r w:rsidRPr="00D9139F">
        <w:rPr>
          <w:rFonts w:ascii="Times New Roman" w:eastAsia="Times New Roman" w:hAnsi="Times New Roman" w:cs="Times New Roman"/>
          <w:color w:val="0F1115"/>
          <w:kern w:val="0"/>
          <w14:ligatures w14:val="none"/>
        </w:rPr>
        <w:t>dystocias</w:t>
      </w:r>
      <w:proofErr w:type="spellEnd"/>
      <w:r w:rsidRPr="00D9139F">
        <w:rPr>
          <w:rFonts w:ascii="Times New Roman" w:eastAsia="Times New Roman" w:hAnsi="Times New Roman" w:cs="Times New Roman"/>
          <w:color w:val="0F1115"/>
          <w:kern w:val="0"/>
          <w14:ligatures w14:val="none"/>
        </w:rPr>
        <w:t xml:space="preserve">, </w:t>
      </w:r>
      <w:proofErr w:type="gramStart"/>
      <w:r w:rsidRPr="00D9139F">
        <w:rPr>
          <w:rFonts w:ascii="Times New Roman" w:eastAsia="Times New Roman" w:hAnsi="Times New Roman" w:cs="Times New Roman"/>
          <w:color w:val="0F1115"/>
          <w:kern w:val="0"/>
          <w14:ligatures w14:val="none"/>
        </w:rPr>
        <w:t>similar to</w:t>
      </w:r>
      <w:proofErr w:type="gramEnd"/>
      <w:r w:rsidRPr="00D9139F">
        <w:rPr>
          <w:rFonts w:ascii="Times New Roman" w:eastAsia="Times New Roman" w:hAnsi="Times New Roman" w:cs="Times New Roman"/>
          <w:color w:val="0F1115"/>
          <w:kern w:val="0"/>
          <w14:ligatures w14:val="none"/>
        </w:rPr>
        <w:t xml:space="preserve"> Diaby (2020) in Mali (35%).</w:t>
      </w:r>
    </w:p>
    <w:p w14:paraId="4E91DC0D"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4.3. Attitudes and Practices</w:t>
      </w:r>
    </w:p>
    <w:p w14:paraId="4CB3CA65"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The most frequent attitude was attentive observation (26.4%), followed by interdisciplinary collaboration (22.1%), consistent with CNGOF (2024) recommendations for heightened </w:t>
      </w:r>
      <w:r w:rsidRPr="00D9139F">
        <w:rPr>
          <w:rFonts w:ascii="Times New Roman" w:eastAsia="Times New Roman" w:hAnsi="Times New Roman" w:cs="Times New Roman"/>
          <w:color w:val="0F1115"/>
          <w:kern w:val="0"/>
          <w14:ligatures w14:val="none"/>
        </w:rPr>
        <w:lastRenderedPageBreak/>
        <w:t xml:space="preserve">vigilance during twin delivery. However, emotional support was cited by only 14.7%, far below Masangu's (2023) Kamina finding (35%), suggesting a still overly technical approach. Regarding practices, prenatal assessment (23.5%) aligned with Ngoma (2022) in Matadi (21%), but pain management (11.8%) and specific interventions (10.3%) were very low, reflecting a lack of practical training, as noted by </w:t>
      </w:r>
      <w:proofErr w:type="spellStart"/>
      <w:r w:rsidRPr="00D9139F">
        <w:rPr>
          <w:rFonts w:ascii="Times New Roman" w:eastAsia="Times New Roman" w:hAnsi="Times New Roman" w:cs="Times New Roman"/>
          <w:color w:val="0F1115"/>
          <w:kern w:val="0"/>
          <w14:ligatures w14:val="none"/>
        </w:rPr>
        <w:t>Bolenga</w:t>
      </w:r>
      <w:proofErr w:type="spellEnd"/>
      <w:r w:rsidRPr="00D9139F">
        <w:rPr>
          <w:rFonts w:ascii="Times New Roman" w:eastAsia="Times New Roman" w:hAnsi="Times New Roman" w:cs="Times New Roman"/>
          <w:color w:val="0F1115"/>
          <w:kern w:val="0"/>
          <w14:ligatures w14:val="none"/>
        </w:rPr>
        <w:t xml:space="preserve"> (2025).</w:t>
      </w:r>
    </w:p>
    <w:p w14:paraId="28685F35"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4.4. Factors Associated with Knowledge</w:t>
      </w:r>
    </w:p>
    <w:p w14:paraId="471937EA"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Bivariate analyses demonstrated strong, significant associations between education level and all knowledge domains (p &lt; 0.001), which multivariate analysis confirmed as independent predictors. L2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 12.4) and Doctorate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 14.8) levels dramatically increased the odds of good management knowledge compared to A2. These results are highly consistent with Mukendi (2022) in Lubumbashi (OR = 9.7 for L2) and Kalala (2023) (OR = 11.2 for Doctorate). </w:t>
      </w:r>
      <w:proofErr w:type="spellStart"/>
      <w:r w:rsidRPr="00D9139F">
        <w:rPr>
          <w:rFonts w:ascii="Times New Roman" w:eastAsia="Times New Roman" w:hAnsi="Times New Roman" w:cs="Times New Roman"/>
          <w:color w:val="0F1115"/>
          <w:kern w:val="0"/>
          <w14:ligatures w14:val="none"/>
        </w:rPr>
        <w:t>Tshiswaka's</w:t>
      </w:r>
      <w:proofErr w:type="spellEnd"/>
      <w:r w:rsidRPr="00D9139F">
        <w:rPr>
          <w:rFonts w:ascii="Times New Roman" w:eastAsia="Times New Roman" w:hAnsi="Times New Roman" w:cs="Times New Roman"/>
          <w:color w:val="0F1115"/>
          <w:kern w:val="0"/>
          <w14:ligatures w14:val="none"/>
        </w:rPr>
        <w:t xml:space="preserve"> (2024) meta-analysis across six African countries concluded that education level is the most consistent factor associated with obstetric performance.</w:t>
      </w:r>
    </w:p>
    <w:p w14:paraId="2D82E6AC"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Seniority ≥11 years was also an independent predictor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 8.94–10.3), confirming the importance of field experience in acquiring twin delivery competencies, as Bandura's (1977) social learning theory would predict. Mbuyi (2021) in Kinshasa observed that providers with &gt;10 years' experience had six times higher odds of managing twin dystocia well. Our higher </w:t>
      </w:r>
      <w:proofErr w:type="spellStart"/>
      <w:r w:rsidRPr="00D9139F">
        <w:rPr>
          <w:rFonts w:ascii="Times New Roman" w:eastAsia="Times New Roman" w:hAnsi="Times New Roman" w:cs="Times New Roman"/>
          <w:color w:val="0F1115"/>
          <w:kern w:val="0"/>
          <w14:ligatures w14:val="none"/>
        </w:rPr>
        <w:t>aOR</w:t>
      </w:r>
      <w:proofErr w:type="spellEnd"/>
      <w:r w:rsidRPr="00D9139F">
        <w:rPr>
          <w:rFonts w:ascii="Times New Roman" w:eastAsia="Times New Roman" w:hAnsi="Times New Roman" w:cs="Times New Roman"/>
          <w:color w:val="0F1115"/>
          <w:kern w:val="0"/>
          <w14:ligatures w14:val="none"/>
        </w:rPr>
        <w:t xml:space="preserve"> may reflect a less favorable initial learning environment, making experience even more valuable.</w:t>
      </w:r>
    </w:p>
    <w:p w14:paraId="11D82616"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Consistent with the literature, sex showed no association with knowledge (p = 0.745). Kasongo (2024), </w:t>
      </w:r>
      <w:proofErr w:type="spellStart"/>
      <w:r w:rsidRPr="00D9139F">
        <w:rPr>
          <w:rFonts w:ascii="Times New Roman" w:eastAsia="Times New Roman" w:hAnsi="Times New Roman" w:cs="Times New Roman"/>
          <w:color w:val="0F1115"/>
          <w:kern w:val="0"/>
          <w14:ligatures w14:val="none"/>
        </w:rPr>
        <w:t>Mokondo</w:t>
      </w:r>
      <w:proofErr w:type="spellEnd"/>
      <w:r w:rsidRPr="00D9139F">
        <w:rPr>
          <w:rFonts w:ascii="Times New Roman" w:eastAsia="Times New Roman" w:hAnsi="Times New Roman" w:cs="Times New Roman"/>
          <w:color w:val="0F1115"/>
          <w:kern w:val="0"/>
          <w14:ligatures w14:val="none"/>
        </w:rPr>
        <w:t xml:space="preserve"> (2023), and Banza (2025) have consistently found no gender differences in obstetric knowledge, as these depend on training, not biological characteristics.</w:t>
      </w:r>
    </w:p>
    <w:p w14:paraId="2C39C60D"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4.5. Limitations</w:t>
      </w:r>
    </w:p>
    <w:p w14:paraId="3F6FB31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This study has several limitations. The cross-sectional design precludes causal inference. The single-center design and modest sample size (n = 68) limit generalizability. Self-reported data may introduce social desirability bias, and direct observation of practices was not performed. Unmeasured variables (e.g., recent continuing education access, availability of written protocols, mentorship) could confound associations.</w:t>
      </w:r>
    </w:p>
    <w:p w14:paraId="3B3584EB"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lastRenderedPageBreak/>
        <w:t>5. Conclusion</w:t>
      </w:r>
    </w:p>
    <w:p w14:paraId="0F38FAE0"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This study demonstrates that healthcare providers at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General Referral Hospital have generally satisfactory knowledge of twin delivery management (70.6% good overall knowledge), but with critical gaps in early diagnosis (44.1% mastery) and complication recognition (58.8%, with only 12.5% citing postpartum hemorrhage). Education level (L2 and Doctorate) and professional seniority (≥11 years) are the main independent predictors of good knowledge, while sex has no influence.</w:t>
      </w:r>
    </w:p>
    <w:p w14:paraId="17FD0C24"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These findings partially validate our general hypothesis—knowledge is not uniformly insufficient, but specific deficits exist—and fully validate hypotheses H2, H3, and H4 (association with education and seniority, no association with sex). Based on these results and the theoretical framework (KAP model, social learning theory, bioecological model), we recommend:</w:t>
      </w:r>
    </w:p>
    <w:p w14:paraId="61C76D5C" w14:textId="77777777" w:rsidR="00094EE9" w:rsidRPr="00D9139F" w:rsidRDefault="00094EE9" w:rsidP="00094EE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Individual level:</w:t>
      </w:r>
      <w:r w:rsidRPr="00D9139F">
        <w:rPr>
          <w:rFonts w:ascii="Times New Roman" w:eastAsia="Times New Roman" w:hAnsi="Times New Roman" w:cs="Times New Roman"/>
          <w:color w:val="0F1115"/>
          <w:kern w:val="0"/>
          <w14:ligatures w14:val="none"/>
        </w:rPr>
        <w:t xml:space="preserve"> Targeted continuing education on early twin diagnosis and complication management, with simulation-based training for specific </w:t>
      </w:r>
      <w:proofErr w:type="spellStart"/>
      <w:r w:rsidRPr="00D9139F">
        <w:rPr>
          <w:rFonts w:ascii="Times New Roman" w:eastAsia="Times New Roman" w:hAnsi="Times New Roman" w:cs="Times New Roman"/>
          <w:color w:val="0F1115"/>
          <w:kern w:val="0"/>
          <w14:ligatures w14:val="none"/>
        </w:rPr>
        <w:t>dystocias</w:t>
      </w:r>
      <w:proofErr w:type="spellEnd"/>
      <w:r w:rsidRPr="00D9139F">
        <w:rPr>
          <w:rFonts w:ascii="Times New Roman" w:eastAsia="Times New Roman" w:hAnsi="Times New Roman" w:cs="Times New Roman"/>
          <w:color w:val="0F1115"/>
          <w:kern w:val="0"/>
          <w14:ligatures w14:val="none"/>
        </w:rPr>
        <w:t xml:space="preserve"> (interlocking, postpartum hemorrhage).</w:t>
      </w:r>
    </w:p>
    <w:p w14:paraId="3ABB49AC" w14:textId="77777777" w:rsidR="00094EE9" w:rsidRPr="00D9139F" w:rsidRDefault="00094EE9" w:rsidP="00094EE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Organizational level:</w:t>
      </w:r>
      <w:r w:rsidRPr="00D9139F">
        <w:rPr>
          <w:rFonts w:ascii="Times New Roman" w:eastAsia="Times New Roman" w:hAnsi="Times New Roman" w:cs="Times New Roman"/>
          <w:color w:val="0F1115"/>
          <w:kern w:val="0"/>
          <w14:ligatures w14:val="none"/>
        </w:rPr>
        <w:t xml:space="preserve"> Development and dissemination of a local twin delivery protocol at HGR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and implementation of mentorship for junior providers by senior staff.</w:t>
      </w:r>
    </w:p>
    <w:p w14:paraId="3E0630DD" w14:textId="77777777" w:rsidR="00094EE9" w:rsidRPr="00D9139F" w:rsidRDefault="00094EE9" w:rsidP="00094EE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Systemic level:</w:t>
      </w:r>
      <w:r w:rsidRPr="00D9139F">
        <w:rPr>
          <w:rFonts w:ascii="Times New Roman" w:eastAsia="Times New Roman" w:hAnsi="Times New Roman" w:cs="Times New Roman"/>
          <w:color w:val="0F1115"/>
          <w:kern w:val="0"/>
          <w14:ligatures w14:val="none"/>
        </w:rPr>
        <w:t xml:space="preserve"> Inclusion of specific twin pregnancy modules in A1, A2, and L2 training curricula, and equipping HGR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xml:space="preserve"> with functional ultrasound to facilitate antenatal diagnosis and learning.</w:t>
      </w:r>
    </w:p>
    <w:p w14:paraId="0E8D5EE9" w14:textId="77777777" w:rsidR="00094EE9" w:rsidRPr="00D9139F" w:rsidRDefault="00094EE9" w:rsidP="00094EE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Research:</w:t>
      </w:r>
      <w:r w:rsidRPr="00D9139F">
        <w:rPr>
          <w:rFonts w:ascii="Times New Roman" w:eastAsia="Times New Roman" w:hAnsi="Times New Roman" w:cs="Times New Roman"/>
          <w:color w:val="0F1115"/>
          <w:kern w:val="0"/>
          <w14:ligatures w14:val="none"/>
        </w:rPr>
        <w:t> Multicenter studies across Équateur Province and quasi-experimental designs (pre-post training) to evaluate intervention impact.</w:t>
      </w:r>
    </w:p>
    <w:p w14:paraId="607ED534"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b/>
          <w:bCs/>
          <w:color w:val="0F1115"/>
          <w:kern w:val="0"/>
          <w14:ligatures w14:val="none"/>
        </w:rPr>
        <w:t>References</w:t>
      </w:r>
    </w:p>
    <w:p w14:paraId="7CC60D7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Bandura, A. (1977). </w:t>
      </w:r>
      <w:r w:rsidRPr="00D9139F">
        <w:rPr>
          <w:rFonts w:ascii="Times New Roman" w:eastAsia="Times New Roman" w:hAnsi="Times New Roman" w:cs="Times New Roman"/>
          <w:i/>
          <w:iCs/>
          <w:color w:val="0F1115"/>
          <w:kern w:val="0"/>
          <w14:ligatures w14:val="none"/>
        </w:rPr>
        <w:t>Social learning theory</w:t>
      </w:r>
      <w:r w:rsidRPr="00D9139F">
        <w:rPr>
          <w:rFonts w:ascii="Times New Roman" w:eastAsia="Times New Roman" w:hAnsi="Times New Roman" w:cs="Times New Roman"/>
          <w:color w:val="0F1115"/>
          <w:kern w:val="0"/>
          <w14:ligatures w14:val="none"/>
        </w:rPr>
        <w:t>. Prentice Hall.</w:t>
      </w:r>
    </w:p>
    <w:p w14:paraId="54FEBB49"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Banza, J. (2025). </w:t>
      </w:r>
      <w:proofErr w:type="spellStart"/>
      <w:r w:rsidRPr="00D9139F">
        <w:rPr>
          <w:rFonts w:ascii="Times New Roman" w:eastAsia="Times New Roman" w:hAnsi="Times New Roman" w:cs="Times New Roman"/>
          <w:color w:val="0F1115"/>
          <w:kern w:val="0"/>
          <w14:ligatures w14:val="none"/>
        </w:rPr>
        <w:t>Évolution</w:t>
      </w:r>
      <w:proofErr w:type="spellEnd"/>
      <w:r w:rsidRPr="00D9139F">
        <w:rPr>
          <w:rFonts w:ascii="Times New Roman" w:eastAsia="Times New Roman" w:hAnsi="Times New Roman" w:cs="Times New Roman"/>
          <w:color w:val="0F1115"/>
          <w:kern w:val="0"/>
          <w14:ligatures w14:val="none"/>
        </w:rPr>
        <w:t xml:space="preserve"> des </w:t>
      </w:r>
      <w:proofErr w:type="spellStart"/>
      <w:r w:rsidRPr="00D9139F">
        <w:rPr>
          <w:rFonts w:ascii="Times New Roman" w:eastAsia="Times New Roman" w:hAnsi="Times New Roman" w:cs="Times New Roman"/>
          <w:color w:val="0F1115"/>
          <w:kern w:val="0"/>
          <w14:ligatures w14:val="none"/>
        </w:rPr>
        <w:t>effectifs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masculins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obstétrique</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RDC. </w:t>
      </w:r>
      <w:r w:rsidRPr="00D9139F">
        <w:rPr>
          <w:rFonts w:ascii="Times New Roman" w:eastAsia="Times New Roman" w:hAnsi="Times New Roman" w:cs="Times New Roman"/>
          <w:i/>
          <w:iCs/>
          <w:color w:val="0F1115"/>
          <w:kern w:val="0"/>
          <w14:ligatures w14:val="none"/>
        </w:rPr>
        <w:t xml:space="preserve">Revue </w:t>
      </w:r>
      <w:proofErr w:type="spellStart"/>
      <w:r w:rsidRPr="00D9139F">
        <w:rPr>
          <w:rFonts w:ascii="Times New Roman" w:eastAsia="Times New Roman" w:hAnsi="Times New Roman" w:cs="Times New Roman"/>
          <w:i/>
          <w:iCs/>
          <w:color w:val="0F1115"/>
          <w:kern w:val="0"/>
          <w14:ligatures w14:val="none"/>
        </w:rPr>
        <w:t>Congolaise</w:t>
      </w:r>
      <w:proofErr w:type="spellEnd"/>
      <w:r w:rsidRPr="00D9139F">
        <w:rPr>
          <w:rFonts w:ascii="Times New Roman" w:eastAsia="Times New Roman" w:hAnsi="Times New Roman" w:cs="Times New Roman"/>
          <w:i/>
          <w:iCs/>
          <w:color w:val="0F1115"/>
          <w:kern w:val="0"/>
          <w14:ligatures w14:val="none"/>
        </w:rPr>
        <w:t xml:space="preserve"> de Santé </w:t>
      </w:r>
      <w:proofErr w:type="spellStart"/>
      <w:r w:rsidRPr="00D9139F">
        <w:rPr>
          <w:rFonts w:ascii="Times New Roman" w:eastAsia="Times New Roman" w:hAnsi="Times New Roman" w:cs="Times New Roman"/>
          <w:i/>
          <w:iCs/>
          <w:color w:val="0F1115"/>
          <w:kern w:val="0"/>
          <w14:ligatures w14:val="none"/>
        </w:rPr>
        <w:t>Publique</w:t>
      </w:r>
      <w:proofErr w:type="spellEnd"/>
      <w:r w:rsidRPr="00D9139F">
        <w:rPr>
          <w:rFonts w:ascii="Times New Roman" w:eastAsia="Times New Roman" w:hAnsi="Times New Roman" w:cs="Times New Roman"/>
          <w:color w:val="0F1115"/>
          <w:kern w:val="0"/>
          <w14:ligatures w14:val="none"/>
        </w:rPr>
        <w:t>, 7(2), 45–53.</w:t>
      </w:r>
    </w:p>
    <w:p w14:paraId="4B63B683"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9139F">
        <w:rPr>
          <w:rFonts w:ascii="Times New Roman" w:eastAsia="Times New Roman" w:hAnsi="Times New Roman" w:cs="Times New Roman"/>
          <w:color w:val="0F1115"/>
          <w:kern w:val="0"/>
          <w14:ligatures w14:val="none"/>
        </w:rPr>
        <w:lastRenderedPageBreak/>
        <w:t>Bashige</w:t>
      </w:r>
      <w:proofErr w:type="spellEnd"/>
      <w:r w:rsidRPr="00D9139F">
        <w:rPr>
          <w:rFonts w:ascii="Times New Roman" w:eastAsia="Times New Roman" w:hAnsi="Times New Roman" w:cs="Times New Roman"/>
          <w:color w:val="0F1115"/>
          <w:kern w:val="0"/>
          <w14:ligatures w14:val="none"/>
        </w:rPr>
        <w:t xml:space="preserve">, C., </w:t>
      </w:r>
      <w:proofErr w:type="spellStart"/>
      <w:r w:rsidRPr="00D9139F">
        <w:rPr>
          <w:rFonts w:ascii="Times New Roman" w:eastAsia="Times New Roman" w:hAnsi="Times New Roman" w:cs="Times New Roman"/>
          <w:color w:val="0F1115"/>
          <w:kern w:val="0"/>
          <w14:ligatures w14:val="none"/>
        </w:rPr>
        <w:t>Mulinga</w:t>
      </w:r>
      <w:proofErr w:type="spellEnd"/>
      <w:r w:rsidRPr="00D9139F">
        <w:rPr>
          <w:rFonts w:ascii="Times New Roman" w:eastAsia="Times New Roman" w:hAnsi="Times New Roman" w:cs="Times New Roman"/>
          <w:color w:val="0F1115"/>
          <w:kern w:val="0"/>
          <w14:ligatures w14:val="none"/>
        </w:rPr>
        <w:t xml:space="preserve">, M., &amp; Kambale, L. (2020). </w:t>
      </w:r>
      <w:proofErr w:type="spellStart"/>
      <w:r w:rsidRPr="00D9139F">
        <w:rPr>
          <w:rFonts w:ascii="Times New Roman" w:eastAsia="Times New Roman" w:hAnsi="Times New Roman" w:cs="Times New Roman"/>
          <w:color w:val="0F1115"/>
          <w:kern w:val="0"/>
          <w14:ligatures w14:val="none"/>
        </w:rPr>
        <w:t>Grossesses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xml:space="preserve"> à </w:t>
      </w:r>
      <w:proofErr w:type="spellStart"/>
      <w:r w:rsidRPr="00D9139F">
        <w:rPr>
          <w:rFonts w:ascii="Times New Roman" w:eastAsia="Times New Roman" w:hAnsi="Times New Roman" w:cs="Times New Roman"/>
          <w:color w:val="0F1115"/>
          <w:kern w:val="0"/>
          <w14:ligatures w14:val="none"/>
        </w:rPr>
        <w:t>l'hôpital</w:t>
      </w:r>
      <w:proofErr w:type="spellEnd"/>
      <w:r w:rsidRPr="00D9139F">
        <w:rPr>
          <w:rFonts w:ascii="Times New Roman" w:eastAsia="Times New Roman" w:hAnsi="Times New Roman" w:cs="Times New Roman"/>
          <w:color w:val="0F1115"/>
          <w:kern w:val="0"/>
          <w14:ligatures w14:val="none"/>
        </w:rPr>
        <w:t xml:space="preserve"> provincial de </w:t>
      </w:r>
      <w:proofErr w:type="spellStart"/>
      <w:r w:rsidRPr="00D9139F">
        <w:rPr>
          <w:rFonts w:ascii="Times New Roman" w:eastAsia="Times New Roman" w:hAnsi="Times New Roman" w:cs="Times New Roman"/>
          <w:color w:val="0F1115"/>
          <w:kern w:val="0"/>
          <w14:ligatures w14:val="none"/>
        </w:rPr>
        <w:t>référence</w:t>
      </w:r>
      <w:proofErr w:type="spellEnd"/>
      <w:r w:rsidRPr="00D9139F">
        <w:rPr>
          <w:rFonts w:ascii="Times New Roman" w:eastAsia="Times New Roman" w:hAnsi="Times New Roman" w:cs="Times New Roman"/>
          <w:color w:val="0F1115"/>
          <w:kern w:val="0"/>
          <w14:ligatures w14:val="none"/>
        </w:rPr>
        <w:t xml:space="preserve"> du Nord-Kivu, Goma. </w:t>
      </w:r>
      <w:r w:rsidRPr="00D9139F">
        <w:rPr>
          <w:rFonts w:ascii="Times New Roman" w:eastAsia="Times New Roman" w:hAnsi="Times New Roman" w:cs="Times New Roman"/>
          <w:i/>
          <w:iCs/>
          <w:color w:val="0F1115"/>
          <w:kern w:val="0"/>
          <w14:ligatures w14:val="none"/>
        </w:rPr>
        <w:t xml:space="preserve">Revue </w:t>
      </w:r>
      <w:proofErr w:type="spellStart"/>
      <w:r w:rsidRPr="00D9139F">
        <w:rPr>
          <w:rFonts w:ascii="Times New Roman" w:eastAsia="Times New Roman" w:hAnsi="Times New Roman" w:cs="Times New Roman"/>
          <w:i/>
          <w:iCs/>
          <w:color w:val="0F1115"/>
          <w:kern w:val="0"/>
          <w14:ligatures w14:val="none"/>
        </w:rPr>
        <w:t>Médicale</w:t>
      </w:r>
      <w:proofErr w:type="spellEnd"/>
      <w:r w:rsidRPr="00D9139F">
        <w:rPr>
          <w:rFonts w:ascii="Times New Roman" w:eastAsia="Times New Roman" w:hAnsi="Times New Roman" w:cs="Times New Roman"/>
          <w:i/>
          <w:iCs/>
          <w:color w:val="0F1115"/>
          <w:kern w:val="0"/>
          <w14:ligatures w14:val="none"/>
        </w:rPr>
        <w:t xml:space="preserve"> des Grands Lacs</w:t>
      </w:r>
      <w:r w:rsidRPr="00D9139F">
        <w:rPr>
          <w:rFonts w:ascii="Times New Roman" w:eastAsia="Times New Roman" w:hAnsi="Times New Roman" w:cs="Times New Roman"/>
          <w:color w:val="0F1115"/>
          <w:kern w:val="0"/>
          <w14:ligatures w14:val="none"/>
        </w:rPr>
        <w:t>, 12(3), 145–152.</w:t>
      </w:r>
    </w:p>
    <w:p w14:paraId="4B5D950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Blondel, B., Kaminski, M., &amp; Zelenko, P. (2017). </w:t>
      </w:r>
      <w:proofErr w:type="spellStart"/>
      <w:r w:rsidRPr="00D9139F">
        <w:rPr>
          <w:rFonts w:ascii="Times New Roman" w:eastAsia="Times New Roman" w:hAnsi="Times New Roman" w:cs="Times New Roman"/>
          <w:color w:val="0F1115"/>
          <w:kern w:val="0"/>
          <w14:ligatures w14:val="none"/>
        </w:rPr>
        <w:t>Mortalité</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périnatale</w:t>
      </w:r>
      <w:proofErr w:type="spellEnd"/>
      <w:r w:rsidRPr="00D9139F">
        <w:rPr>
          <w:rFonts w:ascii="Times New Roman" w:eastAsia="Times New Roman" w:hAnsi="Times New Roman" w:cs="Times New Roman"/>
          <w:color w:val="0F1115"/>
          <w:kern w:val="0"/>
          <w14:ligatures w14:val="none"/>
        </w:rPr>
        <w:t xml:space="preserve"> et </w:t>
      </w:r>
      <w:proofErr w:type="spellStart"/>
      <w:r w:rsidRPr="00D9139F">
        <w:rPr>
          <w:rFonts w:ascii="Times New Roman" w:eastAsia="Times New Roman" w:hAnsi="Times New Roman" w:cs="Times New Roman"/>
          <w:color w:val="0F1115"/>
          <w:kern w:val="0"/>
          <w14:ligatures w14:val="none"/>
        </w:rPr>
        <w:t>morbidité</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néonatale</w:t>
      </w:r>
      <w:proofErr w:type="spellEnd"/>
      <w:r w:rsidRPr="00D9139F">
        <w:rPr>
          <w:rFonts w:ascii="Times New Roman" w:eastAsia="Times New Roman" w:hAnsi="Times New Roman" w:cs="Times New Roman"/>
          <w:color w:val="0F1115"/>
          <w:kern w:val="0"/>
          <w14:ligatures w14:val="none"/>
        </w:rPr>
        <w:t xml:space="preserve"> dans les naissances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Europe. </w:t>
      </w:r>
      <w:r w:rsidRPr="00D9139F">
        <w:rPr>
          <w:rFonts w:ascii="Times New Roman" w:eastAsia="Times New Roman" w:hAnsi="Times New Roman" w:cs="Times New Roman"/>
          <w:i/>
          <w:iCs/>
          <w:color w:val="0F1115"/>
          <w:kern w:val="0"/>
          <w14:ligatures w14:val="none"/>
        </w:rPr>
        <w:t xml:space="preserve">Journal de </w:t>
      </w:r>
      <w:proofErr w:type="spellStart"/>
      <w:r w:rsidRPr="00D9139F">
        <w:rPr>
          <w:rFonts w:ascii="Times New Roman" w:eastAsia="Times New Roman" w:hAnsi="Times New Roman" w:cs="Times New Roman"/>
          <w:i/>
          <w:iCs/>
          <w:color w:val="0F1115"/>
          <w:kern w:val="0"/>
          <w14:ligatures w14:val="none"/>
        </w:rPr>
        <w:t>Gynécologie</w:t>
      </w:r>
      <w:proofErr w:type="spellEnd"/>
      <w:r w:rsidRPr="00D9139F">
        <w:rPr>
          <w:rFonts w:ascii="Times New Roman" w:eastAsia="Times New Roman" w:hAnsi="Times New Roman" w:cs="Times New Roman"/>
          <w:i/>
          <w:iCs/>
          <w:color w:val="0F1115"/>
          <w:kern w:val="0"/>
          <w14:ligatures w14:val="none"/>
        </w:rPr>
        <w:t xml:space="preserve"> </w:t>
      </w:r>
      <w:proofErr w:type="spellStart"/>
      <w:r w:rsidRPr="00D9139F">
        <w:rPr>
          <w:rFonts w:ascii="Times New Roman" w:eastAsia="Times New Roman" w:hAnsi="Times New Roman" w:cs="Times New Roman"/>
          <w:i/>
          <w:iCs/>
          <w:color w:val="0F1115"/>
          <w:kern w:val="0"/>
          <w14:ligatures w14:val="none"/>
        </w:rPr>
        <w:t>Obstétrique</w:t>
      </w:r>
      <w:proofErr w:type="spellEnd"/>
      <w:r w:rsidRPr="00D9139F">
        <w:rPr>
          <w:rFonts w:ascii="Times New Roman" w:eastAsia="Times New Roman" w:hAnsi="Times New Roman" w:cs="Times New Roman"/>
          <w:i/>
          <w:iCs/>
          <w:color w:val="0F1115"/>
          <w:kern w:val="0"/>
          <w14:ligatures w14:val="none"/>
        </w:rPr>
        <w:t xml:space="preserve"> et </w:t>
      </w:r>
      <w:proofErr w:type="spellStart"/>
      <w:r w:rsidRPr="00D9139F">
        <w:rPr>
          <w:rFonts w:ascii="Times New Roman" w:eastAsia="Times New Roman" w:hAnsi="Times New Roman" w:cs="Times New Roman"/>
          <w:i/>
          <w:iCs/>
          <w:color w:val="0F1115"/>
          <w:kern w:val="0"/>
          <w14:ligatures w14:val="none"/>
        </w:rPr>
        <w:t>Biologie</w:t>
      </w:r>
      <w:proofErr w:type="spellEnd"/>
      <w:r w:rsidRPr="00D9139F">
        <w:rPr>
          <w:rFonts w:ascii="Times New Roman" w:eastAsia="Times New Roman" w:hAnsi="Times New Roman" w:cs="Times New Roman"/>
          <w:i/>
          <w:iCs/>
          <w:color w:val="0F1115"/>
          <w:kern w:val="0"/>
          <w14:ligatures w14:val="none"/>
        </w:rPr>
        <w:t xml:space="preserve"> de la Reproduction</w:t>
      </w:r>
      <w:r w:rsidRPr="00D9139F">
        <w:rPr>
          <w:rFonts w:ascii="Times New Roman" w:eastAsia="Times New Roman" w:hAnsi="Times New Roman" w:cs="Times New Roman"/>
          <w:color w:val="0F1115"/>
          <w:kern w:val="0"/>
          <w14:ligatures w14:val="none"/>
        </w:rPr>
        <w:t>, 46(2), 112–120.</w:t>
      </w:r>
    </w:p>
    <w:p w14:paraId="602A4A43"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9139F">
        <w:rPr>
          <w:rFonts w:ascii="Times New Roman" w:eastAsia="Times New Roman" w:hAnsi="Times New Roman" w:cs="Times New Roman"/>
          <w:color w:val="0F1115"/>
          <w:kern w:val="0"/>
          <w14:ligatures w14:val="none"/>
        </w:rPr>
        <w:t>Bolenga</w:t>
      </w:r>
      <w:proofErr w:type="spellEnd"/>
      <w:r w:rsidRPr="00D9139F">
        <w:rPr>
          <w:rFonts w:ascii="Times New Roman" w:eastAsia="Times New Roman" w:hAnsi="Times New Roman" w:cs="Times New Roman"/>
          <w:color w:val="0F1115"/>
          <w:kern w:val="0"/>
          <w14:ligatures w14:val="none"/>
        </w:rPr>
        <w:t xml:space="preserve">, P. (2025). </w:t>
      </w:r>
      <w:proofErr w:type="spellStart"/>
      <w:r w:rsidRPr="00D9139F">
        <w:rPr>
          <w:rFonts w:ascii="Times New Roman" w:eastAsia="Times New Roman" w:hAnsi="Times New Roman" w:cs="Times New Roman"/>
          <w:color w:val="0F1115"/>
          <w:kern w:val="0"/>
          <w14:ligatures w14:val="none"/>
        </w:rPr>
        <w:t>Défis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diagnostiques</w:t>
      </w:r>
      <w:proofErr w:type="spellEnd"/>
      <w:r w:rsidRPr="00D9139F">
        <w:rPr>
          <w:rFonts w:ascii="Times New Roman" w:eastAsia="Times New Roman" w:hAnsi="Times New Roman" w:cs="Times New Roman"/>
          <w:color w:val="0F1115"/>
          <w:kern w:val="0"/>
          <w14:ligatures w14:val="none"/>
        </w:rPr>
        <w:t xml:space="preserve"> de la </w:t>
      </w:r>
      <w:proofErr w:type="spellStart"/>
      <w:r w:rsidRPr="00D9139F">
        <w:rPr>
          <w:rFonts w:ascii="Times New Roman" w:eastAsia="Times New Roman" w:hAnsi="Times New Roman" w:cs="Times New Roman"/>
          <w:color w:val="0F1115"/>
          <w:kern w:val="0"/>
          <w14:ligatures w14:val="none"/>
        </w:rPr>
        <w:t>grossesse</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gémellaire</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milieu périphérique. </w:t>
      </w:r>
      <w:r w:rsidRPr="00D9139F">
        <w:rPr>
          <w:rFonts w:ascii="Times New Roman" w:eastAsia="Times New Roman" w:hAnsi="Times New Roman" w:cs="Times New Roman"/>
          <w:i/>
          <w:iCs/>
          <w:color w:val="0F1115"/>
          <w:kern w:val="0"/>
          <w14:ligatures w14:val="none"/>
        </w:rPr>
        <w:t xml:space="preserve">Annales de </w:t>
      </w:r>
      <w:proofErr w:type="spellStart"/>
      <w:r w:rsidRPr="00D9139F">
        <w:rPr>
          <w:rFonts w:ascii="Times New Roman" w:eastAsia="Times New Roman" w:hAnsi="Times New Roman" w:cs="Times New Roman"/>
          <w:i/>
          <w:iCs/>
          <w:color w:val="0F1115"/>
          <w:kern w:val="0"/>
          <w14:ligatures w14:val="none"/>
        </w:rPr>
        <w:t>l'Équateur</w:t>
      </w:r>
      <w:proofErr w:type="spellEnd"/>
      <w:r w:rsidRPr="00D9139F">
        <w:rPr>
          <w:rFonts w:ascii="Times New Roman" w:eastAsia="Times New Roman" w:hAnsi="Times New Roman" w:cs="Times New Roman"/>
          <w:color w:val="0F1115"/>
          <w:kern w:val="0"/>
          <w14:ligatures w14:val="none"/>
        </w:rPr>
        <w:t>, 4(1), 22–30.</w:t>
      </w:r>
    </w:p>
    <w:p w14:paraId="516FD2B1"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Bronfenbrenner, U. (1979). </w:t>
      </w:r>
      <w:r w:rsidRPr="00D9139F">
        <w:rPr>
          <w:rFonts w:ascii="Times New Roman" w:eastAsia="Times New Roman" w:hAnsi="Times New Roman" w:cs="Times New Roman"/>
          <w:i/>
          <w:iCs/>
          <w:color w:val="0F1115"/>
          <w:kern w:val="0"/>
          <w14:ligatures w14:val="none"/>
        </w:rPr>
        <w:t>The ecology of human development: Experiments by nature and design</w:t>
      </w:r>
      <w:r w:rsidRPr="00D9139F">
        <w:rPr>
          <w:rFonts w:ascii="Times New Roman" w:eastAsia="Times New Roman" w:hAnsi="Times New Roman" w:cs="Times New Roman"/>
          <w:color w:val="0F1115"/>
          <w:kern w:val="0"/>
          <w14:ligatures w14:val="none"/>
        </w:rPr>
        <w:t>. Harvard University Press.</w:t>
      </w:r>
    </w:p>
    <w:p w14:paraId="49F2AEC9"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Collège National des </w:t>
      </w:r>
      <w:proofErr w:type="spellStart"/>
      <w:r w:rsidRPr="00D9139F">
        <w:rPr>
          <w:rFonts w:ascii="Times New Roman" w:eastAsia="Times New Roman" w:hAnsi="Times New Roman" w:cs="Times New Roman"/>
          <w:color w:val="0F1115"/>
          <w:kern w:val="0"/>
          <w14:ligatures w14:val="none"/>
        </w:rPr>
        <w:t>Gynécologues</w:t>
      </w:r>
      <w:proofErr w:type="spellEnd"/>
      <w:r w:rsidRPr="00D9139F">
        <w:rPr>
          <w:rFonts w:ascii="Times New Roman" w:eastAsia="Times New Roman" w:hAnsi="Times New Roman" w:cs="Times New Roman"/>
          <w:color w:val="0F1115"/>
          <w:kern w:val="0"/>
          <w14:ligatures w14:val="none"/>
        </w:rPr>
        <w:t xml:space="preserve"> et </w:t>
      </w:r>
      <w:proofErr w:type="spellStart"/>
      <w:r w:rsidRPr="00D9139F">
        <w:rPr>
          <w:rFonts w:ascii="Times New Roman" w:eastAsia="Times New Roman" w:hAnsi="Times New Roman" w:cs="Times New Roman"/>
          <w:color w:val="0F1115"/>
          <w:kern w:val="0"/>
          <w14:ligatures w14:val="none"/>
        </w:rPr>
        <w:t>Obstétriciens</w:t>
      </w:r>
      <w:proofErr w:type="spellEnd"/>
      <w:r w:rsidRPr="00D9139F">
        <w:rPr>
          <w:rFonts w:ascii="Times New Roman" w:eastAsia="Times New Roman" w:hAnsi="Times New Roman" w:cs="Times New Roman"/>
          <w:color w:val="0F1115"/>
          <w:kern w:val="0"/>
          <w14:ligatures w14:val="none"/>
        </w:rPr>
        <w:t xml:space="preserve"> Français. (2024). </w:t>
      </w:r>
      <w:proofErr w:type="spellStart"/>
      <w:r w:rsidRPr="00D9139F">
        <w:rPr>
          <w:rFonts w:ascii="Times New Roman" w:eastAsia="Times New Roman" w:hAnsi="Times New Roman" w:cs="Times New Roman"/>
          <w:i/>
          <w:iCs/>
          <w:color w:val="0F1115"/>
          <w:kern w:val="0"/>
          <w14:ligatures w14:val="none"/>
        </w:rPr>
        <w:t>Recommandations</w:t>
      </w:r>
      <w:proofErr w:type="spellEnd"/>
      <w:r w:rsidRPr="00D9139F">
        <w:rPr>
          <w:rFonts w:ascii="Times New Roman" w:eastAsia="Times New Roman" w:hAnsi="Times New Roman" w:cs="Times New Roman"/>
          <w:i/>
          <w:iCs/>
          <w:color w:val="0F1115"/>
          <w:kern w:val="0"/>
          <w14:ligatures w14:val="none"/>
        </w:rPr>
        <w:t xml:space="preserve"> pour la pratique </w:t>
      </w:r>
      <w:proofErr w:type="spellStart"/>
      <w:r w:rsidRPr="00D9139F">
        <w:rPr>
          <w:rFonts w:ascii="Times New Roman" w:eastAsia="Times New Roman" w:hAnsi="Times New Roman" w:cs="Times New Roman"/>
          <w:i/>
          <w:iCs/>
          <w:color w:val="0F1115"/>
          <w:kern w:val="0"/>
          <w14:ligatures w14:val="none"/>
        </w:rPr>
        <w:t>clinique</w:t>
      </w:r>
      <w:proofErr w:type="spellEnd"/>
      <w:r w:rsidRPr="00D9139F">
        <w:rPr>
          <w:rFonts w:ascii="Times New Roman" w:eastAsia="Times New Roman" w:hAnsi="Times New Roman" w:cs="Times New Roman"/>
          <w:i/>
          <w:iCs/>
          <w:color w:val="0F1115"/>
          <w:kern w:val="0"/>
          <w14:ligatures w14:val="none"/>
        </w:rPr>
        <w:t xml:space="preserve">: </w:t>
      </w:r>
      <w:proofErr w:type="spellStart"/>
      <w:r w:rsidRPr="00D9139F">
        <w:rPr>
          <w:rFonts w:ascii="Times New Roman" w:eastAsia="Times New Roman" w:hAnsi="Times New Roman" w:cs="Times New Roman"/>
          <w:i/>
          <w:iCs/>
          <w:color w:val="0F1115"/>
          <w:kern w:val="0"/>
          <w14:ligatures w14:val="none"/>
        </w:rPr>
        <w:t>Prise</w:t>
      </w:r>
      <w:proofErr w:type="spellEnd"/>
      <w:r w:rsidRPr="00D9139F">
        <w:rPr>
          <w:rFonts w:ascii="Times New Roman" w:eastAsia="Times New Roman" w:hAnsi="Times New Roman" w:cs="Times New Roman"/>
          <w:i/>
          <w:iCs/>
          <w:color w:val="0F1115"/>
          <w:kern w:val="0"/>
          <w14:ligatures w14:val="none"/>
        </w:rPr>
        <w:t xml:space="preserve"> </w:t>
      </w:r>
      <w:proofErr w:type="spellStart"/>
      <w:r w:rsidRPr="00D9139F">
        <w:rPr>
          <w:rFonts w:ascii="Times New Roman" w:eastAsia="Times New Roman" w:hAnsi="Times New Roman" w:cs="Times New Roman"/>
          <w:i/>
          <w:iCs/>
          <w:color w:val="0F1115"/>
          <w:kern w:val="0"/>
          <w14:ligatures w14:val="none"/>
        </w:rPr>
        <w:t>en</w:t>
      </w:r>
      <w:proofErr w:type="spellEnd"/>
      <w:r w:rsidRPr="00D9139F">
        <w:rPr>
          <w:rFonts w:ascii="Times New Roman" w:eastAsia="Times New Roman" w:hAnsi="Times New Roman" w:cs="Times New Roman"/>
          <w:i/>
          <w:iCs/>
          <w:color w:val="0F1115"/>
          <w:kern w:val="0"/>
          <w14:ligatures w14:val="none"/>
        </w:rPr>
        <w:t xml:space="preserve"> charge des </w:t>
      </w:r>
      <w:proofErr w:type="spellStart"/>
      <w:r w:rsidRPr="00D9139F">
        <w:rPr>
          <w:rFonts w:ascii="Times New Roman" w:eastAsia="Times New Roman" w:hAnsi="Times New Roman" w:cs="Times New Roman"/>
          <w:i/>
          <w:iCs/>
          <w:color w:val="0F1115"/>
          <w:kern w:val="0"/>
          <w14:ligatures w14:val="none"/>
        </w:rPr>
        <w:t>grossesses</w:t>
      </w:r>
      <w:proofErr w:type="spellEnd"/>
      <w:r w:rsidRPr="00D9139F">
        <w:rPr>
          <w:rFonts w:ascii="Times New Roman" w:eastAsia="Times New Roman" w:hAnsi="Times New Roman" w:cs="Times New Roman"/>
          <w:i/>
          <w:iCs/>
          <w:color w:val="0F1115"/>
          <w:kern w:val="0"/>
          <w14:ligatures w14:val="none"/>
        </w:rPr>
        <w:t xml:space="preserve"> </w:t>
      </w:r>
      <w:proofErr w:type="spellStart"/>
      <w:r w:rsidRPr="00D9139F">
        <w:rPr>
          <w:rFonts w:ascii="Times New Roman" w:eastAsia="Times New Roman" w:hAnsi="Times New Roman" w:cs="Times New Roman"/>
          <w:i/>
          <w:iCs/>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CNGOF.</w:t>
      </w:r>
    </w:p>
    <w:p w14:paraId="7E2830BA"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Diaby, F. (2020). Complications </w:t>
      </w:r>
      <w:proofErr w:type="spellStart"/>
      <w:r w:rsidRPr="00D9139F">
        <w:rPr>
          <w:rFonts w:ascii="Times New Roman" w:eastAsia="Times New Roman" w:hAnsi="Times New Roman" w:cs="Times New Roman"/>
          <w:color w:val="0F1115"/>
          <w:kern w:val="0"/>
          <w14:ligatures w14:val="none"/>
        </w:rPr>
        <w:t>dystociques</w:t>
      </w:r>
      <w:proofErr w:type="spellEnd"/>
      <w:r w:rsidRPr="00D9139F">
        <w:rPr>
          <w:rFonts w:ascii="Times New Roman" w:eastAsia="Times New Roman" w:hAnsi="Times New Roman" w:cs="Times New Roman"/>
          <w:color w:val="0F1115"/>
          <w:kern w:val="0"/>
          <w14:ligatures w14:val="none"/>
        </w:rPr>
        <w:t xml:space="preserve"> des </w:t>
      </w:r>
      <w:proofErr w:type="spellStart"/>
      <w:r w:rsidRPr="00D9139F">
        <w:rPr>
          <w:rFonts w:ascii="Times New Roman" w:eastAsia="Times New Roman" w:hAnsi="Times New Roman" w:cs="Times New Roman"/>
          <w:color w:val="0F1115"/>
          <w:kern w:val="0"/>
          <w14:ligatures w14:val="none"/>
        </w:rPr>
        <w:t>grossesses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xml:space="preserve"> à Bamako. </w:t>
      </w:r>
      <w:r w:rsidRPr="00D9139F">
        <w:rPr>
          <w:rFonts w:ascii="Times New Roman" w:eastAsia="Times New Roman" w:hAnsi="Times New Roman" w:cs="Times New Roman"/>
          <w:i/>
          <w:iCs/>
          <w:color w:val="0F1115"/>
          <w:kern w:val="0"/>
          <w14:ligatures w14:val="none"/>
        </w:rPr>
        <w:t xml:space="preserve">Mali </w:t>
      </w:r>
      <w:proofErr w:type="spellStart"/>
      <w:r w:rsidRPr="00D9139F">
        <w:rPr>
          <w:rFonts w:ascii="Times New Roman" w:eastAsia="Times New Roman" w:hAnsi="Times New Roman" w:cs="Times New Roman"/>
          <w:i/>
          <w:iCs/>
          <w:color w:val="0F1115"/>
          <w:kern w:val="0"/>
          <w14:ligatures w14:val="none"/>
        </w:rPr>
        <w:t>Médical</w:t>
      </w:r>
      <w:proofErr w:type="spellEnd"/>
      <w:r w:rsidRPr="00D9139F">
        <w:rPr>
          <w:rFonts w:ascii="Times New Roman" w:eastAsia="Times New Roman" w:hAnsi="Times New Roman" w:cs="Times New Roman"/>
          <w:color w:val="0F1115"/>
          <w:kern w:val="0"/>
          <w14:ligatures w14:val="none"/>
        </w:rPr>
        <w:t>, 35(3), 18–24.</w:t>
      </w:r>
    </w:p>
    <w:p w14:paraId="66E25C5C"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Diaby, F., Traoré, S., &amp; Keita, M. (2018). </w:t>
      </w:r>
      <w:proofErr w:type="spellStart"/>
      <w:r w:rsidRPr="00D9139F">
        <w:rPr>
          <w:rFonts w:ascii="Times New Roman" w:eastAsia="Times New Roman" w:hAnsi="Times New Roman" w:cs="Times New Roman"/>
          <w:color w:val="0F1115"/>
          <w:kern w:val="0"/>
          <w14:ligatures w14:val="none"/>
        </w:rPr>
        <w:t>Pronostic</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périnatal</w:t>
      </w:r>
      <w:proofErr w:type="spellEnd"/>
      <w:r w:rsidRPr="00D9139F">
        <w:rPr>
          <w:rFonts w:ascii="Times New Roman" w:eastAsia="Times New Roman" w:hAnsi="Times New Roman" w:cs="Times New Roman"/>
          <w:color w:val="0F1115"/>
          <w:kern w:val="0"/>
          <w14:ligatures w14:val="none"/>
        </w:rPr>
        <w:t xml:space="preserve"> des </w:t>
      </w:r>
      <w:proofErr w:type="spellStart"/>
      <w:r w:rsidRPr="00D9139F">
        <w:rPr>
          <w:rFonts w:ascii="Times New Roman" w:eastAsia="Times New Roman" w:hAnsi="Times New Roman" w:cs="Times New Roman"/>
          <w:color w:val="0F1115"/>
          <w:kern w:val="0"/>
          <w14:ligatures w14:val="none"/>
        </w:rPr>
        <w:t>grossesses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xml:space="preserve"> au Centre de Santé de </w:t>
      </w:r>
      <w:proofErr w:type="spellStart"/>
      <w:r w:rsidRPr="00D9139F">
        <w:rPr>
          <w:rFonts w:ascii="Times New Roman" w:eastAsia="Times New Roman" w:hAnsi="Times New Roman" w:cs="Times New Roman"/>
          <w:color w:val="0F1115"/>
          <w:kern w:val="0"/>
          <w14:ligatures w14:val="none"/>
        </w:rPr>
        <w:t>Référence</w:t>
      </w:r>
      <w:proofErr w:type="spellEnd"/>
      <w:r w:rsidRPr="00D9139F">
        <w:rPr>
          <w:rFonts w:ascii="Times New Roman" w:eastAsia="Times New Roman" w:hAnsi="Times New Roman" w:cs="Times New Roman"/>
          <w:color w:val="0F1115"/>
          <w:kern w:val="0"/>
          <w14:ligatures w14:val="none"/>
        </w:rPr>
        <w:t xml:space="preserve"> de la Commune V, Bamako. </w:t>
      </w:r>
      <w:r w:rsidRPr="00D9139F">
        <w:rPr>
          <w:rFonts w:ascii="Times New Roman" w:eastAsia="Times New Roman" w:hAnsi="Times New Roman" w:cs="Times New Roman"/>
          <w:i/>
          <w:iCs/>
          <w:color w:val="0F1115"/>
          <w:kern w:val="0"/>
          <w14:ligatures w14:val="none"/>
        </w:rPr>
        <w:t xml:space="preserve">Mali </w:t>
      </w:r>
      <w:proofErr w:type="spellStart"/>
      <w:r w:rsidRPr="00D9139F">
        <w:rPr>
          <w:rFonts w:ascii="Times New Roman" w:eastAsia="Times New Roman" w:hAnsi="Times New Roman" w:cs="Times New Roman"/>
          <w:i/>
          <w:iCs/>
          <w:color w:val="0F1115"/>
          <w:kern w:val="0"/>
          <w14:ligatures w14:val="none"/>
        </w:rPr>
        <w:t>Médical</w:t>
      </w:r>
      <w:proofErr w:type="spellEnd"/>
      <w:r w:rsidRPr="00D9139F">
        <w:rPr>
          <w:rFonts w:ascii="Times New Roman" w:eastAsia="Times New Roman" w:hAnsi="Times New Roman" w:cs="Times New Roman"/>
          <w:color w:val="0F1115"/>
          <w:kern w:val="0"/>
          <w14:ligatures w14:val="none"/>
        </w:rPr>
        <w:t>, 33(2), 18–24.</w:t>
      </w:r>
    </w:p>
    <w:p w14:paraId="14FE1AF4"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Diallo, A. (2022). </w:t>
      </w:r>
      <w:proofErr w:type="spellStart"/>
      <w:r w:rsidRPr="00D9139F">
        <w:rPr>
          <w:rFonts w:ascii="Times New Roman" w:eastAsia="Times New Roman" w:hAnsi="Times New Roman" w:cs="Times New Roman"/>
          <w:color w:val="0F1115"/>
          <w:kern w:val="0"/>
          <w14:ligatures w14:val="none"/>
        </w:rPr>
        <w:t>Connaissances</w:t>
      </w:r>
      <w:proofErr w:type="spellEnd"/>
      <w:r w:rsidRPr="00D9139F">
        <w:rPr>
          <w:rFonts w:ascii="Times New Roman" w:eastAsia="Times New Roman" w:hAnsi="Times New Roman" w:cs="Times New Roman"/>
          <w:color w:val="0F1115"/>
          <w:kern w:val="0"/>
          <w14:ligatures w14:val="none"/>
        </w:rPr>
        <w:t xml:space="preserve"> des sages-femmes sur la </w:t>
      </w:r>
      <w:proofErr w:type="spellStart"/>
      <w:r w:rsidRPr="00D9139F">
        <w:rPr>
          <w:rFonts w:ascii="Times New Roman" w:eastAsia="Times New Roman" w:hAnsi="Times New Roman" w:cs="Times New Roman"/>
          <w:color w:val="0F1115"/>
          <w:kern w:val="0"/>
          <w14:ligatures w14:val="none"/>
        </w:rPr>
        <w:t>gémellité</w:t>
      </w:r>
      <w:proofErr w:type="spellEnd"/>
      <w:r w:rsidRPr="00D9139F">
        <w:rPr>
          <w:rFonts w:ascii="Times New Roman" w:eastAsia="Times New Roman" w:hAnsi="Times New Roman" w:cs="Times New Roman"/>
          <w:color w:val="0F1115"/>
          <w:kern w:val="0"/>
          <w14:ligatures w14:val="none"/>
        </w:rPr>
        <w:t xml:space="preserve"> à </w:t>
      </w:r>
      <w:proofErr w:type="spellStart"/>
      <w:r w:rsidRPr="00D9139F">
        <w:rPr>
          <w:rFonts w:ascii="Times New Roman" w:eastAsia="Times New Roman" w:hAnsi="Times New Roman" w:cs="Times New Roman"/>
          <w:color w:val="0F1115"/>
          <w:kern w:val="0"/>
          <w14:ligatures w14:val="none"/>
        </w:rPr>
        <w:t>Thiès</w:t>
      </w:r>
      <w:proofErr w:type="spellEnd"/>
      <w:r w:rsidRPr="00D9139F">
        <w:rPr>
          <w:rFonts w:ascii="Times New Roman" w:eastAsia="Times New Roman" w:hAnsi="Times New Roman" w:cs="Times New Roman"/>
          <w:color w:val="0F1115"/>
          <w:kern w:val="0"/>
          <w14:ligatures w14:val="none"/>
        </w:rPr>
        <w:t>. </w:t>
      </w:r>
      <w:r w:rsidRPr="00D9139F">
        <w:rPr>
          <w:rFonts w:ascii="Times New Roman" w:eastAsia="Times New Roman" w:hAnsi="Times New Roman" w:cs="Times New Roman"/>
          <w:i/>
          <w:iCs/>
          <w:color w:val="0F1115"/>
          <w:kern w:val="0"/>
          <w14:ligatures w14:val="none"/>
        </w:rPr>
        <w:t xml:space="preserve">Journal Africain de </w:t>
      </w:r>
      <w:proofErr w:type="spellStart"/>
      <w:r w:rsidRPr="00D9139F">
        <w:rPr>
          <w:rFonts w:ascii="Times New Roman" w:eastAsia="Times New Roman" w:hAnsi="Times New Roman" w:cs="Times New Roman"/>
          <w:i/>
          <w:iCs/>
          <w:color w:val="0F1115"/>
          <w:kern w:val="0"/>
          <w14:ligatures w14:val="none"/>
        </w:rPr>
        <w:t>Gynécologie</w:t>
      </w:r>
      <w:proofErr w:type="spellEnd"/>
      <w:r w:rsidRPr="00D9139F">
        <w:rPr>
          <w:rFonts w:ascii="Times New Roman" w:eastAsia="Times New Roman" w:hAnsi="Times New Roman" w:cs="Times New Roman"/>
          <w:color w:val="0F1115"/>
          <w:kern w:val="0"/>
          <w14:ligatures w14:val="none"/>
        </w:rPr>
        <w:t>, 8(2), 112–119.</w:t>
      </w:r>
    </w:p>
    <w:p w14:paraId="735CBAD6"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Diallo, A., Diadhiou, F., &amp; Gueye, M. (2019). </w:t>
      </w:r>
      <w:proofErr w:type="spellStart"/>
      <w:r w:rsidRPr="00D9139F">
        <w:rPr>
          <w:rFonts w:ascii="Times New Roman" w:eastAsia="Times New Roman" w:hAnsi="Times New Roman" w:cs="Times New Roman"/>
          <w:color w:val="0F1115"/>
          <w:kern w:val="0"/>
          <w14:ligatures w14:val="none"/>
        </w:rPr>
        <w:t>Prise</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charge des </w:t>
      </w:r>
      <w:proofErr w:type="spellStart"/>
      <w:r w:rsidRPr="00D9139F">
        <w:rPr>
          <w:rFonts w:ascii="Times New Roman" w:eastAsia="Times New Roman" w:hAnsi="Times New Roman" w:cs="Times New Roman"/>
          <w:color w:val="0F1115"/>
          <w:kern w:val="0"/>
          <w14:ligatures w14:val="none"/>
        </w:rPr>
        <w:t>grossesses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xml:space="preserve"> à </w:t>
      </w:r>
      <w:proofErr w:type="spellStart"/>
      <w:r w:rsidRPr="00D9139F">
        <w:rPr>
          <w:rFonts w:ascii="Times New Roman" w:eastAsia="Times New Roman" w:hAnsi="Times New Roman" w:cs="Times New Roman"/>
          <w:color w:val="0F1115"/>
          <w:kern w:val="0"/>
          <w14:ligatures w14:val="none"/>
        </w:rPr>
        <w:t>l'hôpital</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régional</w:t>
      </w:r>
      <w:proofErr w:type="spellEnd"/>
      <w:r w:rsidRPr="00D9139F">
        <w:rPr>
          <w:rFonts w:ascii="Times New Roman" w:eastAsia="Times New Roman" w:hAnsi="Times New Roman" w:cs="Times New Roman"/>
          <w:color w:val="0F1115"/>
          <w:kern w:val="0"/>
          <w14:ligatures w14:val="none"/>
        </w:rPr>
        <w:t xml:space="preserve"> de </w:t>
      </w:r>
      <w:proofErr w:type="spellStart"/>
      <w:r w:rsidRPr="00D9139F">
        <w:rPr>
          <w:rFonts w:ascii="Times New Roman" w:eastAsia="Times New Roman" w:hAnsi="Times New Roman" w:cs="Times New Roman"/>
          <w:color w:val="0F1115"/>
          <w:kern w:val="0"/>
          <w14:ligatures w14:val="none"/>
        </w:rPr>
        <w:t>Thiès</w:t>
      </w:r>
      <w:proofErr w:type="spellEnd"/>
      <w:r w:rsidRPr="00D9139F">
        <w:rPr>
          <w:rFonts w:ascii="Times New Roman" w:eastAsia="Times New Roman" w:hAnsi="Times New Roman" w:cs="Times New Roman"/>
          <w:color w:val="0F1115"/>
          <w:kern w:val="0"/>
          <w14:ligatures w14:val="none"/>
        </w:rPr>
        <w:t xml:space="preserve"> (Sénégal). </w:t>
      </w:r>
      <w:r w:rsidRPr="00D9139F">
        <w:rPr>
          <w:rFonts w:ascii="Times New Roman" w:eastAsia="Times New Roman" w:hAnsi="Times New Roman" w:cs="Times New Roman"/>
          <w:i/>
          <w:iCs/>
          <w:color w:val="0F1115"/>
          <w:kern w:val="0"/>
          <w14:ligatures w14:val="none"/>
        </w:rPr>
        <w:t xml:space="preserve">Journal de la Société de </w:t>
      </w:r>
      <w:proofErr w:type="spellStart"/>
      <w:r w:rsidRPr="00D9139F">
        <w:rPr>
          <w:rFonts w:ascii="Times New Roman" w:eastAsia="Times New Roman" w:hAnsi="Times New Roman" w:cs="Times New Roman"/>
          <w:i/>
          <w:iCs/>
          <w:color w:val="0F1115"/>
          <w:kern w:val="0"/>
          <w14:ligatures w14:val="none"/>
        </w:rPr>
        <w:t>Gynécologie</w:t>
      </w:r>
      <w:proofErr w:type="spellEnd"/>
      <w:r w:rsidRPr="00D9139F">
        <w:rPr>
          <w:rFonts w:ascii="Times New Roman" w:eastAsia="Times New Roman" w:hAnsi="Times New Roman" w:cs="Times New Roman"/>
          <w:i/>
          <w:iCs/>
          <w:color w:val="0F1115"/>
          <w:kern w:val="0"/>
          <w14:ligatures w14:val="none"/>
        </w:rPr>
        <w:t xml:space="preserve"> et </w:t>
      </w:r>
      <w:proofErr w:type="spellStart"/>
      <w:r w:rsidRPr="00D9139F">
        <w:rPr>
          <w:rFonts w:ascii="Times New Roman" w:eastAsia="Times New Roman" w:hAnsi="Times New Roman" w:cs="Times New Roman"/>
          <w:i/>
          <w:iCs/>
          <w:color w:val="0F1115"/>
          <w:kern w:val="0"/>
          <w14:ligatures w14:val="none"/>
        </w:rPr>
        <w:t>d'Obstétrique</w:t>
      </w:r>
      <w:proofErr w:type="spellEnd"/>
      <w:r w:rsidRPr="00D9139F">
        <w:rPr>
          <w:rFonts w:ascii="Times New Roman" w:eastAsia="Times New Roman" w:hAnsi="Times New Roman" w:cs="Times New Roman"/>
          <w:i/>
          <w:iCs/>
          <w:color w:val="0F1115"/>
          <w:kern w:val="0"/>
          <w14:ligatures w14:val="none"/>
        </w:rPr>
        <w:t xml:space="preserve"> </w:t>
      </w:r>
      <w:proofErr w:type="spellStart"/>
      <w:r w:rsidRPr="00D9139F">
        <w:rPr>
          <w:rFonts w:ascii="Times New Roman" w:eastAsia="Times New Roman" w:hAnsi="Times New Roman" w:cs="Times New Roman"/>
          <w:i/>
          <w:iCs/>
          <w:color w:val="0F1115"/>
          <w:kern w:val="0"/>
          <w14:ligatures w14:val="none"/>
        </w:rPr>
        <w:t>d'Afrique</w:t>
      </w:r>
      <w:proofErr w:type="spellEnd"/>
      <w:r w:rsidRPr="00D9139F">
        <w:rPr>
          <w:rFonts w:ascii="Times New Roman" w:eastAsia="Times New Roman" w:hAnsi="Times New Roman" w:cs="Times New Roman"/>
          <w:color w:val="0F1115"/>
          <w:kern w:val="0"/>
          <w14:ligatures w14:val="none"/>
        </w:rPr>
        <w:t>, 5(1), 32–39.</w:t>
      </w:r>
    </w:p>
    <w:p w14:paraId="4778866C"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9139F">
        <w:rPr>
          <w:rFonts w:ascii="Times New Roman" w:eastAsia="Times New Roman" w:hAnsi="Times New Roman" w:cs="Times New Roman"/>
          <w:color w:val="0F1115"/>
          <w:kern w:val="0"/>
          <w14:ligatures w14:val="none"/>
        </w:rPr>
        <w:t>Hsairi</w:t>
      </w:r>
      <w:proofErr w:type="spellEnd"/>
      <w:r w:rsidRPr="00D9139F">
        <w:rPr>
          <w:rFonts w:ascii="Times New Roman" w:eastAsia="Times New Roman" w:hAnsi="Times New Roman" w:cs="Times New Roman"/>
          <w:color w:val="0F1115"/>
          <w:kern w:val="0"/>
          <w14:ligatures w14:val="none"/>
        </w:rPr>
        <w:t xml:space="preserve">, M. (2021). </w:t>
      </w:r>
      <w:proofErr w:type="spellStart"/>
      <w:r w:rsidRPr="00D9139F">
        <w:rPr>
          <w:rFonts w:ascii="Times New Roman" w:eastAsia="Times New Roman" w:hAnsi="Times New Roman" w:cs="Times New Roman"/>
          <w:color w:val="0F1115"/>
          <w:kern w:val="0"/>
          <w14:ligatures w14:val="none"/>
        </w:rPr>
        <w:t>Hémorragie</w:t>
      </w:r>
      <w:proofErr w:type="spellEnd"/>
      <w:r w:rsidRPr="00D9139F">
        <w:rPr>
          <w:rFonts w:ascii="Times New Roman" w:eastAsia="Times New Roman" w:hAnsi="Times New Roman" w:cs="Times New Roman"/>
          <w:color w:val="0F1115"/>
          <w:kern w:val="0"/>
          <w14:ligatures w14:val="none"/>
        </w:rPr>
        <w:t xml:space="preserve"> du post-partum dans les accouchements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w:t>
      </w:r>
      <w:r w:rsidRPr="00D9139F">
        <w:rPr>
          <w:rFonts w:ascii="Times New Roman" w:eastAsia="Times New Roman" w:hAnsi="Times New Roman" w:cs="Times New Roman"/>
          <w:i/>
          <w:iCs/>
          <w:color w:val="0F1115"/>
          <w:kern w:val="0"/>
          <w14:ligatures w14:val="none"/>
        </w:rPr>
        <w:t xml:space="preserve">La </w:t>
      </w:r>
      <w:proofErr w:type="spellStart"/>
      <w:r w:rsidRPr="00D9139F">
        <w:rPr>
          <w:rFonts w:ascii="Times New Roman" w:eastAsia="Times New Roman" w:hAnsi="Times New Roman" w:cs="Times New Roman"/>
          <w:i/>
          <w:iCs/>
          <w:color w:val="0F1115"/>
          <w:kern w:val="0"/>
          <w14:ligatures w14:val="none"/>
        </w:rPr>
        <w:t>Tunisie</w:t>
      </w:r>
      <w:proofErr w:type="spellEnd"/>
      <w:r w:rsidRPr="00D9139F">
        <w:rPr>
          <w:rFonts w:ascii="Times New Roman" w:eastAsia="Times New Roman" w:hAnsi="Times New Roman" w:cs="Times New Roman"/>
          <w:i/>
          <w:iCs/>
          <w:color w:val="0F1115"/>
          <w:kern w:val="0"/>
          <w14:ligatures w14:val="none"/>
        </w:rPr>
        <w:t xml:space="preserve"> </w:t>
      </w:r>
      <w:proofErr w:type="spellStart"/>
      <w:r w:rsidRPr="00D9139F">
        <w:rPr>
          <w:rFonts w:ascii="Times New Roman" w:eastAsia="Times New Roman" w:hAnsi="Times New Roman" w:cs="Times New Roman"/>
          <w:i/>
          <w:iCs/>
          <w:color w:val="0F1115"/>
          <w:kern w:val="0"/>
          <w14:ligatures w14:val="none"/>
        </w:rPr>
        <w:t>Médicale</w:t>
      </w:r>
      <w:proofErr w:type="spellEnd"/>
      <w:r w:rsidRPr="00D9139F">
        <w:rPr>
          <w:rFonts w:ascii="Times New Roman" w:eastAsia="Times New Roman" w:hAnsi="Times New Roman" w:cs="Times New Roman"/>
          <w:color w:val="0F1115"/>
          <w:kern w:val="0"/>
          <w14:ligatures w14:val="none"/>
        </w:rPr>
        <w:t>, 99(4), 401–407.</w:t>
      </w:r>
    </w:p>
    <w:p w14:paraId="75C9BF9D"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Ilunga, T. (2023). Mutation et </w:t>
      </w:r>
      <w:proofErr w:type="spellStart"/>
      <w:r w:rsidRPr="00D9139F">
        <w:rPr>
          <w:rFonts w:ascii="Times New Roman" w:eastAsia="Times New Roman" w:hAnsi="Times New Roman" w:cs="Times New Roman"/>
          <w:color w:val="0F1115"/>
          <w:kern w:val="0"/>
          <w14:ligatures w14:val="none"/>
        </w:rPr>
        <w:t>perte</w:t>
      </w:r>
      <w:proofErr w:type="spellEnd"/>
      <w:r w:rsidRPr="00D9139F">
        <w:rPr>
          <w:rFonts w:ascii="Times New Roman" w:eastAsia="Times New Roman" w:hAnsi="Times New Roman" w:cs="Times New Roman"/>
          <w:color w:val="0F1115"/>
          <w:kern w:val="0"/>
          <w14:ligatures w14:val="none"/>
        </w:rPr>
        <w:t xml:space="preserve"> de </w:t>
      </w:r>
      <w:proofErr w:type="spellStart"/>
      <w:r w:rsidRPr="00D9139F">
        <w:rPr>
          <w:rFonts w:ascii="Times New Roman" w:eastAsia="Times New Roman" w:hAnsi="Times New Roman" w:cs="Times New Roman"/>
          <w:color w:val="0F1115"/>
          <w:kern w:val="0"/>
          <w14:ligatures w14:val="none"/>
        </w:rPr>
        <w:t>compétences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obstétrique</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RDC. </w:t>
      </w:r>
      <w:r w:rsidRPr="00D9139F">
        <w:rPr>
          <w:rFonts w:ascii="Times New Roman" w:eastAsia="Times New Roman" w:hAnsi="Times New Roman" w:cs="Times New Roman"/>
          <w:i/>
          <w:iCs/>
          <w:color w:val="0F1115"/>
          <w:kern w:val="0"/>
          <w14:ligatures w14:val="none"/>
        </w:rPr>
        <w:t xml:space="preserve">Santé </w:t>
      </w:r>
      <w:proofErr w:type="spellStart"/>
      <w:r w:rsidRPr="00D9139F">
        <w:rPr>
          <w:rFonts w:ascii="Times New Roman" w:eastAsia="Times New Roman" w:hAnsi="Times New Roman" w:cs="Times New Roman"/>
          <w:i/>
          <w:iCs/>
          <w:color w:val="0F1115"/>
          <w:kern w:val="0"/>
          <w14:ligatures w14:val="none"/>
        </w:rPr>
        <w:t>Publique</w:t>
      </w:r>
      <w:proofErr w:type="spellEnd"/>
      <w:r w:rsidRPr="00D9139F">
        <w:rPr>
          <w:rFonts w:ascii="Times New Roman" w:eastAsia="Times New Roman" w:hAnsi="Times New Roman" w:cs="Times New Roman"/>
          <w:i/>
          <w:iCs/>
          <w:color w:val="0F1115"/>
          <w:kern w:val="0"/>
          <w14:ligatures w14:val="none"/>
        </w:rPr>
        <w:t xml:space="preserve"> RDC</w:t>
      </w:r>
      <w:r w:rsidRPr="00D9139F">
        <w:rPr>
          <w:rFonts w:ascii="Times New Roman" w:eastAsia="Times New Roman" w:hAnsi="Times New Roman" w:cs="Times New Roman"/>
          <w:color w:val="0F1115"/>
          <w:kern w:val="0"/>
          <w14:ligatures w14:val="none"/>
        </w:rPr>
        <w:t>, 6(1), 34–41.</w:t>
      </w:r>
    </w:p>
    <w:p w14:paraId="57C8D6D4"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lastRenderedPageBreak/>
        <w:t xml:space="preserve">Kalala, D. (2023). Jeunes </w:t>
      </w:r>
      <w:proofErr w:type="spellStart"/>
      <w:r w:rsidRPr="00D9139F">
        <w:rPr>
          <w:rFonts w:ascii="Times New Roman" w:eastAsia="Times New Roman" w:hAnsi="Times New Roman" w:cs="Times New Roman"/>
          <w:color w:val="0F1115"/>
          <w:kern w:val="0"/>
          <w14:ligatures w14:val="none"/>
        </w:rPr>
        <w:t>prestataires</w:t>
      </w:r>
      <w:proofErr w:type="spellEnd"/>
      <w:r w:rsidRPr="00D9139F">
        <w:rPr>
          <w:rFonts w:ascii="Times New Roman" w:eastAsia="Times New Roman" w:hAnsi="Times New Roman" w:cs="Times New Roman"/>
          <w:color w:val="0F1115"/>
          <w:kern w:val="0"/>
          <w14:ligatures w14:val="none"/>
        </w:rPr>
        <w:t xml:space="preserve"> à Lubumbashi: </w:t>
      </w:r>
      <w:proofErr w:type="spellStart"/>
      <w:r w:rsidRPr="00D9139F">
        <w:rPr>
          <w:rFonts w:ascii="Times New Roman" w:eastAsia="Times New Roman" w:hAnsi="Times New Roman" w:cs="Times New Roman"/>
          <w:color w:val="0F1115"/>
          <w:kern w:val="0"/>
          <w14:ligatures w14:val="none"/>
        </w:rPr>
        <w:t>Profil</w:t>
      </w:r>
      <w:proofErr w:type="spellEnd"/>
      <w:r w:rsidRPr="00D9139F">
        <w:rPr>
          <w:rFonts w:ascii="Times New Roman" w:eastAsia="Times New Roman" w:hAnsi="Times New Roman" w:cs="Times New Roman"/>
          <w:color w:val="0F1115"/>
          <w:kern w:val="0"/>
          <w14:ligatures w14:val="none"/>
        </w:rPr>
        <w:t xml:space="preserve"> et </w:t>
      </w:r>
      <w:proofErr w:type="spellStart"/>
      <w:r w:rsidRPr="00D9139F">
        <w:rPr>
          <w:rFonts w:ascii="Times New Roman" w:eastAsia="Times New Roman" w:hAnsi="Times New Roman" w:cs="Times New Roman"/>
          <w:color w:val="0F1115"/>
          <w:kern w:val="0"/>
          <w14:ligatures w14:val="none"/>
        </w:rPr>
        <w:t>compétences</w:t>
      </w:r>
      <w:proofErr w:type="spellEnd"/>
      <w:r w:rsidRPr="00D9139F">
        <w:rPr>
          <w:rFonts w:ascii="Times New Roman" w:eastAsia="Times New Roman" w:hAnsi="Times New Roman" w:cs="Times New Roman"/>
          <w:color w:val="0F1115"/>
          <w:kern w:val="0"/>
          <w14:ligatures w14:val="none"/>
        </w:rPr>
        <w:t>. </w:t>
      </w:r>
      <w:r w:rsidRPr="00D9139F">
        <w:rPr>
          <w:rFonts w:ascii="Times New Roman" w:eastAsia="Times New Roman" w:hAnsi="Times New Roman" w:cs="Times New Roman"/>
          <w:i/>
          <w:iCs/>
          <w:color w:val="0F1115"/>
          <w:kern w:val="0"/>
          <w14:ligatures w14:val="none"/>
        </w:rPr>
        <w:t xml:space="preserve">Journal Congolais de </w:t>
      </w:r>
      <w:proofErr w:type="spellStart"/>
      <w:r w:rsidRPr="00D9139F">
        <w:rPr>
          <w:rFonts w:ascii="Times New Roman" w:eastAsia="Times New Roman" w:hAnsi="Times New Roman" w:cs="Times New Roman"/>
          <w:i/>
          <w:iCs/>
          <w:color w:val="0F1115"/>
          <w:kern w:val="0"/>
          <w14:ligatures w14:val="none"/>
        </w:rPr>
        <w:t>Pédiatrie</w:t>
      </w:r>
      <w:proofErr w:type="spellEnd"/>
      <w:r w:rsidRPr="00D9139F">
        <w:rPr>
          <w:rFonts w:ascii="Times New Roman" w:eastAsia="Times New Roman" w:hAnsi="Times New Roman" w:cs="Times New Roman"/>
          <w:color w:val="0F1115"/>
          <w:kern w:val="0"/>
          <w14:ligatures w14:val="none"/>
        </w:rPr>
        <w:t>, 9(3), 78–85.</w:t>
      </w:r>
    </w:p>
    <w:p w14:paraId="4EE67954"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Kasongo, P. (2024). </w:t>
      </w:r>
      <w:proofErr w:type="spellStart"/>
      <w:r w:rsidRPr="00D9139F">
        <w:rPr>
          <w:rFonts w:ascii="Times New Roman" w:eastAsia="Times New Roman" w:hAnsi="Times New Roman" w:cs="Times New Roman"/>
          <w:color w:val="0F1115"/>
          <w:kern w:val="0"/>
          <w14:ligatures w14:val="none"/>
        </w:rPr>
        <w:t>Évaluation</w:t>
      </w:r>
      <w:proofErr w:type="spellEnd"/>
      <w:r w:rsidRPr="00D9139F">
        <w:rPr>
          <w:rFonts w:ascii="Times New Roman" w:eastAsia="Times New Roman" w:hAnsi="Times New Roman" w:cs="Times New Roman"/>
          <w:color w:val="0F1115"/>
          <w:kern w:val="0"/>
          <w14:ligatures w14:val="none"/>
        </w:rPr>
        <w:t xml:space="preserve"> des </w:t>
      </w:r>
      <w:proofErr w:type="spellStart"/>
      <w:r w:rsidRPr="00D9139F">
        <w:rPr>
          <w:rFonts w:ascii="Times New Roman" w:eastAsia="Times New Roman" w:hAnsi="Times New Roman" w:cs="Times New Roman"/>
          <w:color w:val="0F1115"/>
          <w:kern w:val="0"/>
          <w14:ligatures w14:val="none"/>
        </w:rPr>
        <w:t>connaissances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obstétricales</w:t>
      </w:r>
      <w:proofErr w:type="spellEnd"/>
      <w:r w:rsidRPr="00D9139F">
        <w:rPr>
          <w:rFonts w:ascii="Times New Roman" w:eastAsia="Times New Roman" w:hAnsi="Times New Roman" w:cs="Times New Roman"/>
          <w:color w:val="0F1115"/>
          <w:kern w:val="0"/>
          <w14:ligatures w14:val="none"/>
        </w:rPr>
        <w:t xml:space="preserve"> à </w:t>
      </w:r>
      <w:proofErr w:type="spellStart"/>
      <w:r w:rsidRPr="00D9139F">
        <w:rPr>
          <w:rFonts w:ascii="Times New Roman" w:eastAsia="Times New Roman" w:hAnsi="Times New Roman" w:cs="Times New Roman"/>
          <w:color w:val="0F1115"/>
          <w:kern w:val="0"/>
          <w14:ligatures w14:val="none"/>
        </w:rPr>
        <w:t>l'hôpital</w:t>
      </w:r>
      <w:proofErr w:type="spellEnd"/>
      <w:r w:rsidRPr="00D9139F">
        <w:rPr>
          <w:rFonts w:ascii="Times New Roman" w:eastAsia="Times New Roman" w:hAnsi="Times New Roman" w:cs="Times New Roman"/>
          <w:color w:val="0F1115"/>
          <w:kern w:val="0"/>
          <w14:ligatures w14:val="none"/>
        </w:rPr>
        <w:t xml:space="preserve"> Saint-Joseph de Kinshasa. </w:t>
      </w:r>
      <w:r w:rsidRPr="00D9139F">
        <w:rPr>
          <w:rFonts w:ascii="Times New Roman" w:eastAsia="Times New Roman" w:hAnsi="Times New Roman" w:cs="Times New Roman"/>
          <w:i/>
          <w:iCs/>
          <w:color w:val="0F1115"/>
          <w:kern w:val="0"/>
          <w14:ligatures w14:val="none"/>
        </w:rPr>
        <w:t xml:space="preserve">Annales </w:t>
      </w:r>
      <w:proofErr w:type="spellStart"/>
      <w:r w:rsidRPr="00D9139F">
        <w:rPr>
          <w:rFonts w:ascii="Times New Roman" w:eastAsia="Times New Roman" w:hAnsi="Times New Roman" w:cs="Times New Roman"/>
          <w:i/>
          <w:iCs/>
          <w:color w:val="0F1115"/>
          <w:kern w:val="0"/>
          <w14:ligatures w14:val="none"/>
        </w:rPr>
        <w:t>Africaines</w:t>
      </w:r>
      <w:proofErr w:type="spellEnd"/>
      <w:r w:rsidRPr="00D9139F">
        <w:rPr>
          <w:rFonts w:ascii="Times New Roman" w:eastAsia="Times New Roman" w:hAnsi="Times New Roman" w:cs="Times New Roman"/>
          <w:i/>
          <w:iCs/>
          <w:color w:val="0F1115"/>
          <w:kern w:val="0"/>
          <w14:ligatures w14:val="none"/>
        </w:rPr>
        <w:t xml:space="preserve"> de </w:t>
      </w:r>
      <w:proofErr w:type="spellStart"/>
      <w:r w:rsidRPr="00D9139F">
        <w:rPr>
          <w:rFonts w:ascii="Times New Roman" w:eastAsia="Times New Roman" w:hAnsi="Times New Roman" w:cs="Times New Roman"/>
          <w:i/>
          <w:iCs/>
          <w:color w:val="0F1115"/>
          <w:kern w:val="0"/>
          <w14:ligatures w14:val="none"/>
        </w:rPr>
        <w:t>Médecine</w:t>
      </w:r>
      <w:proofErr w:type="spellEnd"/>
      <w:r w:rsidRPr="00D9139F">
        <w:rPr>
          <w:rFonts w:ascii="Times New Roman" w:eastAsia="Times New Roman" w:hAnsi="Times New Roman" w:cs="Times New Roman"/>
          <w:color w:val="0F1115"/>
          <w:kern w:val="0"/>
          <w14:ligatures w14:val="none"/>
        </w:rPr>
        <w:t>, 17(2), 4567–4575.</w:t>
      </w:r>
    </w:p>
    <w:p w14:paraId="7AC95E15"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Kasongo, P., Mbuyi, F., &amp; Tshibuabua, G. (2021). </w:t>
      </w:r>
      <w:proofErr w:type="spellStart"/>
      <w:r w:rsidRPr="00D9139F">
        <w:rPr>
          <w:rFonts w:ascii="Times New Roman" w:eastAsia="Times New Roman" w:hAnsi="Times New Roman" w:cs="Times New Roman"/>
          <w:color w:val="0F1115"/>
          <w:kern w:val="0"/>
          <w14:ligatures w14:val="none"/>
        </w:rPr>
        <w:t>Connaissances</w:t>
      </w:r>
      <w:proofErr w:type="spellEnd"/>
      <w:r w:rsidRPr="00D9139F">
        <w:rPr>
          <w:rFonts w:ascii="Times New Roman" w:eastAsia="Times New Roman" w:hAnsi="Times New Roman" w:cs="Times New Roman"/>
          <w:color w:val="0F1115"/>
          <w:kern w:val="0"/>
          <w14:ligatures w14:val="none"/>
        </w:rPr>
        <w:t xml:space="preserve"> des sages-femmes sur les urgences </w:t>
      </w:r>
      <w:proofErr w:type="spellStart"/>
      <w:r w:rsidRPr="00D9139F">
        <w:rPr>
          <w:rFonts w:ascii="Times New Roman" w:eastAsia="Times New Roman" w:hAnsi="Times New Roman" w:cs="Times New Roman"/>
          <w:color w:val="0F1115"/>
          <w:kern w:val="0"/>
          <w14:ligatures w14:val="none"/>
        </w:rPr>
        <w:t>obstétricales</w:t>
      </w:r>
      <w:proofErr w:type="spellEnd"/>
      <w:r w:rsidRPr="00D9139F">
        <w:rPr>
          <w:rFonts w:ascii="Times New Roman" w:eastAsia="Times New Roman" w:hAnsi="Times New Roman" w:cs="Times New Roman"/>
          <w:color w:val="0F1115"/>
          <w:kern w:val="0"/>
          <w14:ligatures w14:val="none"/>
        </w:rPr>
        <w:t xml:space="preserve"> à Kinshasa. </w:t>
      </w:r>
      <w:r w:rsidRPr="00D9139F">
        <w:rPr>
          <w:rFonts w:ascii="Times New Roman" w:eastAsia="Times New Roman" w:hAnsi="Times New Roman" w:cs="Times New Roman"/>
          <w:i/>
          <w:iCs/>
          <w:color w:val="0F1115"/>
          <w:kern w:val="0"/>
          <w14:ligatures w14:val="none"/>
        </w:rPr>
        <w:t xml:space="preserve">Annales </w:t>
      </w:r>
      <w:proofErr w:type="spellStart"/>
      <w:r w:rsidRPr="00D9139F">
        <w:rPr>
          <w:rFonts w:ascii="Times New Roman" w:eastAsia="Times New Roman" w:hAnsi="Times New Roman" w:cs="Times New Roman"/>
          <w:i/>
          <w:iCs/>
          <w:color w:val="0F1115"/>
          <w:kern w:val="0"/>
          <w14:ligatures w14:val="none"/>
        </w:rPr>
        <w:t>Africaines</w:t>
      </w:r>
      <w:proofErr w:type="spellEnd"/>
      <w:r w:rsidRPr="00D9139F">
        <w:rPr>
          <w:rFonts w:ascii="Times New Roman" w:eastAsia="Times New Roman" w:hAnsi="Times New Roman" w:cs="Times New Roman"/>
          <w:i/>
          <w:iCs/>
          <w:color w:val="0F1115"/>
          <w:kern w:val="0"/>
          <w14:ligatures w14:val="none"/>
        </w:rPr>
        <w:t xml:space="preserve"> de </w:t>
      </w:r>
      <w:proofErr w:type="spellStart"/>
      <w:r w:rsidRPr="00D9139F">
        <w:rPr>
          <w:rFonts w:ascii="Times New Roman" w:eastAsia="Times New Roman" w:hAnsi="Times New Roman" w:cs="Times New Roman"/>
          <w:i/>
          <w:iCs/>
          <w:color w:val="0F1115"/>
          <w:kern w:val="0"/>
          <w14:ligatures w14:val="none"/>
        </w:rPr>
        <w:t>Médecine</w:t>
      </w:r>
      <w:proofErr w:type="spellEnd"/>
      <w:r w:rsidRPr="00D9139F">
        <w:rPr>
          <w:rFonts w:ascii="Times New Roman" w:eastAsia="Times New Roman" w:hAnsi="Times New Roman" w:cs="Times New Roman"/>
          <w:color w:val="0F1115"/>
          <w:kern w:val="0"/>
          <w14:ligatures w14:val="none"/>
        </w:rPr>
        <w:t>, 14(3), 3856–3865.</w:t>
      </w:r>
    </w:p>
    <w:p w14:paraId="1A2B5247"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Kiyindi, A. (2020). </w:t>
      </w:r>
      <w:proofErr w:type="spellStart"/>
      <w:r w:rsidRPr="00D9139F">
        <w:rPr>
          <w:rFonts w:ascii="Times New Roman" w:eastAsia="Times New Roman" w:hAnsi="Times New Roman" w:cs="Times New Roman"/>
          <w:color w:val="0F1115"/>
          <w:kern w:val="0"/>
          <w14:ligatures w14:val="none"/>
        </w:rPr>
        <w:t>Niveau</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d'étude</w:t>
      </w:r>
      <w:proofErr w:type="spellEnd"/>
      <w:r w:rsidRPr="00D9139F">
        <w:rPr>
          <w:rFonts w:ascii="Times New Roman" w:eastAsia="Times New Roman" w:hAnsi="Times New Roman" w:cs="Times New Roman"/>
          <w:color w:val="0F1115"/>
          <w:kern w:val="0"/>
          <w14:ligatures w14:val="none"/>
        </w:rPr>
        <w:t xml:space="preserve"> du personnel à </w:t>
      </w:r>
      <w:proofErr w:type="spellStart"/>
      <w:r w:rsidRPr="00D9139F">
        <w:rPr>
          <w:rFonts w:ascii="Times New Roman" w:eastAsia="Times New Roman" w:hAnsi="Times New Roman" w:cs="Times New Roman"/>
          <w:color w:val="0F1115"/>
          <w:kern w:val="0"/>
          <w14:ligatures w14:val="none"/>
        </w:rPr>
        <w:t>l'HGR</w:t>
      </w:r>
      <w:proofErr w:type="spellEnd"/>
      <w:r w:rsidRPr="00D9139F">
        <w:rPr>
          <w:rFonts w:ascii="Times New Roman" w:eastAsia="Times New Roman" w:hAnsi="Times New Roman" w:cs="Times New Roman"/>
          <w:color w:val="0F1115"/>
          <w:kern w:val="0"/>
          <w14:ligatures w14:val="none"/>
        </w:rPr>
        <w:t xml:space="preserve"> de la </w:t>
      </w:r>
      <w:proofErr w:type="spellStart"/>
      <w:r w:rsidRPr="00D9139F">
        <w:rPr>
          <w:rFonts w:ascii="Times New Roman" w:eastAsia="Times New Roman" w:hAnsi="Times New Roman" w:cs="Times New Roman"/>
          <w:color w:val="0F1115"/>
          <w:kern w:val="0"/>
          <w14:ligatures w14:val="none"/>
        </w:rPr>
        <w:t>Tshopo</w:t>
      </w:r>
      <w:proofErr w:type="spellEnd"/>
      <w:r w:rsidRPr="00D9139F">
        <w:rPr>
          <w:rFonts w:ascii="Times New Roman" w:eastAsia="Times New Roman" w:hAnsi="Times New Roman" w:cs="Times New Roman"/>
          <w:color w:val="0F1115"/>
          <w:kern w:val="0"/>
          <w14:ligatures w14:val="none"/>
        </w:rPr>
        <w:t>. </w:t>
      </w:r>
      <w:r w:rsidRPr="00D9139F">
        <w:rPr>
          <w:rFonts w:ascii="Times New Roman" w:eastAsia="Times New Roman" w:hAnsi="Times New Roman" w:cs="Times New Roman"/>
          <w:i/>
          <w:iCs/>
          <w:color w:val="0F1115"/>
          <w:kern w:val="0"/>
          <w14:ligatures w14:val="none"/>
        </w:rPr>
        <w:t xml:space="preserve">Revue </w:t>
      </w:r>
      <w:proofErr w:type="spellStart"/>
      <w:r w:rsidRPr="00D9139F">
        <w:rPr>
          <w:rFonts w:ascii="Times New Roman" w:eastAsia="Times New Roman" w:hAnsi="Times New Roman" w:cs="Times New Roman"/>
          <w:i/>
          <w:iCs/>
          <w:color w:val="0F1115"/>
          <w:kern w:val="0"/>
          <w14:ligatures w14:val="none"/>
        </w:rPr>
        <w:t>Médicale</w:t>
      </w:r>
      <w:proofErr w:type="spellEnd"/>
      <w:r w:rsidRPr="00D9139F">
        <w:rPr>
          <w:rFonts w:ascii="Times New Roman" w:eastAsia="Times New Roman" w:hAnsi="Times New Roman" w:cs="Times New Roman"/>
          <w:i/>
          <w:iCs/>
          <w:color w:val="0F1115"/>
          <w:kern w:val="0"/>
          <w14:ligatures w14:val="none"/>
        </w:rPr>
        <w:t xml:space="preserve"> de Kisangani</w:t>
      </w:r>
      <w:r w:rsidRPr="00D9139F">
        <w:rPr>
          <w:rFonts w:ascii="Times New Roman" w:eastAsia="Times New Roman" w:hAnsi="Times New Roman" w:cs="Times New Roman"/>
          <w:color w:val="0F1115"/>
          <w:kern w:val="0"/>
          <w14:ligatures w14:val="none"/>
        </w:rPr>
        <w:t>, 5(1), 12–19.</w:t>
      </w:r>
    </w:p>
    <w:p w14:paraId="0B00310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9139F">
        <w:rPr>
          <w:rFonts w:ascii="Times New Roman" w:eastAsia="Times New Roman" w:hAnsi="Times New Roman" w:cs="Times New Roman"/>
          <w:color w:val="0F1115"/>
          <w:kern w:val="0"/>
          <w14:ligatures w14:val="none"/>
        </w:rPr>
        <w:t>Kouamé</w:t>
      </w:r>
      <w:proofErr w:type="spellEnd"/>
      <w:r w:rsidRPr="00D9139F">
        <w:rPr>
          <w:rFonts w:ascii="Times New Roman" w:eastAsia="Times New Roman" w:hAnsi="Times New Roman" w:cs="Times New Roman"/>
          <w:color w:val="0F1115"/>
          <w:kern w:val="0"/>
          <w14:ligatures w14:val="none"/>
        </w:rPr>
        <w:t xml:space="preserve">, K., Kouakou, F., &amp; </w:t>
      </w:r>
      <w:proofErr w:type="spellStart"/>
      <w:r w:rsidRPr="00D9139F">
        <w:rPr>
          <w:rFonts w:ascii="Times New Roman" w:eastAsia="Times New Roman" w:hAnsi="Times New Roman" w:cs="Times New Roman"/>
          <w:color w:val="0F1115"/>
          <w:kern w:val="0"/>
          <w14:ligatures w14:val="none"/>
        </w:rPr>
        <w:t>Gbary</w:t>
      </w:r>
      <w:proofErr w:type="spellEnd"/>
      <w:r w:rsidRPr="00D9139F">
        <w:rPr>
          <w:rFonts w:ascii="Times New Roman" w:eastAsia="Times New Roman" w:hAnsi="Times New Roman" w:cs="Times New Roman"/>
          <w:color w:val="0F1115"/>
          <w:kern w:val="0"/>
          <w14:ligatures w14:val="none"/>
        </w:rPr>
        <w:t xml:space="preserve">, E. (2018). </w:t>
      </w:r>
      <w:proofErr w:type="spellStart"/>
      <w:r w:rsidRPr="00D9139F">
        <w:rPr>
          <w:rFonts w:ascii="Times New Roman" w:eastAsia="Times New Roman" w:hAnsi="Times New Roman" w:cs="Times New Roman"/>
          <w:color w:val="0F1115"/>
          <w:kern w:val="0"/>
          <w14:ligatures w14:val="none"/>
        </w:rPr>
        <w:t>Grossesses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xml:space="preserve"> au CHU de </w:t>
      </w:r>
      <w:proofErr w:type="spellStart"/>
      <w:r w:rsidRPr="00D9139F">
        <w:rPr>
          <w:rFonts w:ascii="Times New Roman" w:eastAsia="Times New Roman" w:hAnsi="Times New Roman" w:cs="Times New Roman"/>
          <w:color w:val="0F1115"/>
          <w:kern w:val="0"/>
          <w14:ligatures w14:val="none"/>
        </w:rPr>
        <w:t>Cocody</w:t>
      </w:r>
      <w:proofErr w:type="spellEnd"/>
      <w:r w:rsidRPr="00D9139F">
        <w:rPr>
          <w:rFonts w:ascii="Times New Roman" w:eastAsia="Times New Roman" w:hAnsi="Times New Roman" w:cs="Times New Roman"/>
          <w:color w:val="0F1115"/>
          <w:kern w:val="0"/>
          <w14:ligatures w14:val="none"/>
        </w:rPr>
        <w:t>, Abidjan. </w:t>
      </w:r>
      <w:r w:rsidRPr="00D9139F">
        <w:rPr>
          <w:rFonts w:ascii="Times New Roman" w:eastAsia="Times New Roman" w:hAnsi="Times New Roman" w:cs="Times New Roman"/>
          <w:i/>
          <w:iCs/>
          <w:color w:val="0F1115"/>
          <w:kern w:val="0"/>
          <w14:ligatures w14:val="none"/>
        </w:rPr>
        <w:t xml:space="preserve">Revue </w:t>
      </w:r>
      <w:proofErr w:type="spellStart"/>
      <w:r w:rsidRPr="00D9139F">
        <w:rPr>
          <w:rFonts w:ascii="Times New Roman" w:eastAsia="Times New Roman" w:hAnsi="Times New Roman" w:cs="Times New Roman"/>
          <w:i/>
          <w:iCs/>
          <w:color w:val="0F1115"/>
          <w:kern w:val="0"/>
          <w14:ligatures w14:val="none"/>
        </w:rPr>
        <w:t>Internationale</w:t>
      </w:r>
      <w:proofErr w:type="spellEnd"/>
      <w:r w:rsidRPr="00D9139F">
        <w:rPr>
          <w:rFonts w:ascii="Times New Roman" w:eastAsia="Times New Roman" w:hAnsi="Times New Roman" w:cs="Times New Roman"/>
          <w:i/>
          <w:iCs/>
          <w:color w:val="0F1115"/>
          <w:kern w:val="0"/>
          <w14:ligatures w14:val="none"/>
        </w:rPr>
        <w:t xml:space="preserve"> des Sciences </w:t>
      </w:r>
      <w:proofErr w:type="spellStart"/>
      <w:r w:rsidRPr="00D9139F">
        <w:rPr>
          <w:rFonts w:ascii="Times New Roman" w:eastAsia="Times New Roman" w:hAnsi="Times New Roman" w:cs="Times New Roman"/>
          <w:i/>
          <w:iCs/>
          <w:color w:val="0F1115"/>
          <w:kern w:val="0"/>
          <w14:ligatures w14:val="none"/>
        </w:rPr>
        <w:t>Médicales</w:t>
      </w:r>
      <w:proofErr w:type="spellEnd"/>
      <w:r w:rsidRPr="00D9139F">
        <w:rPr>
          <w:rFonts w:ascii="Times New Roman" w:eastAsia="Times New Roman" w:hAnsi="Times New Roman" w:cs="Times New Roman"/>
          <w:color w:val="0F1115"/>
          <w:kern w:val="0"/>
          <w14:ligatures w14:val="none"/>
        </w:rPr>
        <w:t>, 20(4), 210–216.</w:t>
      </w:r>
    </w:p>
    <w:p w14:paraId="2164CA95"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9139F">
        <w:rPr>
          <w:rFonts w:ascii="Times New Roman" w:eastAsia="Times New Roman" w:hAnsi="Times New Roman" w:cs="Times New Roman"/>
          <w:color w:val="0F1115"/>
          <w:kern w:val="0"/>
          <w14:ligatures w14:val="none"/>
        </w:rPr>
        <w:t>Likwela</w:t>
      </w:r>
      <w:proofErr w:type="spellEnd"/>
      <w:r w:rsidRPr="00D9139F">
        <w:rPr>
          <w:rFonts w:ascii="Times New Roman" w:eastAsia="Times New Roman" w:hAnsi="Times New Roman" w:cs="Times New Roman"/>
          <w:color w:val="0F1115"/>
          <w:kern w:val="0"/>
          <w14:ligatures w14:val="none"/>
        </w:rPr>
        <w:t xml:space="preserve">, B., </w:t>
      </w:r>
      <w:proofErr w:type="spellStart"/>
      <w:r w:rsidRPr="00D9139F">
        <w:rPr>
          <w:rFonts w:ascii="Times New Roman" w:eastAsia="Times New Roman" w:hAnsi="Times New Roman" w:cs="Times New Roman"/>
          <w:color w:val="0F1115"/>
          <w:kern w:val="0"/>
          <w14:ligatures w14:val="none"/>
        </w:rPr>
        <w:t>Mongita</w:t>
      </w:r>
      <w:proofErr w:type="spellEnd"/>
      <w:r w:rsidRPr="00D9139F">
        <w:rPr>
          <w:rFonts w:ascii="Times New Roman" w:eastAsia="Times New Roman" w:hAnsi="Times New Roman" w:cs="Times New Roman"/>
          <w:color w:val="0F1115"/>
          <w:kern w:val="0"/>
          <w14:ligatures w14:val="none"/>
        </w:rPr>
        <w:t xml:space="preserve">, J., &amp; </w:t>
      </w:r>
      <w:proofErr w:type="spellStart"/>
      <w:r w:rsidRPr="00D9139F">
        <w:rPr>
          <w:rFonts w:ascii="Times New Roman" w:eastAsia="Times New Roman" w:hAnsi="Times New Roman" w:cs="Times New Roman"/>
          <w:color w:val="0F1115"/>
          <w:kern w:val="0"/>
          <w14:ligatures w14:val="none"/>
        </w:rPr>
        <w:t>Bosoko</w:t>
      </w:r>
      <w:proofErr w:type="spellEnd"/>
      <w:r w:rsidRPr="00D9139F">
        <w:rPr>
          <w:rFonts w:ascii="Times New Roman" w:eastAsia="Times New Roman" w:hAnsi="Times New Roman" w:cs="Times New Roman"/>
          <w:color w:val="0F1115"/>
          <w:kern w:val="0"/>
          <w14:ligatures w14:val="none"/>
        </w:rPr>
        <w:t xml:space="preserve">, P. (2019). Accouchements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xml:space="preserve"> à </w:t>
      </w:r>
      <w:proofErr w:type="spellStart"/>
      <w:r w:rsidRPr="00D9139F">
        <w:rPr>
          <w:rFonts w:ascii="Times New Roman" w:eastAsia="Times New Roman" w:hAnsi="Times New Roman" w:cs="Times New Roman"/>
          <w:color w:val="0F1115"/>
          <w:kern w:val="0"/>
          <w14:ligatures w14:val="none"/>
        </w:rPr>
        <w:t>l'hôpital</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général</w:t>
      </w:r>
      <w:proofErr w:type="spellEnd"/>
      <w:r w:rsidRPr="00D9139F">
        <w:rPr>
          <w:rFonts w:ascii="Times New Roman" w:eastAsia="Times New Roman" w:hAnsi="Times New Roman" w:cs="Times New Roman"/>
          <w:color w:val="0F1115"/>
          <w:kern w:val="0"/>
          <w14:ligatures w14:val="none"/>
        </w:rPr>
        <w:t xml:space="preserve"> de </w:t>
      </w:r>
      <w:proofErr w:type="spellStart"/>
      <w:r w:rsidRPr="00D9139F">
        <w:rPr>
          <w:rFonts w:ascii="Times New Roman" w:eastAsia="Times New Roman" w:hAnsi="Times New Roman" w:cs="Times New Roman"/>
          <w:color w:val="0F1115"/>
          <w:kern w:val="0"/>
          <w14:ligatures w14:val="none"/>
        </w:rPr>
        <w:t>référence</w:t>
      </w:r>
      <w:proofErr w:type="spellEnd"/>
      <w:r w:rsidRPr="00D9139F">
        <w:rPr>
          <w:rFonts w:ascii="Times New Roman" w:eastAsia="Times New Roman" w:hAnsi="Times New Roman" w:cs="Times New Roman"/>
          <w:color w:val="0F1115"/>
          <w:kern w:val="0"/>
          <w14:ligatures w14:val="none"/>
        </w:rPr>
        <w:t xml:space="preserve"> de </w:t>
      </w:r>
      <w:proofErr w:type="spellStart"/>
      <w:r w:rsidRPr="00D9139F">
        <w:rPr>
          <w:rFonts w:ascii="Times New Roman" w:eastAsia="Times New Roman" w:hAnsi="Times New Roman" w:cs="Times New Roman"/>
          <w:color w:val="0F1115"/>
          <w:kern w:val="0"/>
          <w14:ligatures w14:val="none"/>
        </w:rPr>
        <w:t>Makiso</w:t>
      </w:r>
      <w:proofErr w:type="spellEnd"/>
      <w:r w:rsidRPr="00D9139F">
        <w:rPr>
          <w:rFonts w:ascii="Times New Roman" w:eastAsia="Times New Roman" w:hAnsi="Times New Roman" w:cs="Times New Roman"/>
          <w:color w:val="0F1115"/>
          <w:kern w:val="0"/>
          <w14:ligatures w14:val="none"/>
        </w:rPr>
        <w:t>, Kisangani. </w:t>
      </w:r>
      <w:r w:rsidRPr="00D9139F">
        <w:rPr>
          <w:rFonts w:ascii="Times New Roman" w:eastAsia="Times New Roman" w:hAnsi="Times New Roman" w:cs="Times New Roman"/>
          <w:i/>
          <w:iCs/>
          <w:color w:val="0F1115"/>
          <w:kern w:val="0"/>
          <w14:ligatures w14:val="none"/>
        </w:rPr>
        <w:t xml:space="preserve">Revue </w:t>
      </w:r>
      <w:proofErr w:type="spellStart"/>
      <w:r w:rsidRPr="00D9139F">
        <w:rPr>
          <w:rFonts w:ascii="Times New Roman" w:eastAsia="Times New Roman" w:hAnsi="Times New Roman" w:cs="Times New Roman"/>
          <w:i/>
          <w:iCs/>
          <w:color w:val="0F1115"/>
          <w:kern w:val="0"/>
          <w14:ligatures w14:val="none"/>
        </w:rPr>
        <w:t>Congolaise</w:t>
      </w:r>
      <w:proofErr w:type="spellEnd"/>
      <w:r w:rsidRPr="00D9139F">
        <w:rPr>
          <w:rFonts w:ascii="Times New Roman" w:eastAsia="Times New Roman" w:hAnsi="Times New Roman" w:cs="Times New Roman"/>
          <w:i/>
          <w:iCs/>
          <w:color w:val="0F1115"/>
          <w:kern w:val="0"/>
          <w14:ligatures w14:val="none"/>
        </w:rPr>
        <w:t xml:space="preserve"> de </w:t>
      </w:r>
      <w:proofErr w:type="spellStart"/>
      <w:r w:rsidRPr="00D9139F">
        <w:rPr>
          <w:rFonts w:ascii="Times New Roman" w:eastAsia="Times New Roman" w:hAnsi="Times New Roman" w:cs="Times New Roman"/>
          <w:i/>
          <w:iCs/>
          <w:color w:val="0F1115"/>
          <w:kern w:val="0"/>
          <w14:ligatures w14:val="none"/>
        </w:rPr>
        <w:t>Gynécologie</w:t>
      </w:r>
      <w:proofErr w:type="spellEnd"/>
      <w:r w:rsidRPr="00D9139F">
        <w:rPr>
          <w:rFonts w:ascii="Times New Roman" w:eastAsia="Times New Roman" w:hAnsi="Times New Roman" w:cs="Times New Roman"/>
          <w:i/>
          <w:iCs/>
          <w:color w:val="0F1115"/>
          <w:kern w:val="0"/>
          <w14:ligatures w14:val="none"/>
        </w:rPr>
        <w:t xml:space="preserve"> et </w:t>
      </w:r>
      <w:proofErr w:type="spellStart"/>
      <w:r w:rsidRPr="00D9139F">
        <w:rPr>
          <w:rFonts w:ascii="Times New Roman" w:eastAsia="Times New Roman" w:hAnsi="Times New Roman" w:cs="Times New Roman"/>
          <w:i/>
          <w:iCs/>
          <w:color w:val="0F1115"/>
          <w:kern w:val="0"/>
          <w14:ligatures w14:val="none"/>
        </w:rPr>
        <w:t>d'Obstétrique</w:t>
      </w:r>
      <w:proofErr w:type="spellEnd"/>
      <w:r w:rsidRPr="00D9139F">
        <w:rPr>
          <w:rFonts w:ascii="Times New Roman" w:eastAsia="Times New Roman" w:hAnsi="Times New Roman" w:cs="Times New Roman"/>
          <w:color w:val="0F1115"/>
          <w:kern w:val="0"/>
          <w14:ligatures w14:val="none"/>
        </w:rPr>
        <w:t>, 6(2), 45–52.</w:t>
      </w:r>
    </w:p>
    <w:p w14:paraId="32BC7A17"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Luboya, M. (2021). </w:t>
      </w:r>
      <w:proofErr w:type="spellStart"/>
      <w:r w:rsidRPr="00D9139F">
        <w:rPr>
          <w:rFonts w:ascii="Times New Roman" w:eastAsia="Times New Roman" w:hAnsi="Times New Roman" w:cs="Times New Roman"/>
          <w:color w:val="0F1115"/>
          <w:kern w:val="0"/>
          <w14:ligatures w14:val="none"/>
        </w:rPr>
        <w:t>Féminisation</w:t>
      </w:r>
      <w:proofErr w:type="spellEnd"/>
      <w:r w:rsidRPr="00D9139F">
        <w:rPr>
          <w:rFonts w:ascii="Times New Roman" w:eastAsia="Times New Roman" w:hAnsi="Times New Roman" w:cs="Times New Roman"/>
          <w:color w:val="0F1115"/>
          <w:kern w:val="0"/>
          <w14:ligatures w14:val="none"/>
        </w:rPr>
        <w:t xml:space="preserve"> des professions </w:t>
      </w:r>
      <w:proofErr w:type="spellStart"/>
      <w:r w:rsidRPr="00D9139F">
        <w:rPr>
          <w:rFonts w:ascii="Times New Roman" w:eastAsia="Times New Roman" w:hAnsi="Times New Roman" w:cs="Times New Roman"/>
          <w:color w:val="0F1115"/>
          <w:kern w:val="0"/>
          <w14:ligatures w14:val="none"/>
        </w:rPr>
        <w:t>obstétricales</w:t>
      </w:r>
      <w:proofErr w:type="spellEnd"/>
      <w:r w:rsidRPr="00D9139F">
        <w:rPr>
          <w:rFonts w:ascii="Times New Roman" w:eastAsia="Times New Roman" w:hAnsi="Times New Roman" w:cs="Times New Roman"/>
          <w:color w:val="0F1115"/>
          <w:kern w:val="0"/>
          <w14:ligatures w14:val="none"/>
        </w:rPr>
        <w:t xml:space="preserve"> à Kisangani. </w:t>
      </w:r>
      <w:r w:rsidRPr="00D9139F">
        <w:rPr>
          <w:rFonts w:ascii="Times New Roman" w:eastAsia="Times New Roman" w:hAnsi="Times New Roman" w:cs="Times New Roman"/>
          <w:i/>
          <w:iCs/>
          <w:color w:val="0F1115"/>
          <w:kern w:val="0"/>
          <w14:ligatures w14:val="none"/>
        </w:rPr>
        <w:t>Congo Santé</w:t>
      </w:r>
      <w:r w:rsidRPr="00D9139F">
        <w:rPr>
          <w:rFonts w:ascii="Times New Roman" w:eastAsia="Times New Roman" w:hAnsi="Times New Roman" w:cs="Times New Roman"/>
          <w:color w:val="0F1115"/>
          <w:kern w:val="0"/>
          <w14:ligatures w14:val="none"/>
        </w:rPr>
        <w:t>, 3(4), 88–94.</w:t>
      </w:r>
    </w:p>
    <w:p w14:paraId="03A49488"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Lumbala, P. (2024). Diagnostic </w:t>
      </w:r>
      <w:proofErr w:type="spellStart"/>
      <w:r w:rsidRPr="00D9139F">
        <w:rPr>
          <w:rFonts w:ascii="Times New Roman" w:eastAsia="Times New Roman" w:hAnsi="Times New Roman" w:cs="Times New Roman"/>
          <w:color w:val="0F1115"/>
          <w:kern w:val="0"/>
          <w14:ligatures w14:val="none"/>
        </w:rPr>
        <w:t>tardif</w:t>
      </w:r>
      <w:proofErr w:type="spellEnd"/>
      <w:r w:rsidRPr="00D9139F">
        <w:rPr>
          <w:rFonts w:ascii="Times New Roman" w:eastAsia="Times New Roman" w:hAnsi="Times New Roman" w:cs="Times New Roman"/>
          <w:color w:val="0F1115"/>
          <w:kern w:val="0"/>
          <w14:ligatures w14:val="none"/>
        </w:rPr>
        <w:t xml:space="preserve"> et </w:t>
      </w:r>
      <w:proofErr w:type="spellStart"/>
      <w:r w:rsidRPr="00D9139F">
        <w:rPr>
          <w:rFonts w:ascii="Times New Roman" w:eastAsia="Times New Roman" w:hAnsi="Times New Roman" w:cs="Times New Roman"/>
          <w:color w:val="0F1115"/>
          <w:kern w:val="0"/>
          <w14:ligatures w14:val="none"/>
        </w:rPr>
        <w:t>mortalité</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périnatale</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Afrique centrale. </w:t>
      </w:r>
      <w:proofErr w:type="spellStart"/>
      <w:r w:rsidRPr="00D9139F">
        <w:rPr>
          <w:rFonts w:ascii="Times New Roman" w:eastAsia="Times New Roman" w:hAnsi="Times New Roman" w:cs="Times New Roman"/>
          <w:i/>
          <w:iCs/>
          <w:color w:val="0F1115"/>
          <w:kern w:val="0"/>
          <w14:ligatures w14:val="none"/>
        </w:rPr>
        <w:t>Médecine</w:t>
      </w:r>
      <w:proofErr w:type="spellEnd"/>
      <w:r w:rsidRPr="00D9139F">
        <w:rPr>
          <w:rFonts w:ascii="Times New Roman" w:eastAsia="Times New Roman" w:hAnsi="Times New Roman" w:cs="Times New Roman"/>
          <w:i/>
          <w:iCs/>
          <w:color w:val="0F1115"/>
          <w:kern w:val="0"/>
          <w14:ligatures w14:val="none"/>
        </w:rPr>
        <w:t xml:space="preserve"> </w:t>
      </w:r>
      <w:proofErr w:type="spellStart"/>
      <w:r w:rsidRPr="00D9139F">
        <w:rPr>
          <w:rFonts w:ascii="Times New Roman" w:eastAsia="Times New Roman" w:hAnsi="Times New Roman" w:cs="Times New Roman"/>
          <w:i/>
          <w:iCs/>
          <w:color w:val="0F1115"/>
          <w:kern w:val="0"/>
          <w14:ligatures w14:val="none"/>
        </w:rPr>
        <w:t>d'Afrique</w:t>
      </w:r>
      <w:proofErr w:type="spellEnd"/>
      <w:r w:rsidRPr="00D9139F">
        <w:rPr>
          <w:rFonts w:ascii="Times New Roman" w:eastAsia="Times New Roman" w:hAnsi="Times New Roman" w:cs="Times New Roman"/>
          <w:i/>
          <w:iCs/>
          <w:color w:val="0F1115"/>
          <w:kern w:val="0"/>
          <w14:ligatures w14:val="none"/>
        </w:rPr>
        <w:t xml:space="preserve"> Noire</w:t>
      </w:r>
      <w:r w:rsidRPr="00D9139F">
        <w:rPr>
          <w:rFonts w:ascii="Times New Roman" w:eastAsia="Times New Roman" w:hAnsi="Times New Roman" w:cs="Times New Roman"/>
          <w:color w:val="0F1115"/>
          <w:kern w:val="0"/>
          <w14:ligatures w14:val="none"/>
        </w:rPr>
        <w:t>, 71(2), 87–95.</w:t>
      </w:r>
    </w:p>
    <w:p w14:paraId="5BE2E684"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Martin, J., Hamilton, B., &amp; Osterman, M. (2019). Births: Final data for 2018. </w:t>
      </w:r>
      <w:r w:rsidRPr="00D9139F">
        <w:rPr>
          <w:rFonts w:ascii="Times New Roman" w:eastAsia="Times New Roman" w:hAnsi="Times New Roman" w:cs="Times New Roman"/>
          <w:i/>
          <w:iCs/>
          <w:color w:val="0F1115"/>
          <w:kern w:val="0"/>
          <w14:ligatures w14:val="none"/>
        </w:rPr>
        <w:t>National Vital Statistics Reports</w:t>
      </w:r>
      <w:r w:rsidRPr="00D9139F">
        <w:rPr>
          <w:rFonts w:ascii="Times New Roman" w:eastAsia="Times New Roman" w:hAnsi="Times New Roman" w:cs="Times New Roman"/>
          <w:color w:val="0F1115"/>
          <w:kern w:val="0"/>
          <w14:ligatures w14:val="none"/>
        </w:rPr>
        <w:t>, 68(13), 1–47.</w:t>
      </w:r>
    </w:p>
    <w:p w14:paraId="2AB2503D"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Masangu, B. (2023). </w:t>
      </w:r>
      <w:proofErr w:type="spellStart"/>
      <w:r w:rsidRPr="00D9139F">
        <w:rPr>
          <w:rFonts w:ascii="Times New Roman" w:eastAsia="Times New Roman" w:hAnsi="Times New Roman" w:cs="Times New Roman"/>
          <w:color w:val="0F1115"/>
          <w:kern w:val="0"/>
          <w14:ligatures w14:val="none"/>
        </w:rPr>
        <w:t>Soutien</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émotionnel</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lors</w:t>
      </w:r>
      <w:proofErr w:type="spellEnd"/>
      <w:r w:rsidRPr="00D9139F">
        <w:rPr>
          <w:rFonts w:ascii="Times New Roman" w:eastAsia="Times New Roman" w:hAnsi="Times New Roman" w:cs="Times New Roman"/>
          <w:color w:val="0F1115"/>
          <w:kern w:val="0"/>
          <w14:ligatures w14:val="none"/>
        </w:rPr>
        <w:t xml:space="preserve"> des accouchements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xml:space="preserve"> à Kamina. </w:t>
      </w:r>
      <w:proofErr w:type="spellStart"/>
      <w:r w:rsidRPr="00D9139F">
        <w:rPr>
          <w:rFonts w:ascii="Times New Roman" w:eastAsia="Times New Roman" w:hAnsi="Times New Roman" w:cs="Times New Roman"/>
          <w:i/>
          <w:iCs/>
          <w:color w:val="0F1115"/>
          <w:kern w:val="0"/>
          <w14:ligatures w14:val="none"/>
        </w:rPr>
        <w:t>Psychologie</w:t>
      </w:r>
      <w:proofErr w:type="spellEnd"/>
      <w:r w:rsidRPr="00D9139F">
        <w:rPr>
          <w:rFonts w:ascii="Times New Roman" w:eastAsia="Times New Roman" w:hAnsi="Times New Roman" w:cs="Times New Roman"/>
          <w:i/>
          <w:iCs/>
          <w:color w:val="0F1115"/>
          <w:kern w:val="0"/>
          <w14:ligatures w14:val="none"/>
        </w:rPr>
        <w:t xml:space="preserve"> et Santé </w:t>
      </w:r>
      <w:proofErr w:type="spellStart"/>
      <w:r w:rsidRPr="00D9139F">
        <w:rPr>
          <w:rFonts w:ascii="Times New Roman" w:eastAsia="Times New Roman" w:hAnsi="Times New Roman" w:cs="Times New Roman"/>
          <w:i/>
          <w:iCs/>
          <w:color w:val="0F1115"/>
          <w:kern w:val="0"/>
          <w14:ligatures w14:val="none"/>
        </w:rPr>
        <w:t>en</w:t>
      </w:r>
      <w:proofErr w:type="spellEnd"/>
      <w:r w:rsidRPr="00D9139F">
        <w:rPr>
          <w:rFonts w:ascii="Times New Roman" w:eastAsia="Times New Roman" w:hAnsi="Times New Roman" w:cs="Times New Roman"/>
          <w:i/>
          <w:iCs/>
          <w:color w:val="0F1115"/>
          <w:kern w:val="0"/>
          <w14:ligatures w14:val="none"/>
        </w:rPr>
        <w:t xml:space="preserve"> RDC</w:t>
      </w:r>
      <w:r w:rsidRPr="00D9139F">
        <w:rPr>
          <w:rFonts w:ascii="Times New Roman" w:eastAsia="Times New Roman" w:hAnsi="Times New Roman" w:cs="Times New Roman"/>
          <w:color w:val="0F1115"/>
          <w:kern w:val="0"/>
          <w14:ligatures w14:val="none"/>
        </w:rPr>
        <w:t>, 2(1), 44–51.</w:t>
      </w:r>
    </w:p>
    <w:p w14:paraId="15BCF86C"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9139F">
        <w:rPr>
          <w:rFonts w:ascii="Times New Roman" w:eastAsia="Times New Roman" w:hAnsi="Times New Roman" w:cs="Times New Roman"/>
          <w:color w:val="0F1115"/>
          <w:kern w:val="0"/>
          <w14:ligatures w14:val="none"/>
        </w:rPr>
        <w:t>Mboumba</w:t>
      </w:r>
      <w:proofErr w:type="spellEnd"/>
      <w:r w:rsidRPr="00D9139F">
        <w:rPr>
          <w:rFonts w:ascii="Times New Roman" w:eastAsia="Times New Roman" w:hAnsi="Times New Roman" w:cs="Times New Roman"/>
          <w:color w:val="0F1115"/>
          <w:kern w:val="0"/>
          <w14:ligatures w14:val="none"/>
        </w:rPr>
        <w:t xml:space="preserve">, A. (2023). </w:t>
      </w:r>
      <w:proofErr w:type="spellStart"/>
      <w:r w:rsidRPr="00D9139F">
        <w:rPr>
          <w:rFonts w:ascii="Times New Roman" w:eastAsia="Times New Roman" w:hAnsi="Times New Roman" w:cs="Times New Roman"/>
          <w:color w:val="0F1115"/>
          <w:kern w:val="0"/>
          <w14:ligatures w14:val="none"/>
        </w:rPr>
        <w:t>Connaissances</w:t>
      </w:r>
      <w:proofErr w:type="spellEnd"/>
      <w:r w:rsidRPr="00D9139F">
        <w:rPr>
          <w:rFonts w:ascii="Times New Roman" w:eastAsia="Times New Roman" w:hAnsi="Times New Roman" w:cs="Times New Roman"/>
          <w:color w:val="0F1115"/>
          <w:kern w:val="0"/>
          <w14:ligatures w14:val="none"/>
        </w:rPr>
        <w:t xml:space="preserve"> des </w:t>
      </w:r>
      <w:proofErr w:type="spellStart"/>
      <w:r w:rsidRPr="00D9139F">
        <w:rPr>
          <w:rFonts w:ascii="Times New Roman" w:eastAsia="Times New Roman" w:hAnsi="Times New Roman" w:cs="Times New Roman"/>
          <w:color w:val="0F1115"/>
          <w:kern w:val="0"/>
          <w14:ligatures w14:val="none"/>
        </w:rPr>
        <w:t>prestataires</w:t>
      </w:r>
      <w:proofErr w:type="spellEnd"/>
      <w:r w:rsidRPr="00D9139F">
        <w:rPr>
          <w:rFonts w:ascii="Times New Roman" w:eastAsia="Times New Roman" w:hAnsi="Times New Roman" w:cs="Times New Roman"/>
          <w:color w:val="0F1115"/>
          <w:kern w:val="0"/>
          <w14:ligatures w14:val="none"/>
        </w:rPr>
        <w:t xml:space="preserve"> sur la </w:t>
      </w:r>
      <w:proofErr w:type="spellStart"/>
      <w:r w:rsidRPr="00D9139F">
        <w:rPr>
          <w:rFonts w:ascii="Times New Roman" w:eastAsia="Times New Roman" w:hAnsi="Times New Roman" w:cs="Times New Roman"/>
          <w:color w:val="0F1115"/>
          <w:kern w:val="0"/>
          <w14:ligatures w14:val="none"/>
        </w:rPr>
        <w:t>gémellité</w:t>
      </w:r>
      <w:proofErr w:type="spellEnd"/>
      <w:r w:rsidRPr="00D9139F">
        <w:rPr>
          <w:rFonts w:ascii="Times New Roman" w:eastAsia="Times New Roman" w:hAnsi="Times New Roman" w:cs="Times New Roman"/>
          <w:color w:val="0F1115"/>
          <w:kern w:val="0"/>
          <w14:ligatures w14:val="none"/>
        </w:rPr>
        <w:t xml:space="preserve"> à Yaoundé. </w:t>
      </w:r>
      <w:r w:rsidRPr="00D9139F">
        <w:rPr>
          <w:rFonts w:ascii="Times New Roman" w:eastAsia="Times New Roman" w:hAnsi="Times New Roman" w:cs="Times New Roman"/>
          <w:i/>
          <w:iCs/>
          <w:color w:val="0F1115"/>
          <w:kern w:val="0"/>
          <w14:ligatures w14:val="none"/>
        </w:rPr>
        <w:t>Health Sciences and Disease</w:t>
      </w:r>
      <w:r w:rsidRPr="00D9139F">
        <w:rPr>
          <w:rFonts w:ascii="Times New Roman" w:eastAsia="Times New Roman" w:hAnsi="Times New Roman" w:cs="Times New Roman"/>
          <w:color w:val="0F1115"/>
          <w:kern w:val="0"/>
          <w14:ligatures w14:val="none"/>
        </w:rPr>
        <w:t>, 24(1), 56–62.</w:t>
      </w:r>
    </w:p>
    <w:p w14:paraId="0D930CEC"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lastRenderedPageBreak/>
        <w:t xml:space="preserve">Mbuyi, F. (2021). </w:t>
      </w:r>
      <w:proofErr w:type="spellStart"/>
      <w:r w:rsidRPr="00D9139F">
        <w:rPr>
          <w:rFonts w:ascii="Times New Roman" w:eastAsia="Times New Roman" w:hAnsi="Times New Roman" w:cs="Times New Roman"/>
          <w:color w:val="0F1115"/>
          <w:kern w:val="0"/>
          <w14:ligatures w14:val="none"/>
        </w:rPr>
        <w:t>Ancienneté</w:t>
      </w:r>
      <w:proofErr w:type="spellEnd"/>
      <w:r w:rsidRPr="00D9139F">
        <w:rPr>
          <w:rFonts w:ascii="Times New Roman" w:eastAsia="Times New Roman" w:hAnsi="Times New Roman" w:cs="Times New Roman"/>
          <w:color w:val="0F1115"/>
          <w:kern w:val="0"/>
          <w14:ligatures w14:val="none"/>
        </w:rPr>
        <w:t xml:space="preserve"> et gestion des </w:t>
      </w:r>
      <w:proofErr w:type="spellStart"/>
      <w:r w:rsidRPr="00D9139F">
        <w:rPr>
          <w:rFonts w:ascii="Times New Roman" w:eastAsia="Times New Roman" w:hAnsi="Times New Roman" w:cs="Times New Roman"/>
          <w:color w:val="0F1115"/>
          <w:kern w:val="0"/>
          <w14:ligatures w14:val="none"/>
        </w:rPr>
        <w:t>dystocies</w:t>
      </w:r>
      <w:proofErr w:type="spellEnd"/>
      <w:r w:rsidRPr="00D9139F">
        <w:rPr>
          <w:rFonts w:ascii="Times New Roman" w:eastAsia="Times New Roman" w:hAnsi="Times New Roman" w:cs="Times New Roman"/>
          <w:color w:val="0F1115"/>
          <w:kern w:val="0"/>
          <w14:ligatures w14:val="none"/>
        </w:rPr>
        <w:t xml:space="preserve"> à Kinshasa. </w:t>
      </w:r>
      <w:r w:rsidRPr="00D9139F">
        <w:rPr>
          <w:rFonts w:ascii="Times New Roman" w:eastAsia="Times New Roman" w:hAnsi="Times New Roman" w:cs="Times New Roman"/>
          <w:i/>
          <w:iCs/>
          <w:color w:val="0F1115"/>
          <w:kern w:val="0"/>
          <w14:ligatures w14:val="none"/>
        </w:rPr>
        <w:t xml:space="preserve">Revue </w:t>
      </w:r>
      <w:proofErr w:type="spellStart"/>
      <w:r w:rsidRPr="00D9139F">
        <w:rPr>
          <w:rFonts w:ascii="Times New Roman" w:eastAsia="Times New Roman" w:hAnsi="Times New Roman" w:cs="Times New Roman"/>
          <w:i/>
          <w:iCs/>
          <w:color w:val="0F1115"/>
          <w:kern w:val="0"/>
          <w14:ligatures w14:val="none"/>
        </w:rPr>
        <w:t>Congolaise</w:t>
      </w:r>
      <w:proofErr w:type="spellEnd"/>
      <w:r w:rsidRPr="00D9139F">
        <w:rPr>
          <w:rFonts w:ascii="Times New Roman" w:eastAsia="Times New Roman" w:hAnsi="Times New Roman" w:cs="Times New Roman"/>
          <w:i/>
          <w:iCs/>
          <w:color w:val="0F1115"/>
          <w:kern w:val="0"/>
          <w14:ligatures w14:val="none"/>
        </w:rPr>
        <w:t xml:space="preserve"> de </w:t>
      </w:r>
      <w:proofErr w:type="spellStart"/>
      <w:r w:rsidRPr="00D9139F">
        <w:rPr>
          <w:rFonts w:ascii="Times New Roman" w:eastAsia="Times New Roman" w:hAnsi="Times New Roman" w:cs="Times New Roman"/>
          <w:i/>
          <w:iCs/>
          <w:color w:val="0F1115"/>
          <w:kern w:val="0"/>
          <w14:ligatures w14:val="none"/>
        </w:rPr>
        <w:t>Gynécologie</w:t>
      </w:r>
      <w:proofErr w:type="spellEnd"/>
      <w:r w:rsidRPr="00D9139F">
        <w:rPr>
          <w:rFonts w:ascii="Times New Roman" w:eastAsia="Times New Roman" w:hAnsi="Times New Roman" w:cs="Times New Roman"/>
          <w:color w:val="0F1115"/>
          <w:kern w:val="0"/>
          <w14:ligatures w14:val="none"/>
        </w:rPr>
        <w:t>, 12(2), 33–40.</w:t>
      </w:r>
    </w:p>
    <w:p w14:paraId="5D636A5D"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Ministère de la Santé </w:t>
      </w:r>
      <w:proofErr w:type="spellStart"/>
      <w:r w:rsidRPr="00D9139F">
        <w:rPr>
          <w:rFonts w:ascii="Times New Roman" w:eastAsia="Times New Roman" w:hAnsi="Times New Roman" w:cs="Times New Roman"/>
          <w:color w:val="0F1115"/>
          <w:kern w:val="0"/>
          <w14:ligatures w14:val="none"/>
        </w:rPr>
        <w:t>Publique</w:t>
      </w:r>
      <w:proofErr w:type="spellEnd"/>
      <w:r w:rsidRPr="00D9139F">
        <w:rPr>
          <w:rFonts w:ascii="Times New Roman" w:eastAsia="Times New Roman" w:hAnsi="Times New Roman" w:cs="Times New Roman"/>
          <w:color w:val="0F1115"/>
          <w:kern w:val="0"/>
          <w14:ligatures w14:val="none"/>
        </w:rPr>
        <w:t xml:space="preserve"> de la RDC. (2021). </w:t>
      </w:r>
      <w:r w:rsidRPr="00D9139F">
        <w:rPr>
          <w:rFonts w:ascii="Times New Roman" w:eastAsia="Times New Roman" w:hAnsi="Times New Roman" w:cs="Times New Roman"/>
          <w:i/>
          <w:iCs/>
          <w:color w:val="0F1115"/>
          <w:kern w:val="0"/>
          <w14:ligatures w14:val="none"/>
        </w:rPr>
        <w:t xml:space="preserve">Guide </w:t>
      </w:r>
      <w:proofErr w:type="spellStart"/>
      <w:r w:rsidRPr="00D9139F">
        <w:rPr>
          <w:rFonts w:ascii="Times New Roman" w:eastAsia="Times New Roman" w:hAnsi="Times New Roman" w:cs="Times New Roman"/>
          <w:i/>
          <w:iCs/>
          <w:color w:val="0F1115"/>
          <w:kern w:val="0"/>
          <w14:ligatures w14:val="none"/>
        </w:rPr>
        <w:t>d'éthique</w:t>
      </w:r>
      <w:proofErr w:type="spellEnd"/>
      <w:r w:rsidRPr="00D9139F">
        <w:rPr>
          <w:rFonts w:ascii="Times New Roman" w:eastAsia="Times New Roman" w:hAnsi="Times New Roman" w:cs="Times New Roman"/>
          <w:i/>
          <w:iCs/>
          <w:color w:val="0F1115"/>
          <w:kern w:val="0"/>
          <w14:ligatures w14:val="none"/>
        </w:rPr>
        <w:t xml:space="preserve"> de la recherche </w:t>
      </w:r>
      <w:proofErr w:type="spellStart"/>
      <w:r w:rsidRPr="00D9139F">
        <w:rPr>
          <w:rFonts w:ascii="Times New Roman" w:eastAsia="Times New Roman" w:hAnsi="Times New Roman" w:cs="Times New Roman"/>
          <w:i/>
          <w:iCs/>
          <w:color w:val="0F1115"/>
          <w:kern w:val="0"/>
          <w14:ligatures w14:val="none"/>
        </w:rPr>
        <w:t>en</w:t>
      </w:r>
      <w:proofErr w:type="spellEnd"/>
      <w:r w:rsidRPr="00D9139F">
        <w:rPr>
          <w:rFonts w:ascii="Times New Roman" w:eastAsia="Times New Roman" w:hAnsi="Times New Roman" w:cs="Times New Roman"/>
          <w:i/>
          <w:iCs/>
          <w:color w:val="0F1115"/>
          <w:kern w:val="0"/>
          <w14:ligatures w14:val="none"/>
        </w:rPr>
        <w:t xml:space="preserve"> santé </w:t>
      </w:r>
      <w:proofErr w:type="spellStart"/>
      <w:r w:rsidRPr="00D9139F">
        <w:rPr>
          <w:rFonts w:ascii="Times New Roman" w:eastAsia="Times New Roman" w:hAnsi="Times New Roman" w:cs="Times New Roman"/>
          <w:i/>
          <w:iCs/>
          <w:color w:val="0F1115"/>
          <w:kern w:val="0"/>
          <w14:ligatures w14:val="none"/>
        </w:rPr>
        <w:t>en</w:t>
      </w:r>
      <w:proofErr w:type="spellEnd"/>
      <w:r w:rsidRPr="00D9139F">
        <w:rPr>
          <w:rFonts w:ascii="Times New Roman" w:eastAsia="Times New Roman" w:hAnsi="Times New Roman" w:cs="Times New Roman"/>
          <w:i/>
          <w:iCs/>
          <w:color w:val="0F1115"/>
          <w:kern w:val="0"/>
          <w14:ligatures w14:val="none"/>
        </w:rPr>
        <w:t xml:space="preserve"> République Démocratique du Congo</w:t>
      </w:r>
      <w:r w:rsidRPr="00D9139F">
        <w:rPr>
          <w:rFonts w:ascii="Times New Roman" w:eastAsia="Times New Roman" w:hAnsi="Times New Roman" w:cs="Times New Roman"/>
          <w:color w:val="0F1115"/>
          <w:kern w:val="0"/>
          <w14:ligatures w14:val="none"/>
        </w:rPr>
        <w:t>. MSP RDC.</w:t>
      </w:r>
    </w:p>
    <w:p w14:paraId="49F44734"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9139F">
        <w:rPr>
          <w:rFonts w:ascii="Times New Roman" w:eastAsia="Times New Roman" w:hAnsi="Times New Roman" w:cs="Times New Roman"/>
          <w:color w:val="0F1115"/>
          <w:kern w:val="0"/>
          <w14:ligatures w14:val="none"/>
        </w:rPr>
        <w:t>Mokondo</w:t>
      </w:r>
      <w:proofErr w:type="spellEnd"/>
      <w:r w:rsidRPr="00D9139F">
        <w:rPr>
          <w:rFonts w:ascii="Times New Roman" w:eastAsia="Times New Roman" w:hAnsi="Times New Roman" w:cs="Times New Roman"/>
          <w:color w:val="0F1115"/>
          <w:kern w:val="0"/>
          <w14:ligatures w14:val="none"/>
        </w:rPr>
        <w:t xml:space="preserve">, G. (2023). </w:t>
      </w:r>
      <w:proofErr w:type="spellStart"/>
      <w:r w:rsidRPr="00D9139F">
        <w:rPr>
          <w:rFonts w:ascii="Times New Roman" w:eastAsia="Times New Roman" w:hAnsi="Times New Roman" w:cs="Times New Roman"/>
          <w:color w:val="0F1115"/>
          <w:kern w:val="0"/>
          <w14:ligatures w14:val="none"/>
        </w:rPr>
        <w:t>Recrutement</w:t>
      </w:r>
      <w:proofErr w:type="spellEnd"/>
      <w:r w:rsidRPr="00D9139F">
        <w:rPr>
          <w:rFonts w:ascii="Times New Roman" w:eastAsia="Times New Roman" w:hAnsi="Times New Roman" w:cs="Times New Roman"/>
          <w:color w:val="0F1115"/>
          <w:kern w:val="0"/>
          <w14:ligatures w14:val="none"/>
        </w:rPr>
        <w:t xml:space="preserve"> des </w:t>
      </w:r>
      <w:proofErr w:type="spellStart"/>
      <w:r w:rsidRPr="00D9139F">
        <w:rPr>
          <w:rFonts w:ascii="Times New Roman" w:eastAsia="Times New Roman" w:hAnsi="Times New Roman" w:cs="Times New Roman"/>
          <w:color w:val="0F1115"/>
          <w:kern w:val="0"/>
          <w14:ligatures w14:val="none"/>
        </w:rPr>
        <w:t>licenciés</w:t>
      </w:r>
      <w:proofErr w:type="spellEnd"/>
      <w:r w:rsidRPr="00D9139F">
        <w:rPr>
          <w:rFonts w:ascii="Times New Roman" w:eastAsia="Times New Roman" w:hAnsi="Times New Roman" w:cs="Times New Roman"/>
          <w:color w:val="0F1115"/>
          <w:kern w:val="0"/>
          <w14:ligatures w14:val="none"/>
        </w:rPr>
        <w:t xml:space="preserve"> à </w:t>
      </w:r>
      <w:proofErr w:type="spellStart"/>
      <w:r w:rsidRPr="00D9139F">
        <w:rPr>
          <w:rFonts w:ascii="Times New Roman" w:eastAsia="Times New Roman" w:hAnsi="Times New Roman" w:cs="Times New Roman"/>
          <w:color w:val="0F1115"/>
          <w:kern w:val="0"/>
          <w14:ligatures w14:val="none"/>
        </w:rPr>
        <w:t>l'HGR</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Wangata</w:t>
      </w:r>
      <w:proofErr w:type="spellEnd"/>
      <w:r w:rsidRPr="00D9139F">
        <w:rPr>
          <w:rFonts w:ascii="Times New Roman" w:eastAsia="Times New Roman" w:hAnsi="Times New Roman" w:cs="Times New Roman"/>
          <w:color w:val="0F1115"/>
          <w:kern w:val="0"/>
          <w14:ligatures w14:val="none"/>
        </w:rPr>
        <w:t>. </w:t>
      </w:r>
      <w:r w:rsidRPr="00D9139F">
        <w:rPr>
          <w:rFonts w:ascii="Times New Roman" w:eastAsia="Times New Roman" w:hAnsi="Times New Roman" w:cs="Times New Roman"/>
          <w:i/>
          <w:iCs/>
          <w:color w:val="0F1115"/>
          <w:kern w:val="0"/>
          <w14:ligatures w14:val="none"/>
        </w:rPr>
        <w:t xml:space="preserve">Études </w:t>
      </w:r>
      <w:proofErr w:type="spellStart"/>
      <w:r w:rsidRPr="00D9139F">
        <w:rPr>
          <w:rFonts w:ascii="Times New Roman" w:eastAsia="Times New Roman" w:hAnsi="Times New Roman" w:cs="Times New Roman"/>
          <w:i/>
          <w:iCs/>
          <w:color w:val="0F1115"/>
          <w:kern w:val="0"/>
          <w14:ligatures w14:val="none"/>
        </w:rPr>
        <w:t>équatoriales</w:t>
      </w:r>
      <w:proofErr w:type="spellEnd"/>
      <w:r w:rsidRPr="00D9139F">
        <w:rPr>
          <w:rFonts w:ascii="Times New Roman" w:eastAsia="Times New Roman" w:hAnsi="Times New Roman" w:cs="Times New Roman"/>
          <w:color w:val="0F1115"/>
          <w:kern w:val="0"/>
          <w14:ligatures w14:val="none"/>
        </w:rPr>
        <w:t>, 6(2), 66–73.</w:t>
      </w:r>
    </w:p>
    <w:p w14:paraId="3B5C726D"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Mukendi, J., Kalenga, C., &amp; Ngoy, B. (2022). </w:t>
      </w:r>
      <w:proofErr w:type="spellStart"/>
      <w:r w:rsidRPr="00D9139F">
        <w:rPr>
          <w:rFonts w:ascii="Times New Roman" w:eastAsia="Times New Roman" w:hAnsi="Times New Roman" w:cs="Times New Roman"/>
          <w:color w:val="0F1115"/>
          <w:kern w:val="0"/>
          <w14:ligatures w14:val="none"/>
        </w:rPr>
        <w:t>Niveau</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d'étude</w:t>
      </w:r>
      <w:proofErr w:type="spellEnd"/>
      <w:r w:rsidRPr="00D9139F">
        <w:rPr>
          <w:rFonts w:ascii="Times New Roman" w:eastAsia="Times New Roman" w:hAnsi="Times New Roman" w:cs="Times New Roman"/>
          <w:color w:val="0F1115"/>
          <w:kern w:val="0"/>
          <w14:ligatures w14:val="none"/>
        </w:rPr>
        <w:t xml:space="preserve"> et </w:t>
      </w:r>
      <w:proofErr w:type="spellStart"/>
      <w:r w:rsidRPr="00D9139F">
        <w:rPr>
          <w:rFonts w:ascii="Times New Roman" w:eastAsia="Times New Roman" w:hAnsi="Times New Roman" w:cs="Times New Roman"/>
          <w:color w:val="0F1115"/>
          <w:kern w:val="0"/>
          <w14:ligatures w14:val="none"/>
        </w:rPr>
        <w:t>compétences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obstétricales</w:t>
      </w:r>
      <w:proofErr w:type="spellEnd"/>
      <w:r w:rsidRPr="00D9139F">
        <w:rPr>
          <w:rFonts w:ascii="Times New Roman" w:eastAsia="Times New Roman" w:hAnsi="Times New Roman" w:cs="Times New Roman"/>
          <w:color w:val="0F1115"/>
          <w:kern w:val="0"/>
          <w14:ligatures w14:val="none"/>
        </w:rPr>
        <w:t xml:space="preserve"> des </w:t>
      </w:r>
      <w:proofErr w:type="spellStart"/>
      <w:r w:rsidRPr="00D9139F">
        <w:rPr>
          <w:rFonts w:ascii="Times New Roman" w:eastAsia="Times New Roman" w:hAnsi="Times New Roman" w:cs="Times New Roman"/>
          <w:color w:val="0F1115"/>
          <w:kern w:val="0"/>
          <w14:ligatures w14:val="none"/>
        </w:rPr>
        <w:t>prestataires</w:t>
      </w:r>
      <w:proofErr w:type="spellEnd"/>
      <w:r w:rsidRPr="00D9139F">
        <w:rPr>
          <w:rFonts w:ascii="Times New Roman" w:eastAsia="Times New Roman" w:hAnsi="Times New Roman" w:cs="Times New Roman"/>
          <w:color w:val="0F1115"/>
          <w:kern w:val="0"/>
          <w14:ligatures w14:val="none"/>
        </w:rPr>
        <w:t xml:space="preserve"> à Lubumbashi. </w:t>
      </w:r>
      <w:r w:rsidRPr="00D9139F">
        <w:rPr>
          <w:rFonts w:ascii="Times New Roman" w:eastAsia="Times New Roman" w:hAnsi="Times New Roman" w:cs="Times New Roman"/>
          <w:i/>
          <w:iCs/>
          <w:color w:val="0F1115"/>
          <w:kern w:val="0"/>
          <w14:ligatures w14:val="none"/>
        </w:rPr>
        <w:t xml:space="preserve">Journal Congolais de </w:t>
      </w:r>
      <w:proofErr w:type="spellStart"/>
      <w:r w:rsidRPr="00D9139F">
        <w:rPr>
          <w:rFonts w:ascii="Times New Roman" w:eastAsia="Times New Roman" w:hAnsi="Times New Roman" w:cs="Times New Roman"/>
          <w:i/>
          <w:iCs/>
          <w:color w:val="0F1115"/>
          <w:kern w:val="0"/>
          <w14:ligatures w14:val="none"/>
        </w:rPr>
        <w:t>Pédiatrie</w:t>
      </w:r>
      <w:proofErr w:type="spellEnd"/>
      <w:r w:rsidRPr="00D9139F">
        <w:rPr>
          <w:rFonts w:ascii="Times New Roman" w:eastAsia="Times New Roman" w:hAnsi="Times New Roman" w:cs="Times New Roman"/>
          <w:color w:val="0F1115"/>
          <w:kern w:val="0"/>
          <w14:ligatures w14:val="none"/>
        </w:rPr>
        <w:t>, 8(2), 78–86.</w:t>
      </w:r>
    </w:p>
    <w:p w14:paraId="649EA5F3"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9139F">
        <w:rPr>
          <w:rFonts w:ascii="Times New Roman" w:eastAsia="Times New Roman" w:hAnsi="Times New Roman" w:cs="Times New Roman"/>
          <w:color w:val="0F1115"/>
          <w:kern w:val="0"/>
          <w14:ligatures w14:val="none"/>
        </w:rPr>
        <w:t>Ndoumba</w:t>
      </w:r>
      <w:proofErr w:type="spellEnd"/>
      <w:r w:rsidRPr="00D9139F">
        <w:rPr>
          <w:rFonts w:ascii="Times New Roman" w:eastAsia="Times New Roman" w:hAnsi="Times New Roman" w:cs="Times New Roman"/>
          <w:color w:val="0F1115"/>
          <w:kern w:val="0"/>
          <w14:ligatures w14:val="none"/>
        </w:rPr>
        <w:t xml:space="preserve">, A., Tchakounte, J., &amp; Mbarga, C. (2021). Issues des </w:t>
      </w:r>
      <w:proofErr w:type="spellStart"/>
      <w:r w:rsidRPr="00D9139F">
        <w:rPr>
          <w:rFonts w:ascii="Times New Roman" w:eastAsia="Times New Roman" w:hAnsi="Times New Roman" w:cs="Times New Roman"/>
          <w:color w:val="0F1115"/>
          <w:kern w:val="0"/>
          <w14:ligatures w14:val="none"/>
        </w:rPr>
        <w:t>grossesses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xml:space="preserve"> à </w:t>
      </w:r>
      <w:proofErr w:type="spellStart"/>
      <w:r w:rsidRPr="00D9139F">
        <w:rPr>
          <w:rFonts w:ascii="Times New Roman" w:eastAsia="Times New Roman" w:hAnsi="Times New Roman" w:cs="Times New Roman"/>
          <w:color w:val="0F1115"/>
          <w:kern w:val="0"/>
          <w14:ligatures w14:val="none"/>
        </w:rPr>
        <w:t>l'hôpital</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gynéco-obstétrique</w:t>
      </w:r>
      <w:proofErr w:type="spellEnd"/>
      <w:r w:rsidRPr="00D9139F">
        <w:rPr>
          <w:rFonts w:ascii="Times New Roman" w:eastAsia="Times New Roman" w:hAnsi="Times New Roman" w:cs="Times New Roman"/>
          <w:color w:val="0F1115"/>
          <w:kern w:val="0"/>
          <w14:ligatures w14:val="none"/>
        </w:rPr>
        <w:t xml:space="preserve"> de Yaoundé. </w:t>
      </w:r>
      <w:r w:rsidRPr="00D9139F">
        <w:rPr>
          <w:rFonts w:ascii="Times New Roman" w:eastAsia="Times New Roman" w:hAnsi="Times New Roman" w:cs="Times New Roman"/>
          <w:i/>
          <w:iCs/>
          <w:color w:val="0F1115"/>
          <w:kern w:val="0"/>
          <w14:ligatures w14:val="none"/>
        </w:rPr>
        <w:t>Health Sciences and Disease</w:t>
      </w:r>
      <w:r w:rsidRPr="00D9139F">
        <w:rPr>
          <w:rFonts w:ascii="Times New Roman" w:eastAsia="Times New Roman" w:hAnsi="Times New Roman" w:cs="Times New Roman"/>
          <w:color w:val="0F1115"/>
          <w:kern w:val="0"/>
          <w14:ligatures w14:val="none"/>
        </w:rPr>
        <w:t>, 22(1), 45–51.</w:t>
      </w:r>
    </w:p>
    <w:p w14:paraId="355139C3"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Ngoma, F. (2022). Pratiques </w:t>
      </w:r>
      <w:proofErr w:type="spellStart"/>
      <w:r w:rsidRPr="00D9139F">
        <w:rPr>
          <w:rFonts w:ascii="Times New Roman" w:eastAsia="Times New Roman" w:hAnsi="Times New Roman" w:cs="Times New Roman"/>
          <w:color w:val="0F1115"/>
          <w:kern w:val="0"/>
          <w14:ligatures w14:val="none"/>
        </w:rPr>
        <w:t>prénatales</w:t>
      </w:r>
      <w:proofErr w:type="spellEnd"/>
      <w:r w:rsidRPr="00D9139F">
        <w:rPr>
          <w:rFonts w:ascii="Times New Roman" w:eastAsia="Times New Roman" w:hAnsi="Times New Roman" w:cs="Times New Roman"/>
          <w:color w:val="0F1115"/>
          <w:kern w:val="0"/>
          <w14:ligatures w14:val="none"/>
        </w:rPr>
        <w:t xml:space="preserve"> à Matadi. </w:t>
      </w:r>
      <w:r w:rsidRPr="00D9139F">
        <w:rPr>
          <w:rFonts w:ascii="Times New Roman" w:eastAsia="Times New Roman" w:hAnsi="Times New Roman" w:cs="Times New Roman"/>
          <w:i/>
          <w:iCs/>
          <w:color w:val="0F1115"/>
          <w:kern w:val="0"/>
          <w14:ligatures w14:val="none"/>
        </w:rPr>
        <w:t xml:space="preserve">Revue de </w:t>
      </w:r>
      <w:proofErr w:type="spellStart"/>
      <w:r w:rsidRPr="00D9139F">
        <w:rPr>
          <w:rFonts w:ascii="Times New Roman" w:eastAsia="Times New Roman" w:hAnsi="Times New Roman" w:cs="Times New Roman"/>
          <w:i/>
          <w:iCs/>
          <w:color w:val="0F1115"/>
          <w:kern w:val="0"/>
          <w14:ligatures w14:val="none"/>
        </w:rPr>
        <w:t>l'Ouest</w:t>
      </w:r>
      <w:proofErr w:type="spellEnd"/>
      <w:r w:rsidRPr="00D9139F">
        <w:rPr>
          <w:rFonts w:ascii="Times New Roman" w:eastAsia="Times New Roman" w:hAnsi="Times New Roman" w:cs="Times New Roman"/>
          <w:i/>
          <w:iCs/>
          <w:color w:val="0F1115"/>
          <w:kern w:val="0"/>
          <w14:ligatures w14:val="none"/>
        </w:rPr>
        <w:t xml:space="preserve"> Congolais</w:t>
      </w:r>
      <w:r w:rsidRPr="00D9139F">
        <w:rPr>
          <w:rFonts w:ascii="Times New Roman" w:eastAsia="Times New Roman" w:hAnsi="Times New Roman" w:cs="Times New Roman"/>
          <w:color w:val="0F1115"/>
          <w:kern w:val="0"/>
          <w14:ligatures w14:val="none"/>
        </w:rPr>
        <w:t>, 4(2), 29–36.</w:t>
      </w:r>
    </w:p>
    <w:p w14:paraId="0821C98E"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Ouedraogo, R. (2020). Perceptions </w:t>
      </w:r>
      <w:proofErr w:type="spellStart"/>
      <w:r w:rsidRPr="00D9139F">
        <w:rPr>
          <w:rFonts w:ascii="Times New Roman" w:eastAsia="Times New Roman" w:hAnsi="Times New Roman" w:cs="Times New Roman"/>
          <w:color w:val="0F1115"/>
          <w:kern w:val="0"/>
          <w14:ligatures w14:val="none"/>
        </w:rPr>
        <w:t>culturelles</w:t>
      </w:r>
      <w:proofErr w:type="spellEnd"/>
      <w:r w:rsidRPr="00D9139F">
        <w:rPr>
          <w:rFonts w:ascii="Times New Roman" w:eastAsia="Times New Roman" w:hAnsi="Times New Roman" w:cs="Times New Roman"/>
          <w:color w:val="0F1115"/>
          <w:kern w:val="0"/>
          <w14:ligatures w14:val="none"/>
        </w:rPr>
        <w:t xml:space="preserve"> et </w:t>
      </w:r>
      <w:proofErr w:type="spellStart"/>
      <w:r w:rsidRPr="00D9139F">
        <w:rPr>
          <w:rFonts w:ascii="Times New Roman" w:eastAsia="Times New Roman" w:hAnsi="Times New Roman" w:cs="Times New Roman"/>
          <w:color w:val="0F1115"/>
          <w:kern w:val="0"/>
          <w14:ligatures w14:val="none"/>
        </w:rPr>
        <w:t>prises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charge des naissances </w:t>
      </w:r>
      <w:proofErr w:type="spellStart"/>
      <w:r w:rsidRPr="00D9139F">
        <w:rPr>
          <w:rFonts w:ascii="Times New Roman" w:eastAsia="Times New Roman" w:hAnsi="Times New Roman" w:cs="Times New Roman"/>
          <w:color w:val="0F1115"/>
          <w:kern w:val="0"/>
          <w14:ligatures w14:val="none"/>
        </w:rPr>
        <w:t>gémellaires</w:t>
      </w:r>
      <w:proofErr w:type="spellEnd"/>
      <w:r w:rsidRPr="00D9139F">
        <w:rPr>
          <w:rFonts w:ascii="Times New Roman" w:eastAsia="Times New Roman" w:hAnsi="Times New Roman" w:cs="Times New Roman"/>
          <w:color w:val="0F1115"/>
          <w:kern w:val="0"/>
          <w14:ligatures w14:val="none"/>
        </w:rPr>
        <w:t xml:space="preserve"> au Burkina Faso. </w:t>
      </w:r>
      <w:r w:rsidRPr="00D9139F">
        <w:rPr>
          <w:rFonts w:ascii="Times New Roman" w:eastAsia="Times New Roman" w:hAnsi="Times New Roman" w:cs="Times New Roman"/>
          <w:i/>
          <w:iCs/>
          <w:color w:val="0F1115"/>
          <w:kern w:val="0"/>
          <w14:ligatures w14:val="none"/>
        </w:rPr>
        <w:t>Anthropologie et Santé</w:t>
      </w:r>
      <w:r w:rsidRPr="00D9139F">
        <w:rPr>
          <w:rFonts w:ascii="Times New Roman" w:eastAsia="Times New Roman" w:hAnsi="Times New Roman" w:cs="Times New Roman"/>
          <w:color w:val="0F1115"/>
          <w:kern w:val="0"/>
          <w14:ligatures w14:val="none"/>
        </w:rPr>
        <w:t>, 21(2), 1–15.</w:t>
      </w:r>
    </w:p>
    <w:p w14:paraId="133E0CA7"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Pison, G., Masquelier, B., &amp; Kante, A. (2021). </w:t>
      </w:r>
      <w:proofErr w:type="spellStart"/>
      <w:r w:rsidRPr="00D9139F">
        <w:rPr>
          <w:rFonts w:ascii="Times New Roman" w:eastAsia="Times New Roman" w:hAnsi="Times New Roman" w:cs="Times New Roman"/>
          <w:color w:val="0F1115"/>
          <w:kern w:val="0"/>
          <w14:ligatures w14:val="none"/>
        </w:rPr>
        <w:t>L'évolution</w:t>
      </w:r>
      <w:proofErr w:type="spellEnd"/>
      <w:r w:rsidRPr="00D9139F">
        <w:rPr>
          <w:rFonts w:ascii="Times New Roman" w:eastAsia="Times New Roman" w:hAnsi="Times New Roman" w:cs="Times New Roman"/>
          <w:color w:val="0F1115"/>
          <w:kern w:val="0"/>
          <w14:ligatures w14:val="none"/>
        </w:rPr>
        <w:t xml:space="preserve"> de la </w:t>
      </w:r>
      <w:proofErr w:type="spellStart"/>
      <w:r w:rsidRPr="00D9139F">
        <w:rPr>
          <w:rFonts w:ascii="Times New Roman" w:eastAsia="Times New Roman" w:hAnsi="Times New Roman" w:cs="Times New Roman"/>
          <w:color w:val="0F1115"/>
          <w:kern w:val="0"/>
          <w14:ligatures w14:val="none"/>
        </w:rPr>
        <w:t>jumeléité</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Afrique </w:t>
      </w:r>
      <w:proofErr w:type="spellStart"/>
      <w:r w:rsidRPr="00D9139F">
        <w:rPr>
          <w:rFonts w:ascii="Times New Roman" w:eastAsia="Times New Roman" w:hAnsi="Times New Roman" w:cs="Times New Roman"/>
          <w:color w:val="0F1115"/>
          <w:kern w:val="0"/>
          <w14:ligatures w14:val="none"/>
        </w:rPr>
        <w:t>subsaharienne</w:t>
      </w:r>
      <w:proofErr w:type="spellEnd"/>
      <w:r w:rsidRPr="00D9139F">
        <w:rPr>
          <w:rFonts w:ascii="Times New Roman" w:eastAsia="Times New Roman" w:hAnsi="Times New Roman" w:cs="Times New Roman"/>
          <w:color w:val="0F1115"/>
          <w:kern w:val="0"/>
          <w14:ligatures w14:val="none"/>
        </w:rPr>
        <w:t>. </w:t>
      </w:r>
      <w:r w:rsidRPr="00D9139F">
        <w:rPr>
          <w:rFonts w:ascii="Times New Roman" w:eastAsia="Times New Roman" w:hAnsi="Times New Roman" w:cs="Times New Roman"/>
          <w:i/>
          <w:iCs/>
          <w:color w:val="0F1115"/>
          <w:kern w:val="0"/>
          <w14:ligatures w14:val="none"/>
        </w:rPr>
        <w:t>Population</w:t>
      </w:r>
      <w:r w:rsidRPr="00D9139F">
        <w:rPr>
          <w:rFonts w:ascii="Times New Roman" w:eastAsia="Times New Roman" w:hAnsi="Times New Roman" w:cs="Times New Roman"/>
          <w:color w:val="0F1115"/>
          <w:kern w:val="0"/>
          <w14:ligatures w14:val="none"/>
        </w:rPr>
        <w:t>, 76(3), 451–478.</w:t>
      </w:r>
    </w:p>
    <w:p w14:paraId="4E7821C2"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9139F">
        <w:rPr>
          <w:rFonts w:ascii="Times New Roman" w:eastAsia="Times New Roman" w:hAnsi="Times New Roman" w:cs="Times New Roman"/>
          <w:color w:val="0F1115"/>
          <w:kern w:val="0"/>
          <w14:ligatures w14:val="none"/>
        </w:rPr>
        <w:t>Sankale</w:t>
      </w:r>
      <w:proofErr w:type="spellEnd"/>
      <w:r w:rsidRPr="00D9139F">
        <w:rPr>
          <w:rFonts w:ascii="Times New Roman" w:eastAsia="Times New Roman" w:hAnsi="Times New Roman" w:cs="Times New Roman"/>
          <w:color w:val="0F1115"/>
          <w:kern w:val="0"/>
          <w14:ligatures w14:val="none"/>
        </w:rPr>
        <w:t xml:space="preserve">, O. (2021). Signes </w:t>
      </w:r>
      <w:proofErr w:type="spellStart"/>
      <w:r w:rsidRPr="00D9139F">
        <w:rPr>
          <w:rFonts w:ascii="Times New Roman" w:eastAsia="Times New Roman" w:hAnsi="Times New Roman" w:cs="Times New Roman"/>
          <w:color w:val="0F1115"/>
          <w:kern w:val="0"/>
          <w14:ligatures w14:val="none"/>
        </w:rPr>
        <w:t>diagnostiques</w:t>
      </w:r>
      <w:proofErr w:type="spellEnd"/>
      <w:r w:rsidRPr="00D9139F">
        <w:rPr>
          <w:rFonts w:ascii="Times New Roman" w:eastAsia="Times New Roman" w:hAnsi="Times New Roman" w:cs="Times New Roman"/>
          <w:color w:val="0F1115"/>
          <w:kern w:val="0"/>
          <w14:ligatures w14:val="none"/>
        </w:rPr>
        <w:t xml:space="preserve"> de la </w:t>
      </w:r>
      <w:proofErr w:type="spellStart"/>
      <w:r w:rsidRPr="00D9139F">
        <w:rPr>
          <w:rFonts w:ascii="Times New Roman" w:eastAsia="Times New Roman" w:hAnsi="Times New Roman" w:cs="Times New Roman"/>
          <w:color w:val="0F1115"/>
          <w:kern w:val="0"/>
          <w14:ligatures w14:val="none"/>
        </w:rPr>
        <w:t>gémellité</w:t>
      </w:r>
      <w:proofErr w:type="spellEnd"/>
      <w:r w:rsidRPr="00D9139F">
        <w:rPr>
          <w:rFonts w:ascii="Times New Roman" w:eastAsia="Times New Roman" w:hAnsi="Times New Roman" w:cs="Times New Roman"/>
          <w:color w:val="0F1115"/>
          <w:kern w:val="0"/>
          <w14:ligatures w14:val="none"/>
        </w:rPr>
        <w:t xml:space="preserve"> à Bamako. </w:t>
      </w:r>
      <w:r w:rsidRPr="00D9139F">
        <w:rPr>
          <w:rFonts w:ascii="Times New Roman" w:eastAsia="Times New Roman" w:hAnsi="Times New Roman" w:cs="Times New Roman"/>
          <w:i/>
          <w:iCs/>
          <w:color w:val="0F1115"/>
          <w:kern w:val="0"/>
          <w14:ligatures w14:val="none"/>
        </w:rPr>
        <w:t xml:space="preserve">Mali Santé </w:t>
      </w:r>
      <w:proofErr w:type="spellStart"/>
      <w:r w:rsidRPr="00D9139F">
        <w:rPr>
          <w:rFonts w:ascii="Times New Roman" w:eastAsia="Times New Roman" w:hAnsi="Times New Roman" w:cs="Times New Roman"/>
          <w:i/>
          <w:iCs/>
          <w:color w:val="0F1115"/>
          <w:kern w:val="0"/>
          <w14:ligatures w14:val="none"/>
        </w:rPr>
        <w:t>Publique</w:t>
      </w:r>
      <w:proofErr w:type="spellEnd"/>
      <w:r w:rsidRPr="00D9139F">
        <w:rPr>
          <w:rFonts w:ascii="Times New Roman" w:eastAsia="Times New Roman" w:hAnsi="Times New Roman" w:cs="Times New Roman"/>
          <w:color w:val="0F1115"/>
          <w:kern w:val="0"/>
          <w14:ligatures w14:val="none"/>
        </w:rPr>
        <w:t>, 11(1), 19–25.</w:t>
      </w:r>
    </w:p>
    <w:p w14:paraId="71B3E711"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Schwartz, N. (1975). </w:t>
      </w:r>
      <w:r w:rsidRPr="00D9139F">
        <w:rPr>
          <w:rFonts w:ascii="Times New Roman" w:eastAsia="Times New Roman" w:hAnsi="Times New Roman" w:cs="Times New Roman"/>
          <w:i/>
          <w:iCs/>
          <w:color w:val="0F1115"/>
          <w:kern w:val="0"/>
          <w14:ligatures w14:val="none"/>
        </w:rPr>
        <w:t>Knowledge, attitude and practice: Theoretical framework</w:t>
      </w:r>
      <w:r w:rsidRPr="00D9139F">
        <w:rPr>
          <w:rFonts w:ascii="Times New Roman" w:eastAsia="Times New Roman" w:hAnsi="Times New Roman" w:cs="Times New Roman"/>
          <w:color w:val="0F1115"/>
          <w:kern w:val="0"/>
          <w14:ligatures w14:val="none"/>
        </w:rPr>
        <w:t>. World Health Organization.</w:t>
      </w:r>
    </w:p>
    <w:p w14:paraId="1DB45DFB"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Smits, J., Miedema, P., &amp; Pison, G. (2019). Twinning rates in sub-Saharan Africa: A systematic review and meta-analysis. </w:t>
      </w:r>
      <w:r w:rsidRPr="00D9139F">
        <w:rPr>
          <w:rFonts w:ascii="Times New Roman" w:eastAsia="Times New Roman" w:hAnsi="Times New Roman" w:cs="Times New Roman"/>
          <w:i/>
          <w:iCs/>
          <w:color w:val="0F1115"/>
          <w:kern w:val="0"/>
          <w14:ligatures w14:val="none"/>
        </w:rPr>
        <w:t>Human Reproduction</w:t>
      </w:r>
      <w:r w:rsidRPr="00D9139F">
        <w:rPr>
          <w:rFonts w:ascii="Times New Roman" w:eastAsia="Times New Roman" w:hAnsi="Times New Roman" w:cs="Times New Roman"/>
          <w:color w:val="0F1115"/>
          <w:kern w:val="0"/>
          <w14:ligatures w14:val="none"/>
        </w:rPr>
        <w:t>, 34(8), 1568–1582.</w:t>
      </w:r>
    </w:p>
    <w:p w14:paraId="2B8621C1"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 xml:space="preserve">Tati, M. (2026). </w:t>
      </w:r>
      <w:proofErr w:type="spellStart"/>
      <w:r w:rsidRPr="00D9139F">
        <w:rPr>
          <w:rFonts w:ascii="Times New Roman" w:eastAsia="Times New Roman" w:hAnsi="Times New Roman" w:cs="Times New Roman"/>
          <w:color w:val="0F1115"/>
          <w:kern w:val="0"/>
          <w14:ligatures w14:val="none"/>
        </w:rPr>
        <w:t>Échographie</w:t>
      </w:r>
      <w:proofErr w:type="spellEnd"/>
      <w:r w:rsidRPr="00D9139F">
        <w:rPr>
          <w:rFonts w:ascii="Times New Roman" w:eastAsia="Times New Roman" w:hAnsi="Times New Roman" w:cs="Times New Roman"/>
          <w:color w:val="0F1115"/>
          <w:kern w:val="0"/>
          <w14:ligatures w14:val="none"/>
        </w:rPr>
        <w:t xml:space="preserve"> et </w:t>
      </w:r>
      <w:proofErr w:type="spellStart"/>
      <w:r w:rsidRPr="00D9139F">
        <w:rPr>
          <w:rFonts w:ascii="Times New Roman" w:eastAsia="Times New Roman" w:hAnsi="Times New Roman" w:cs="Times New Roman"/>
          <w:color w:val="0F1115"/>
          <w:kern w:val="0"/>
          <w14:ligatures w14:val="none"/>
        </w:rPr>
        <w:t>apprentissage</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diagnostique</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milieu rural </w:t>
      </w:r>
      <w:proofErr w:type="spellStart"/>
      <w:r w:rsidRPr="00D9139F">
        <w:rPr>
          <w:rFonts w:ascii="Times New Roman" w:eastAsia="Times New Roman" w:hAnsi="Times New Roman" w:cs="Times New Roman"/>
          <w:color w:val="0F1115"/>
          <w:kern w:val="0"/>
          <w14:ligatures w14:val="none"/>
        </w:rPr>
        <w:t>africain</w:t>
      </w:r>
      <w:proofErr w:type="spellEnd"/>
      <w:r w:rsidRPr="00D9139F">
        <w:rPr>
          <w:rFonts w:ascii="Times New Roman" w:eastAsia="Times New Roman" w:hAnsi="Times New Roman" w:cs="Times New Roman"/>
          <w:color w:val="0F1115"/>
          <w:kern w:val="0"/>
          <w14:ligatures w14:val="none"/>
        </w:rPr>
        <w:t>. </w:t>
      </w:r>
      <w:r w:rsidRPr="00D9139F">
        <w:rPr>
          <w:rFonts w:ascii="Times New Roman" w:eastAsia="Times New Roman" w:hAnsi="Times New Roman" w:cs="Times New Roman"/>
          <w:i/>
          <w:iCs/>
          <w:color w:val="0F1115"/>
          <w:kern w:val="0"/>
          <w14:ligatures w14:val="none"/>
        </w:rPr>
        <w:t>Pan African Medical Journal</w:t>
      </w:r>
      <w:r w:rsidRPr="00D9139F">
        <w:rPr>
          <w:rFonts w:ascii="Times New Roman" w:eastAsia="Times New Roman" w:hAnsi="Times New Roman" w:cs="Times New Roman"/>
          <w:color w:val="0F1115"/>
          <w:kern w:val="0"/>
          <w14:ligatures w14:val="none"/>
        </w:rPr>
        <w:t>, 43(1), 12–21.</w:t>
      </w:r>
    </w:p>
    <w:p w14:paraId="53C9AC19"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9139F">
        <w:rPr>
          <w:rFonts w:ascii="Times New Roman" w:eastAsia="Times New Roman" w:hAnsi="Times New Roman" w:cs="Times New Roman"/>
          <w:color w:val="0F1115"/>
          <w:kern w:val="0"/>
          <w14:ligatures w14:val="none"/>
        </w:rPr>
        <w:lastRenderedPageBreak/>
        <w:t>Tshiswaka</w:t>
      </w:r>
      <w:proofErr w:type="spellEnd"/>
      <w:r w:rsidRPr="00D9139F">
        <w:rPr>
          <w:rFonts w:ascii="Times New Roman" w:eastAsia="Times New Roman" w:hAnsi="Times New Roman" w:cs="Times New Roman"/>
          <w:color w:val="0F1115"/>
          <w:kern w:val="0"/>
          <w14:ligatures w14:val="none"/>
        </w:rPr>
        <w:t>, E. (2024). Méta-</w:t>
      </w:r>
      <w:proofErr w:type="spellStart"/>
      <w:r w:rsidRPr="00D9139F">
        <w:rPr>
          <w:rFonts w:ascii="Times New Roman" w:eastAsia="Times New Roman" w:hAnsi="Times New Roman" w:cs="Times New Roman"/>
          <w:color w:val="0F1115"/>
          <w:kern w:val="0"/>
          <w14:ligatures w14:val="none"/>
        </w:rPr>
        <w:t>analyse</w:t>
      </w:r>
      <w:proofErr w:type="spellEnd"/>
      <w:r w:rsidRPr="00D9139F">
        <w:rPr>
          <w:rFonts w:ascii="Times New Roman" w:eastAsia="Times New Roman" w:hAnsi="Times New Roman" w:cs="Times New Roman"/>
          <w:color w:val="0F1115"/>
          <w:kern w:val="0"/>
          <w14:ligatures w14:val="none"/>
        </w:rPr>
        <w:t xml:space="preserve"> des </w:t>
      </w:r>
      <w:proofErr w:type="spellStart"/>
      <w:r w:rsidRPr="00D9139F">
        <w:rPr>
          <w:rFonts w:ascii="Times New Roman" w:eastAsia="Times New Roman" w:hAnsi="Times New Roman" w:cs="Times New Roman"/>
          <w:color w:val="0F1115"/>
          <w:kern w:val="0"/>
          <w14:ligatures w14:val="none"/>
        </w:rPr>
        <w:t>facteurs</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associés</w:t>
      </w:r>
      <w:proofErr w:type="spellEnd"/>
      <w:r w:rsidRPr="00D9139F">
        <w:rPr>
          <w:rFonts w:ascii="Times New Roman" w:eastAsia="Times New Roman" w:hAnsi="Times New Roman" w:cs="Times New Roman"/>
          <w:color w:val="0F1115"/>
          <w:kern w:val="0"/>
          <w14:ligatures w14:val="none"/>
        </w:rPr>
        <w:t xml:space="preserve"> à la </w:t>
      </w:r>
      <w:proofErr w:type="spellStart"/>
      <w:r w:rsidRPr="00D9139F">
        <w:rPr>
          <w:rFonts w:ascii="Times New Roman" w:eastAsia="Times New Roman" w:hAnsi="Times New Roman" w:cs="Times New Roman"/>
          <w:color w:val="0F1115"/>
          <w:kern w:val="0"/>
          <w14:ligatures w14:val="none"/>
        </w:rPr>
        <w:t>compétence</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obstétricale</w:t>
      </w:r>
      <w:proofErr w:type="spellEnd"/>
      <w:r w:rsidRPr="00D9139F">
        <w:rPr>
          <w:rFonts w:ascii="Times New Roman" w:eastAsia="Times New Roman" w:hAnsi="Times New Roman" w:cs="Times New Roman"/>
          <w:color w:val="0F1115"/>
          <w:kern w:val="0"/>
          <w14:ligatures w14:val="none"/>
        </w:rPr>
        <w:t xml:space="preserve"> </w:t>
      </w:r>
      <w:proofErr w:type="spellStart"/>
      <w:r w:rsidRPr="00D9139F">
        <w:rPr>
          <w:rFonts w:ascii="Times New Roman" w:eastAsia="Times New Roman" w:hAnsi="Times New Roman" w:cs="Times New Roman"/>
          <w:color w:val="0F1115"/>
          <w:kern w:val="0"/>
          <w14:ligatures w14:val="none"/>
        </w:rPr>
        <w:t>en</w:t>
      </w:r>
      <w:proofErr w:type="spellEnd"/>
      <w:r w:rsidRPr="00D9139F">
        <w:rPr>
          <w:rFonts w:ascii="Times New Roman" w:eastAsia="Times New Roman" w:hAnsi="Times New Roman" w:cs="Times New Roman"/>
          <w:color w:val="0F1115"/>
          <w:kern w:val="0"/>
          <w14:ligatures w14:val="none"/>
        </w:rPr>
        <w:t xml:space="preserve"> Afrique </w:t>
      </w:r>
      <w:proofErr w:type="spellStart"/>
      <w:r w:rsidRPr="00D9139F">
        <w:rPr>
          <w:rFonts w:ascii="Times New Roman" w:eastAsia="Times New Roman" w:hAnsi="Times New Roman" w:cs="Times New Roman"/>
          <w:color w:val="0F1115"/>
          <w:kern w:val="0"/>
          <w14:ligatures w14:val="none"/>
        </w:rPr>
        <w:t>subsaharienne</w:t>
      </w:r>
      <w:proofErr w:type="spellEnd"/>
      <w:r w:rsidRPr="00D9139F">
        <w:rPr>
          <w:rFonts w:ascii="Times New Roman" w:eastAsia="Times New Roman" w:hAnsi="Times New Roman" w:cs="Times New Roman"/>
          <w:color w:val="0F1115"/>
          <w:kern w:val="0"/>
          <w14:ligatures w14:val="none"/>
        </w:rPr>
        <w:t>. </w:t>
      </w:r>
      <w:r w:rsidRPr="00D9139F">
        <w:rPr>
          <w:rFonts w:ascii="Times New Roman" w:eastAsia="Times New Roman" w:hAnsi="Times New Roman" w:cs="Times New Roman"/>
          <w:i/>
          <w:iCs/>
          <w:color w:val="0F1115"/>
          <w:kern w:val="0"/>
          <w14:ligatures w14:val="none"/>
        </w:rPr>
        <w:t>Journal of Global Health Reports</w:t>
      </w:r>
      <w:r w:rsidRPr="00D9139F">
        <w:rPr>
          <w:rFonts w:ascii="Times New Roman" w:eastAsia="Times New Roman" w:hAnsi="Times New Roman" w:cs="Times New Roman"/>
          <w:color w:val="0F1115"/>
          <w:kern w:val="0"/>
          <w14:ligatures w14:val="none"/>
        </w:rPr>
        <w:t>, 8(1), e2024012.</w:t>
      </w:r>
    </w:p>
    <w:p w14:paraId="7ADC23C1" w14:textId="77777777" w:rsidR="00094EE9" w:rsidRPr="00D9139F" w:rsidRDefault="00094EE9" w:rsidP="00094EE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9139F">
        <w:rPr>
          <w:rFonts w:ascii="Times New Roman" w:eastAsia="Times New Roman" w:hAnsi="Times New Roman" w:cs="Times New Roman"/>
          <w:color w:val="0F1115"/>
          <w:kern w:val="0"/>
          <w14:ligatures w14:val="none"/>
        </w:rPr>
        <w:t>World Health Organization. (2019). </w:t>
      </w:r>
      <w:r w:rsidRPr="00D9139F">
        <w:rPr>
          <w:rFonts w:ascii="Times New Roman" w:eastAsia="Times New Roman" w:hAnsi="Times New Roman" w:cs="Times New Roman"/>
          <w:i/>
          <w:iCs/>
          <w:color w:val="0F1115"/>
          <w:kern w:val="0"/>
          <w14:ligatures w14:val="none"/>
        </w:rPr>
        <w:t>World health statistics 2019</w:t>
      </w:r>
      <w:r w:rsidRPr="00D9139F">
        <w:rPr>
          <w:rFonts w:ascii="Times New Roman" w:eastAsia="Times New Roman" w:hAnsi="Times New Roman" w:cs="Times New Roman"/>
          <w:color w:val="0F1115"/>
          <w:kern w:val="0"/>
          <w14:ligatures w14:val="none"/>
        </w:rPr>
        <w:t>. WHO.</w:t>
      </w:r>
    </w:p>
    <w:p w14:paraId="4A9D1C86" w14:textId="77777777" w:rsidR="00094EE9" w:rsidRPr="00D9139F" w:rsidRDefault="00094EE9" w:rsidP="00094EE9">
      <w:pPr>
        <w:spacing w:after="0" w:line="240" w:lineRule="auto"/>
        <w:rPr>
          <w:rFonts w:ascii="Times New Roman" w:eastAsia="Times New Roman" w:hAnsi="Times New Roman" w:cs="Times New Roman"/>
          <w:kern w:val="0"/>
          <w14:ligatures w14:val="none"/>
        </w:rPr>
      </w:pPr>
    </w:p>
    <w:p w14:paraId="4904D9A1" w14:textId="77777777" w:rsidR="00B41904" w:rsidRPr="00D9139F" w:rsidRDefault="00B41904">
      <w:pPr>
        <w:rPr>
          <w:rFonts w:ascii="Times New Roman" w:hAnsi="Times New Roman" w:cs="Times New Roman"/>
        </w:rPr>
      </w:pPr>
    </w:p>
    <w:sectPr w:rsidR="00B41904" w:rsidRPr="00D913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D0A24"/>
    <w:multiLevelType w:val="multilevel"/>
    <w:tmpl w:val="8650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A12458"/>
    <w:multiLevelType w:val="multilevel"/>
    <w:tmpl w:val="FBDCE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5818233">
    <w:abstractNumId w:val="0"/>
  </w:num>
  <w:num w:numId="2" w16cid:durableId="2038238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EE9"/>
    <w:rsid w:val="00094EE9"/>
    <w:rsid w:val="002C4B73"/>
    <w:rsid w:val="003F70DD"/>
    <w:rsid w:val="008F6EA0"/>
    <w:rsid w:val="009E34A6"/>
    <w:rsid w:val="00AC0C13"/>
    <w:rsid w:val="00B13A14"/>
    <w:rsid w:val="00B41904"/>
    <w:rsid w:val="00D91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B2438"/>
  <w15:chartTrackingRefBased/>
  <w15:docId w15:val="{125887E1-A099-4D41-8A30-06E5FFB9A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4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4E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4E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4E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4E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E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E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E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E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4E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4E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4E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4E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4E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E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E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EE9"/>
    <w:rPr>
      <w:rFonts w:eastAsiaTheme="majorEastAsia" w:cstheme="majorBidi"/>
      <w:color w:val="272727" w:themeColor="text1" w:themeTint="D8"/>
    </w:rPr>
  </w:style>
  <w:style w:type="paragraph" w:styleId="Title">
    <w:name w:val="Title"/>
    <w:basedOn w:val="Normal"/>
    <w:next w:val="Normal"/>
    <w:link w:val="TitleChar"/>
    <w:uiPriority w:val="10"/>
    <w:qFormat/>
    <w:rsid w:val="00094E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E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E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E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EE9"/>
    <w:pPr>
      <w:spacing w:before="160"/>
      <w:jc w:val="center"/>
    </w:pPr>
    <w:rPr>
      <w:i/>
      <w:iCs/>
      <w:color w:val="404040" w:themeColor="text1" w:themeTint="BF"/>
    </w:rPr>
  </w:style>
  <w:style w:type="character" w:customStyle="1" w:styleId="QuoteChar">
    <w:name w:val="Quote Char"/>
    <w:basedOn w:val="DefaultParagraphFont"/>
    <w:link w:val="Quote"/>
    <w:uiPriority w:val="29"/>
    <w:rsid w:val="00094EE9"/>
    <w:rPr>
      <w:i/>
      <w:iCs/>
      <w:color w:val="404040" w:themeColor="text1" w:themeTint="BF"/>
    </w:rPr>
  </w:style>
  <w:style w:type="paragraph" w:styleId="ListParagraph">
    <w:name w:val="List Paragraph"/>
    <w:basedOn w:val="Normal"/>
    <w:uiPriority w:val="34"/>
    <w:qFormat/>
    <w:rsid w:val="00094EE9"/>
    <w:pPr>
      <w:ind w:left="720"/>
      <w:contextualSpacing/>
    </w:pPr>
  </w:style>
  <w:style w:type="character" w:styleId="IntenseEmphasis">
    <w:name w:val="Intense Emphasis"/>
    <w:basedOn w:val="DefaultParagraphFont"/>
    <w:uiPriority w:val="21"/>
    <w:qFormat/>
    <w:rsid w:val="00094EE9"/>
    <w:rPr>
      <w:i/>
      <w:iCs/>
      <w:color w:val="0F4761" w:themeColor="accent1" w:themeShade="BF"/>
    </w:rPr>
  </w:style>
  <w:style w:type="paragraph" w:styleId="IntenseQuote">
    <w:name w:val="Intense Quote"/>
    <w:basedOn w:val="Normal"/>
    <w:next w:val="Normal"/>
    <w:link w:val="IntenseQuoteChar"/>
    <w:uiPriority w:val="30"/>
    <w:qFormat/>
    <w:rsid w:val="00094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4EE9"/>
    <w:rPr>
      <w:i/>
      <w:iCs/>
      <w:color w:val="0F4761" w:themeColor="accent1" w:themeShade="BF"/>
    </w:rPr>
  </w:style>
  <w:style w:type="character" w:styleId="IntenseReference">
    <w:name w:val="Intense Reference"/>
    <w:basedOn w:val="DefaultParagraphFont"/>
    <w:uiPriority w:val="32"/>
    <w:qFormat/>
    <w:rsid w:val="00094EE9"/>
    <w:rPr>
      <w:b/>
      <w:bCs/>
      <w:smallCaps/>
      <w:color w:val="0F4761" w:themeColor="accent1" w:themeShade="BF"/>
      <w:spacing w:val="5"/>
    </w:rPr>
  </w:style>
  <w:style w:type="paragraph" w:customStyle="1" w:styleId="ds-markdown-paragraph">
    <w:name w:val="ds-markdown-paragraph"/>
    <w:basedOn w:val="Normal"/>
    <w:rsid w:val="00094EE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94EE9"/>
    <w:rPr>
      <w:b/>
      <w:bCs/>
    </w:rPr>
  </w:style>
  <w:style w:type="character" w:styleId="Emphasis">
    <w:name w:val="Emphasis"/>
    <w:basedOn w:val="DefaultParagraphFont"/>
    <w:uiPriority w:val="20"/>
    <w:qFormat/>
    <w:rsid w:val="00094E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18</Pages>
  <Words>4269</Words>
  <Characters>24336</Characters>
  <Application>Microsoft Office Word</Application>
  <DocSecurity>0</DocSecurity>
  <Lines>202</Lines>
  <Paragraphs>57</Paragraphs>
  <ScaleCrop>false</ScaleCrop>
  <Company/>
  <LinksUpToDate>false</LinksUpToDate>
  <CharactersWithSpaces>28548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6</cp:revision>
  <dcterms:created xsi:type="dcterms:W3CDTF">2026-05-15T06:48:00Z</dcterms:created>
  <dcterms:modified xsi:type="dcterms:W3CDTF">2026-05-15T07:01:00Z</dcterms:modified>
</cp:coreProperties>
</file>