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2509B" w14:textId="1CBCAAA4" w:rsidR="008B2320" w:rsidRPr="004151DE" w:rsidRDefault="008B2320" w:rsidP="004151DE">
      <w:pPr>
        <w:shd w:val="clear" w:color="auto" w:fill="FFFFFF"/>
        <w:spacing w:before="240" w:after="240" w:line="420" w:lineRule="atLeast"/>
        <w:jc w:val="center"/>
        <w:rPr>
          <w:rFonts w:ascii="Times New Roman" w:eastAsia="Times New Roman" w:hAnsi="Times New Roman" w:cs="Times New Roman"/>
          <w:b/>
          <w:bCs/>
          <w:color w:val="0F1115"/>
          <w:kern w:val="0"/>
          <w:sz w:val="32"/>
          <w:szCs w:val="32"/>
          <w14:ligatures w14:val="none"/>
        </w:rPr>
      </w:pPr>
      <w:r w:rsidRPr="004151DE">
        <w:rPr>
          <w:rFonts w:ascii="Times New Roman" w:eastAsia="Times New Roman" w:hAnsi="Times New Roman" w:cs="Times New Roman"/>
          <w:b/>
          <w:bCs/>
          <w:color w:val="0F1115"/>
          <w:kern w:val="0"/>
          <w:sz w:val="32"/>
          <w:szCs w:val="32"/>
          <w14:ligatures w14:val="none"/>
        </w:rPr>
        <w:t>Optimization of Pharmaceutical Stock Management at the CAMESE Regional Distribution Center in the Democratic Republic of the Congo (2023–2025)</w:t>
      </w:r>
    </w:p>
    <w:p w14:paraId="449425B5" w14:textId="77777777" w:rsidR="004151DE"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Author:</w:t>
      </w:r>
      <w:r w:rsidR="004151DE">
        <w:rPr>
          <w:rFonts w:ascii="Times New Roman" w:eastAsia="Times New Roman" w:hAnsi="Times New Roman" w:cs="Times New Roman"/>
          <w:color w:val="0F1115"/>
          <w:kern w:val="0"/>
          <w14:ligatures w14:val="none"/>
        </w:rPr>
        <w:t xml:space="preserve"> </w:t>
      </w:r>
      <w:proofErr w:type="spellStart"/>
      <w:r w:rsidR="004151DE">
        <w:rPr>
          <w:rFonts w:ascii="Times New Roman" w:eastAsia="Times New Roman" w:hAnsi="Times New Roman" w:cs="Times New Roman"/>
          <w:color w:val="0F1115"/>
          <w:kern w:val="0"/>
          <w14:ligatures w14:val="none"/>
        </w:rPr>
        <w:t>Tharcisse</w:t>
      </w:r>
      <w:proofErr w:type="spellEnd"/>
      <w:r w:rsidR="004151DE">
        <w:rPr>
          <w:rFonts w:ascii="Times New Roman" w:eastAsia="Times New Roman" w:hAnsi="Times New Roman" w:cs="Times New Roman"/>
          <w:color w:val="0F1115"/>
          <w:kern w:val="0"/>
          <w14:ligatures w14:val="none"/>
        </w:rPr>
        <w:t xml:space="preserve"> LIFOFE BAAMBE</w:t>
      </w:r>
    </w:p>
    <w:p w14:paraId="4C4B2BA4" w14:textId="356DAC03" w:rsidR="008B2320" w:rsidRPr="008B2320" w:rsidRDefault="004151DE"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4151DE">
        <w:rPr>
          <w:rFonts w:ascii="Times New Roman" w:eastAsia="Times New Roman" w:hAnsi="Times New Roman" w:cs="Times New Roman"/>
          <w:b/>
          <w:bCs/>
          <w:color w:val="0F1115"/>
          <w:kern w:val="0"/>
          <w14:ligatures w14:val="none"/>
        </w:rPr>
        <w:t>Directeur</w:t>
      </w:r>
      <w:r>
        <w:rPr>
          <w:rFonts w:ascii="Times New Roman" w:eastAsia="Times New Roman" w:hAnsi="Times New Roman" w:cs="Times New Roman"/>
          <w:color w:val="0F1115"/>
          <w:kern w:val="0"/>
          <w14:ligatures w14:val="none"/>
        </w:rPr>
        <w:t>: Prof. MOBEKY MAWA Jean Fulgence</w:t>
      </w:r>
      <w:r w:rsidR="008B2320" w:rsidRPr="008B2320">
        <w:rPr>
          <w:rFonts w:ascii="Times New Roman" w:eastAsia="Times New Roman" w:hAnsi="Times New Roman" w:cs="Times New Roman"/>
          <w:color w:val="0F1115"/>
          <w:kern w:val="0"/>
          <w14:ligatures w14:val="none"/>
        </w:rPr>
        <w:br/>
      </w:r>
      <w:r w:rsidR="008B2320" w:rsidRPr="008B2320">
        <w:rPr>
          <w:rFonts w:ascii="Times New Roman" w:eastAsia="Times New Roman" w:hAnsi="Times New Roman" w:cs="Times New Roman"/>
          <w:b/>
          <w:bCs/>
          <w:color w:val="0F1115"/>
          <w:kern w:val="0"/>
          <w14:ligatures w14:val="none"/>
        </w:rPr>
        <w:t>Affiliation:</w:t>
      </w:r>
      <w:r w:rsidR="008B2320" w:rsidRPr="008B2320">
        <w:rPr>
          <w:rFonts w:ascii="Times New Roman" w:eastAsia="Times New Roman" w:hAnsi="Times New Roman" w:cs="Times New Roman"/>
          <w:color w:val="0F1115"/>
          <w:kern w:val="0"/>
          <w14:ligatures w14:val="none"/>
        </w:rPr>
        <w:t> </w:t>
      </w:r>
      <w:r>
        <w:rPr>
          <w:rFonts w:ascii="Times New Roman" w:eastAsia="Times New Roman" w:hAnsi="Times New Roman" w:cs="Times New Roman"/>
          <w:color w:val="0F1115"/>
          <w:kern w:val="0"/>
          <w14:ligatures w14:val="none"/>
        </w:rPr>
        <w:t xml:space="preserve">ISTM </w:t>
      </w:r>
      <w:proofErr w:type="spellStart"/>
      <w:r>
        <w:rPr>
          <w:rFonts w:ascii="Times New Roman" w:eastAsia="Times New Roman" w:hAnsi="Times New Roman" w:cs="Times New Roman"/>
          <w:color w:val="0F1115"/>
          <w:kern w:val="0"/>
          <w14:ligatures w14:val="none"/>
        </w:rPr>
        <w:t>Mbandaka</w:t>
      </w:r>
      <w:proofErr w:type="spellEnd"/>
      <w:r>
        <w:rPr>
          <w:rFonts w:ascii="Times New Roman" w:eastAsia="Times New Roman" w:hAnsi="Times New Roman" w:cs="Times New Roman"/>
          <w:color w:val="0F1115"/>
          <w:kern w:val="0"/>
          <w14:ligatures w14:val="none"/>
        </w:rPr>
        <w:t>, DRC</w:t>
      </w:r>
    </w:p>
    <w:p w14:paraId="7AD60A8A"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Abstract</w:t>
      </w:r>
      <w:r w:rsidRPr="008B2320">
        <w:rPr>
          <w:rFonts w:ascii="Times New Roman" w:eastAsia="Times New Roman" w:hAnsi="Times New Roman" w:cs="Times New Roman"/>
          <w:color w:val="0F1115"/>
          <w:kern w:val="0"/>
          <w14:ligatures w14:val="none"/>
        </w:rPr>
        <w:br/>
      </w:r>
      <w:r w:rsidRPr="008B2320">
        <w:rPr>
          <w:rFonts w:ascii="Times New Roman" w:eastAsia="Times New Roman" w:hAnsi="Times New Roman" w:cs="Times New Roman"/>
          <w:b/>
          <w:bCs/>
          <w:color w:val="0F1115"/>
          <w:kern w:val="0"/>
          <w14:ligatures w14:val="none"/>
        </w:rPr>
        <w:t>Background:</w:t>
      </w:r>
      <w:r w:rsidRPr="008B2320">
        <w:rPr>
          <w:rFonts w:ascii="Times New Roman" w:eastAsia="Times New Roman" w:hAnsi="Times New Roman" w:cs="Times New Roman"/>
          <w:color w:val="0F1115"/>
          <w:kern w:val="0"/>
          <w14:ligatures w14:val="none"/>
        </w:rPr>
        <w:t> Effective pharmaceutical stock management is critical for ensuring uninterrupted access to essential medicines, particularly in resource-limited settings. The Regional Distribution Center (CDR) CAMESE in Équateur Province, Democratic Republic of the Congo (DRC), faces significant logistical challenges.</w:t>
      </w:r>
      <w:r w:rsidRPr="008B2320">
        <w:rPr>
          <w:rFonts w:ascii="Times New Roman" w:eastAsia="Times New Roman" w:hAnsi="Times New Roman" w:cs="Times New Roman"/>
          <w:color w:val="0F1115"/>
          <w:kern w:val="0"/>
          <w14:ligatures w14:val="none"/>
        </w:rPr>
        <w:br/>
      </w:r>
      <w:r w:rsidRPr="008B2320">
        <w:rPr>
          <w:rFonts w:ascii="Times New Roman" w:eastAsia="Times New Roman" w:hAnsi="Times New Roman" w:cs="Times New Roman"/>
          <w:b/>
          <w:bCs/>
          <w:color w:val="0F1115"/>
          <w:kern w:val="0"/>
          <w14:ligatures w14:val="none"/>
        </w:rPr>
        <w:t>Methods:</w:t>
      </w:r>
      <w:r w:rsidRPr="008B2320">
        <w:rPr>
          <w:rFonts w:ascii="Times New Roman" w:eastAsia="Times New Roman" w:hAnsi="Times New Roman" w:cs="Times New Roman"/>
          <w:color w:val="0F1115"/>
          <w:kern w:val="0"/>
          <w14:ligatures w14:val="none"/>
        </w:rPr>
        <w:t> A descriptive and analytical study was conducted from 2023 to 2025 at the CAMESE/Equateur center. The study population comprised all 15 staff members directly involved in stock management. Data were collected using semi-structured questionnaires, interviews, direct observation, and document analysis. Descriptive statistics were employed for data analysis.</w:t>
      </w:r>
      <w:r w:rsidRPr="008B2320">
        <w:rPr>
          <w:rFonts w:ascii="Times New Roman" w:eastAsia="Times New Roman" w:hAnsi="Times New Roman" w:cs="Times New Roman"/>
          <w:color w:val="0F1115"/>
          <w:kern w:val="0"/>
          <w14:ligatures w14:val="none"/>
        </w:rPr>
        <w:br/>
      </w:r>
      <w:r w:rsidRPr="008B2320">
        <w:rPr>
          <w:rFonts w:ascii="Times New Roman" w:eastAsia="Times New Roman" w:hAnsi="Times New Roman" w:cs="Times New Roman"/>
          <w:b/>
          <w:bCs/>
          <w:color w:val="0F1115"/>
          <w:kern w:val="0"/>
          <w14:ligatures w14:val="none"/>
        </w:rPr>
        <w:t>Results:</w:t>
      </w:r>
      <w:r w:rsidRPr="008B2320">
        <w:rPr>
          <w:rFonts w:ascii="Times New Roman" w:eastAsia="Times New Roman" w:hAnsi="Times New Roman" w:cs="Times New Roman"/>
          <w:color w:val="0F1115"/>
          <w:kern w:val="0"/>
          <w14:ligatures w14:val="none"/>
        </w:rPr>
        <w:t> </w:t>
      </w:r>
      <w:proofErr w:type="gramStart"/>
      <w:r w:rsidRPr="008B2320">
        <w:rPr>
          <w:rFonts w:ascii="Times New Roman" w:eastAsia="Times New Roman" w:hAnsi="Times New Roman" w:cs="Times New Roman"/>
          <w:color w:val="0F1115"/>
          <w:kern w:val="0"/>
          <w14:ligatures w14:val="none"/>
        </w:rPr>
        <w:t>The majority of</w:t>
      </w:r>
      <w:proofErr w:type="gramEnd"/>
      <w:r w:rsidRPr="008B2320">
        <w:rPr>
          <w:rFonts w:ascii="Times New Roman" w:eastAsia="Times New Roman" w:hAnsi="Times New Roman" w:cs="Times New Roman"/>
          <w:color w:val="0F1115"/>
          <w:kern w:val="0"/>
          <w14:ligatures w14:val="none"/>
        </w:rPr>
        <w:t xml:space="preserve"> respondents were male (83.3%) and aged 36 years or older (47%). While all respondents (100%) confirmed that storage infrastructure met basic organizational and security norms, 100% reported experiencing both stock-outs and overstocking during the study period. Expiration rates were alarmingly high: 14.49% in 2023, 16.79% in 2024, and 35.18% in 2025—far exceeding the WHO-recommended threshold of &lt;5%. Although 73% of medicines were acquired through purchase, stock management practices remained largely manual, and 27% of staff expressed reservations about supply chain conformity.</w:t>
      </w:r>
      <w:r w:rsidRPr="008B2320">
        <w:rPr>
          <w:rFonts w:ascii="Times New Roman" w:eastAsia="Times New Roman" w:hAnsi="Times New Roman" w:cs="Times New Roman"/>
          <w:color w:val="0F1115"/>
          <w:kern w:val="0"/>
          <w14:ligatures w14:val="none"/>
        </w:rPr>
        <w:br/>
      </w:r>
      <w:r w:rsidRPr="008B2320">
        <w:rPr>
          <w:rFonts w:ascii="Times New Roman" w:eastAsia="Times New Roman" w:hAnsi="Times New Roman" w:cs="Times New Roman"/>
          <w:b/>
          <w:bCs/>
          <w:color w:val="0F1115"/>
          <w:kern w:val="0"/>
          <w14:ligatures w14:val="none"/>
        </w:rPr>
        <w:t>Conclusion:</w:t>
      </w:r>
      <w:r w:rsidRPr="008B2320">
        <w:rPr>
          <w:rFonts w:ascii="Times New Roman" w:eastAsia="Times New Roman" w:hAnsi="Times New Roman" w:cs="Times New Roman"/>
          <w:color w:val="0F1115"/>
          <w:kern w:val="0"/>
          <w14:ligatures w14:val="none"/>
        </w:rPr>
        <w:t xml:space="preserve"> The CAMESE/Equateur center faces a critical paradox: adequate infrastructure but severe operational deficiencies, evidenced by high expiration rates, frequent stock-outs, and overstocking. Urgent implementation of digital stock management systems, staff training, and adherence to </w:t>
      </w:r>
      <w:proofErr w:type="gramStart"/>
      <w:r w:rsidRPr="008B2320">
        <w:rPr>
          <w:rFonts w:ascii="Times New Roman" w:eastAsia="Times New Roman" w:hAnsi="Times New Roman" w:cs="Times New Roman"/>
          <w:color w:val="0F1115"/>
          <w:kern w:val="0"/>
          <w14:ligatures w14:val="none"/>
        </w:rPr>
        <w:t>First-Expiry</w:t>
      </w:r>
      <w:proofErr w:type="gramEnd"/>
      <w:r w:rsidRPr="008B2320">
        <w:rPr>
          <w:rFonts w:ascii="Times New Roman" w:eastAsia="Times New Roman" w:hAnsi="Times New Roman" w:cs="Times New Roman"/>
          <w:color w:val="0F1115"/>
          <w:kern w:val="0"/>
          <w14:ligatures w14:val="none"/>
        </w:rPr>
        <w:t>-First-Out (FEFO) principles is required.</w:t>
      </w:r>
    </w:p>
    <w:p w14:paraId="005F59C8"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lastRenderedPageBreak/>
        <w:t>Keywords:</w:t>
      </w:r>
      <w:r w:rsidRPr="008B2320">
        <w:rPr>
          <w:rFonts w:ascii="Times New Roman" w:eastAsia="Times New Roman" w:hAnsi="Times New Roman" w:cs="Times New Roman"/>
          <w:color w:val="0F1115"/>
          <w:kern w:val="0"/>
          <w14:ligatures w14:val="none"/>
        </w:rPr>
        <w:t> Stock management, pharmaceutical supply chain, drug expiration, stock-outs, CAMESE, Democratic Republic of the Congo</w:t>
      </w:r>
    </w:p>
    <w:p w14:paraId="63CF1C7E"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1. Introduction</w:t>
      </w:r>
    </w:p>
    <w:p w14:paraId="1B84EF1C"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In an era of escalating healthcare demands, effective pharmaceutical stock management is crucial for ensuring access to necessary treatments. Regional Distribution Centers (CDRs) serve as vital intermediaries between manufacturers and healthcare facilities, yet they frequently confront challenges such as demand fluctuations leading to stock-outs or overstocking, which immobilizes financial resources and risks drug expiration (Christopher, 2016). In the Democratic Republic of the Congo (DRC), a country with vast geography and limited infrastructure, these challenges are magnified. The CAMESE (Centrale </w:t>
      </w:r>
      <w:proofErr w:type="spellStart"/>
      <w:r w:rsidRPr="008B2320">
        <w:rPr>
          <w:rFonts w:ascii="Times New Roman" w:eastAsia="Times New Roman" w:hAnsi="Times New Roman" w:cs="Times New Roman"/>
          <w:color w:val="0F1115"/>
          <w:kern w:val="0"/>
          <w14:ligatures w14:val="none"/>
        </w:rPr>
        <w:t>d'Approvisionnement</w:t>
      </w:r>
      <w:proofErr w:type="spellEnd"/>
      <w:r w:rsidRPr="008B2320">
        <w:rPr>
          <w:rFonts w:ascii="Times New Roman" w:eastAsia="Times New Roman" w:hAnsi="Times New Roman" w:cs="Times New Roman"/>
          <w:color w:val="0F1115"/>
          <w:kern w:val="0"/>
          <w14:ligatures w14:val="none"/>
        </w:rPr>
        <w:t xml:space="preserve"> </w:t>
      </w:r>
      <w:proofErr w:type="spellStart"/>
      <w:r w:rsidRPr="008B2320">
        <w:rPr>
          <w:rFonts w:ascii="Times New Roman" w:eastAsia="Times New Roman" w:hAnsi="Times New Roman" w:cs="Times New Roman"/>
          <w:color w:val="0F1115"/>
          <w:kern w:val="0"/>
          <w14:ligatures w14:val="none"/>
        </w:rPr>
        <w:t>en</w:t>
      </w:r>
      <w:proofErr w:type="spellEnd"/>
      <w:r w:rsidRPr="008B2320">
        <w:rPr>
          <w:rFonts w:ascii="Times New Roman" w:eastAsia="Times New Roman" w:hAnsi="Times New Roman" w:cs="Times New Roman"/>
          <w:color w:val="0F1115"/>
          <w:kern w:val="0"/>
          <w14:ligatures w14:val="none"/>
        </w:rPr>
        <w:t xml:space="preserve"> </w:t>
      </w:r>
      <w:proofErr w:type="spellStart"/>
      <w:r w:rsidRPr="008B2320">
        <w:rPr>
          <w:rFonts w:ascii="Times New Roman" w:eastAsia="Times New Roman" w:hAnsi="Times New Roman" w:cs="Times New Roman"/>
          <w:color w:val="0F1115"/>
          <w:kern w:val="0"/>
          <w14:ligatures w14:val="none"/>
        </w:rPr>
        <w:t>Médicaments</w:t>
      </w:r>
      <w:proofErr w:type="spellEnd"/>
      <w:r w:rsidRPr="008B2320">
        <w:rPr>
          <w:rFonts w:ascii="Times New Roman" w:eastAsia="Times New Roman" w:hAnsi="Times New Roman" w:cs="Times New Roman"/>
          <w:color w:val="0F1115"/>
          <w:kern w:val="0"/>
          <w14:ligatures w14:val="none"/>
        </w:rPr>
        <w:t xml:space="preserve"> </w:t>
      </w:r>
      <w:proofErr w:type="spellStart"/>
      <w:r w:rsidRPr="008B2320">
        <w:rPr>
          <w:rFonts w:ascii="Times New Roman" w:eastAsia="Times New Roman" w:hAnsi="Times New Roman" w:cs="Times New Roman"/>
          <w:color w:val="0F1115"/>
          <w:kern w:val="0"/>
          <w14:ligatures w14:val="none"/>
        </w:rPr>
        <w:t>Essentiels</w:t>
      </w:r>
      <w:proofErr w:type="spellEnd"/>
      <w:r w:rsidRPr="008B2320">
        <w:rPr>
          <w:rFonts w:ascii="Times New Roman" w:eastAsia="Times New Roman" w:hAnsi="Times New Roman" w:cs="Times New Roman"/>
          <w:color w:val="0F1115"/>
          <w:kern w:val="0"/>
          <w14:ligatures w14:val="none"/>
        </w:rPr>
        <w:t xml:space="preserve"> du Sud Equateur) serves as a CDR for Équateur and </w:t>
      </w:r>
      <w:proofErr w:type="spellStart"/>
      <w:r w:rsidRPr="008B2320">
        <w:rPr>
          <w:rFonts w:ascii="Times New Roman" w:eastAsia="Times New Roman" w:hAnsi="Times New Roman" w:cs="Times New Roman"/>
          <w:color w:val="0F1115"/>
          <w:kern w:val="0"/>
          <w14:ligatures w14:val="none"/>
        </w:rPr>
        <w:t>Tshuapa</w:t>
      </w:r>
      <w:proofErr w:type="spellEnd"/>
      <w:r w:rsidRPr="008B2320">
        <w:rPr>
          <w:rFonts w:ascii="Times New Roman" w:eastAsia="Times New Roman" w:hAnsi="Times New Roman" w:cs="Times New Roman"/>
          <w:color w:val="0F1115"/>
          <w:kern w:val="0"/>
          <w14:ligatures w14:val="none"/>
        </w:rPr>
        <w:t xml:space="preserve"> provinces but reportedly suffers from recurrent stock-outs, poor demand forecasting, and a lack of integrated information systems (MS/DHSA, 2000).</w:t>
      </w:r>
    </w:p>
    <w:p w14:paraId="55D5B6C6"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The global literature emphasizes that optimized stock management—using tools like ABC analysis, predictive software, and Just-In-Time (JIT) systems—can reduce costs while improving drug availability (</w:t>
      </w:r>
      <w:proofErr w:type="spellStart"/>
      <w:r w:rsidRPr="008B2320">
        <w:rPr>
          <w:rFonts w:ascii="Times New Roman" w:eastAsia="Times New Roman" w:hAnsi="Times New Roman" w:cs="Times New Roman"/>
          <w:color w:val="0F1115"/>
          <w:kern w:val="0"/>
          <w14:ligatures w14:val="none"/>
        </w:rPr>
        <w:t>Cachon</w:t>
      </w:r>
      <w:proofErr w:type="spellEnd"/>
      <w:r w:rsidRPr="008B2320">
        <w:rPr>
          <w:rFonts w:ascii="Times New Roman" w:eastAsia="Times New Roman" w:hAnsi="Times New Roman" w:cs="Times New Roman"/>
          <w:color w:val="0F1115"/>
          <w:kern w:val="0"/>
          <w14:ligatures w14:val="none"/>
        </w:rPr>
        <w:t xml:space="preserve"> &amp; </w:t>
      </w:r>
      <w:proofErr w:type="spellStart"/>
      <w:r w:rsidRPr="008B2320">
        <w:rPr>
          <w:rFonts w:ascii="Times New Roman" w:eastAsia="Times New Roman" w:hAnsi="Times New Roman" w:cs="Times New Roman"/>
          <w:color w:val="0F1115"/>
          <w:kern w:val="0"/>
          <w14:ligatures w14:val="none"/>
        </w:rPr>
        <w:t>Terwiesch</w:t>
      </w:r>
      <w:proofErr w:type="spellEnd"/>
      <w:r w:rsidRPr="008B2320">
        <w:rPr>
          <w:rFonts w:ascii="Times New Roman" w:eastAsia="Times New Roman" w:hAnsi="Times New Roman" w:cs="Times New Roman"/>
          <w:color w:val="0F1115"/>
          <w:kern w:val="0"/>
          <w14:ligatures w14:val="none"/>
        </w:rPr>
        <w:t>, 2018). However, little research has focused specifically on regional distribution hubs in the DRC. This study, therefore, aims to analyze and evaluate pharmaceutical stock management practices at CAMESE/Equateur from 2023 to 2025, identify factors influencing drug availability, and propose evidence-based solutions.</w:t>
      </w:r>
    </w:p>
    <w:p w14:paraId="02D1AD37"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2. Methods</w:t>
      </w:r>
    </w:p>
    <w:p w14:paraId="40EEBDF2"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2.1 Study Design and Setting</w:t>
      </w:r>
    </w:p>
    <w:p w14:paraId="21F9B1C7"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A descriptive and analytical study was conducted at the CAMESE/Equateur CDR, located in </w:t>
      </w:r>
      <w:proofErr w:type="spellStart"/>
      <w:r w:rsidRPr="008B2320">
        <w:rPr>
          <w:rFonts w:ascii="Times New Roman" w:eastAsia="Times New Roman" w:hAnsi="Times New Roman" w:cs="Times New Roman"/>
          <w:color w:val="0F1115"/>
          <w:kern w:val="0"/>
          <w14:ligatures w14:val="none"/>
        </w:rPr>
        <w:t>Mbandaka</w:t>
      </w:r>
      <w:proofErr w:type="spellEnd"/>
      <w:r w:rsidRPr="008B2320">
        <w:rPr>
          <w:rFonts w:ascii="Times New Roman" w:eastAsia="Times New Roman" w:hAnsi="Times New Roman" w:cs="Times New Roman"/>
          <w:color w:val="0F1115"/>
          <w:kern w:val="0"/>
          <w14:ligatures w14:val="none"/>
        </w:rPr>
        <w:t>, DRC. The center was established in July 2001 and serves two provincial health divisions.</w:t>
      </w:r>
    </w:p>
    <w:p w14:paraId="0325E701"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2.2 Population and Sampling</w:t>
      </w:r>
    </w:p>
    <w:p w14:paraId="601BBE52"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lastRenderedPageBreak/>
        <w:t>The target population consisted of all 15 staff members directly involved in stock management, including directors, a stock manager, a storekeeper, an accountant, a secretary-cashier, a depositary, and eight security guards. An exhaustive sampling method was employed.</w:t>
      </w:r>
    </w:p>
    <w:p w14:paraId="23612908"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2.3 Data Collection</w:t>
      </w:r>
    </w:p>
    <w:p w14:paraId="616FEF32"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Data were collected between January 2023 and December 2025 using:</w:t>
      </w:r>
    </w:p>
    <w:p w14:paraId="1E384275" w14:textId="77777777" w:rsidR="008B2320" w:rsidRPr="008B2320" w:rsidRDefault="008B2320" w:rsidP="008B23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A semi-structured questionnaire distributed to all 15 staff members.</w:t>
      </w:r>
    </w:p>
    <w:p w14:paraId="6F5A4E8E" w14:textId="77777777" w:rsidR="008B2320" w:rsidRPr="008B2320" w:rsidRDefault="008B2320" w:rsidP="008B23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In-depth interviews with key informants (directors, stock manager).</w:t>
      </w:r>
    </w:p>
    <w:p w14:paraId="7684856F" w14:textId="77777777" w:rsidR="008B2320" w:rsidRPr="008B2320" w:rsidRDefault="008B2320" w:rsidP="008B23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Direct observation of receiving, storage, and distribution procedures.</w:t>
      </w:r>
    </w:p>
    <w:p w14:paraId="54FFEA16" w14:textId="77777777" w:rsidR="008B2320" w:rsidRPr="008B2320" w:rsidRDefault="008B2320" w:rsidP="008B23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Document analysis of stock cards, inventory reports, and internal procedures.</w:t>
      </w:r>
    </w:p>
    <w:p w14:paraId="78C42415"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2.4 Data Analysis</w:t>
      </w:r>
    </w:p>
    <w:p w14:paraId="17A92E85"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Quantitative data were entered into Excel and analyzed using SPSS version 20. Descriptive statistics (frequencies, percentages, means) were calculated. Qualitative data from interviews were analyzed thematically.</w:t>
      </w:r>
    </w:p>
    <w:p w14:paraId="506A6594"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2.5 Ethical Considerations</w:t>
      </w:r>
    </w:p>
    <w:p w14:paraId="1CC7C0A0"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Ethical approval was obtained from the CAMESE directorate. Informed consent was secured from all participants. Anonymity and confidentiality were guaranteed, and participants were informed of their right to withdraw without consequence.</w:t>
      </w:r>
    </w:p>
    <w:p w14:paraId="36357625"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3. Results</w:t>
      </w:r>
    </w:p>
    <w:p w14:paraId="3C022FE0"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3.1 Sociodemographic Characteristics of Respondents</w:t>
      </w:r>
    </w:p>
    <w:p w14:paraId="3AF37453"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A total of 15 respondents participated (response rate: 100%). As shown in Table 1, the majority were male (83.3%) and aged 36 years or older (47%). All respondents (100%) had completed higher education.</w:t>
      </w:r>
    </w:p>
    <w:p w14:paraId="28C266BA"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lastRenderedPageBreak/>
        <w:t>Table 1</w:t>
      </w:r>
      <w:r w:rsidRPr="008B2320">
        <w:rPr>
          <w:rFonts w:ascii="Times New Roman" w:eastAsia="Times New Roman" w:hAnsi="Times New Roman" w:cs="Times New Roman"/>
          <w:color w:val="0F1115"/>
          <w:kern w:val="0"/>
          <w14:ligatures w14:val="none"/>
        </w:rPr>
        <w:br/>
        <w:t>*Sociodemographic Characteristics of Respondents (N=15)*</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32"/>
        <w:gridCol w:w="2173"/>
        <w:gridCol w:w="1721"/>
        <w:gridCol w:w="1830"/>
      </w:tblGrid>
      <w:tr w:rsidR="008B2320" w:rsidRPr="004151DE" w14:paraId="3406F73B" w14:textId="77777777" w:rsidTr="004151D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4EBA77D"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F854FE9"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8576DE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Frequency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D1FB246"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Percentage (%)</w:t>
            </w:r>
          </w:p>
        </w:tc>
      </w:tr>
      <w:tr w:rsidR="008B2320" w:rsidRPr="004151DE" w14:paraId="2925C86C" w14:textId="77777777" w:rsidTr="004151DE">
        <w:tc>
          <w:tcPr>
            <w:tcW w:w="0" w:type="auto"/>
            <w:tcBorders>
              <w:top w:val="single" w:sz="4" w:space="0" w:color="auto"/>
            </w:tcBorders>
            <w:tcMar>
              <w:top w:w="150" w:type="dxa"/>
              <w:left w:w="0" w:type="dxa"/>
              <w:bottom w:w="150" w:type="dxa"/>
              <w:right w:w="240" w:type="dxa"/>
            </w:tcMar>
            <w:vAlign w:val="center"/>
            <w:hideMark/>
          </w:tcPr>
          <w:p w14:paraId="0A47571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6DE40FB3"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613B2EC7"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13</w:t>
            </w:r>
          </w:p>
        </w:tc>
        <w:tc>
          <w:tcPr>
            <w:tcW w:w="0" w:type="auto"/>
            <w:tcBorders>
              <w:top w:val="single" w:sz="4" w:space="0" w:color="auto"/>
            </w:tcBorders>
            <w:tcMar>
              <w:top w:w="150" w:type="dxa"/>
              <w:left w:w="240" w:type="dxa"/>
              <w:bottom w:w="150" w:type="dxa"/>
              <w:right w:w="0" w:type="dxa"/>
            </w:tcMar>
            <w:vAlign w:val="center"/>
            <w:hideMark/>
          </w:tcPr>
          <w:p w14:paraId="367E5F96"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83.3</w:t>
            </w:r>
          </w:p>
        </w:tc>
      </w:tr>
      <w:tr w:rsidR="008B2320" w:rsidRPr="004151DE" w14:paraId="68CEB850" w14:textId="77777777" w:rsidTr="004151DE">
        <w:tc>
          <w:tcPr>
            <w:tcW w:w="0" w:type="auto"/>
            <w:tcMar>
              <w:top w:w="150" w:type="dxa"/>
              <w:left w:w="0" w:type="dxa"/>
              <w:bottom w:w="150" w:type="dxa"/>
              <w:right w:w="240" w:type="dxa"/>
            </w:tcMar>
            <w:vAlign w:val="center"/>
            <w:hideMark/>
          </w:tcPr>
          <w:p w14:paraId="2986A34A"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D330F5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1AE17FEA"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0" w:type="dxa"/>
            </w:tcMar>
            <w:vAlign w:val="center"/>
            <w:hideMark/>
          </w:tcPr>
          <w:p w14:paraId="57F4E3A9"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16.7</w:t>
            </w:r>
          </w:p>
        </w:tc>
      </w:tr>
      <w:tr w:rsidR="008B2320" w:rsidRPr="004151DE" w14:paraId="4D1C1B8D" w14:textId="77777777" w:rsidTr="004151DE">
        <w:tc>
          <w:tcPr>
            <w:tcW w:w="0" w:type="auto"/>
            <w:tcMar>
              <w:top w:w="150" w:type="dxa"/>
              <w:left w:w="0" w:type="dxa"/>
              <w:bottom w:w="150" w:type="dxa"/>
              <w:right w:w="240" w:type="dxa"/>
            </w:tcMar>
            <w:vAlign w:val="center"/>
            <w:hideMark/>
          </w:tcPr>
          <w:p w14:paraId="5D81C0C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Age</w:t>
            </w:r>
          </w:p>
        </w:tc>
        <w:tc>
          <w:tcPr>
            <w:tcW w:w="0" w:type="auto"/>
            <w:tcMar>
              <w:top w:w="150" w:type="dxa"/>
              <w:left w:w="240" w:type="dxa"/>
              <w:bottom w:w="150" w:type="dxa"/>
              <w:right w:w="240" w:type="dxa"/>
            </w:tcMar>
            <w:vAlign w:val="center"/>
            <w:hideMark/>
          </w:tcPr>
          <w:p w14:paraId="55CEA6AE"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26–30 years</w:t>
            </w:r>
          </w:p>
        </w:tc>
        <w:tc>
          <w:tcPr>
            <w:tcW w:w="0" w:type="auto"/>
            <w:tcMar>
              <w:top w:w="150" w:type="dxa"/>
              <w:left w:w="240" w:type="dxa"/>
              <w:bottom w:w="150" w:type="dxa"/>
              <w:right w:w="240" w:type="dxa"/>
            </w:tcMar>
            <w:vAlign w:val="center"/>
            <w:hideMark/>
          </w:tcPr>
          <w:p w14:paraId="73DD471C"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0" w:type="dxa"/>
            </w:tcMar>
            <w:vAlign w:val="center"/>
            <w:hideMark/>
          </w:tcPr>
          <w:p w14:paraId="0AFDFE9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20.0</w:t>
            </w:r>
          </w:p>
        </w:tc>
      </w:tr>
      <w:tr w:rsidR="008B2320" w:rsidRPr="004151DE" w14:paraId="39110C00" w14:textId="77777777" w:rsidTr="004151DE">
        <w:tc>
          <w:tcPr>
            <w:tcW w:w="0" w:type="auto"/>
            <w:tcMar>
              <w:top w:w="150" w:type="dxa"/>
              <w:left w:w="0" w:type="dxa"/>
              <w:bottom w:w="150" w:type="dxa"/>
              <w:right w:w="240" w:type="dxa"/>
            </w:tcMar>
            <w:vAlign w:val="center"/>
            <w:hideMark/>
          </w:tcPr>
          <w:p w14:paraId="4A59DB5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4419B9B"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31–35 years</w:t>
            </w:r>
          </w:p>
        </w:tc>
        <w:tc>
          <w:tcPr>
            <w:tcW w:w="0" w:type="auto"/>
            <w:tcMar>
              <w:top w:w="150" w:type="dxa"/>
              <w:left w:w="240" w:type="dxa"/>
              <w:bottom w:w="150" w:type="dxa"/>
              <w:right w:w="240" w:type="dxa"/>
            </w:tcMar>
            <w:vAlign w:val="center"/>
            <w:hideMark/>
          </w:tcPr>
          <w:p w14:paraId="13FB902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0" w:type="dxa"/>
            </w:tcMar>
            <w:vAlign w:val="center"/>
            <w:hideMark/>
          </w:tcPr>
          <w:p w14:paraId="34D70CC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33.3</w:t>
            </w:r>
          </w:p>
        </w:tc>
      </w:tr>
      <w:tr w:rsidR="008B2320" w:rsidRPr="004151DE" w14:paraId="71F5004E" w14:textId="77777777" w:rsidTr="004151DE">
        <w:tc>
          <w:tcPr>
            <w:tcW w:w="0" w:type="auto"/>
            <w:tcMar>
              <w:top w:w="150" w:type="dxa"/>
              <w:left w:w="0" w:type="dxa"/>
              <w:bottom w:w="150" w:type="dxa"/>
              <w:right w:w="240" w:type="dxa"/>
            </w:tcMar>
            <w:vAlign w:val="center"/>
            <w:hideMark/>
          </w:tcPr>
          <w:p w14:paraId="5E06253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CCE277D"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36 years and above</w:t>
            </w:r>
          </w:p>
        </w:tc>
        <w:tc>
          <w:tcPr>
            <w:tcW w:w="0" w:type="auto"/>
            <w:tcMar>
              <w:top w:w="150" w:type="dxa"/>
              <w:left w:w="240" w:type="dxa"/>
              <w:bottom w:w="150" w:type="dxa"/>
              <w:right w:w="240" w:type="dxa"/>
            </w:tcMar>
            <w:vAlign w:val="center"/>
            <w:hideMark/>
          </w:tcPr>
          <w:p w14:paraId="7BCDB9F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0" w:type="dxa"/>
            </w:tcMar>
            <w:vAlign w:val="center"/>
            <w:hideMark/>
          </w:tcPr>
          <w:p w14:paraId="1E63B3CA"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46.7</w:t>
            </w:r>
          </w:p>
        </w:tc>
      </w:tr>
      <w:tr w:rsidR="008B2320" w:rsidRPr="004151DE" w14:paraId="3EFFF51E" w14:textId="77777777" w:rsidTr="004151DE">
        <w:tc>
          <w:tcPr>
            <w:tcW w:w="0" w:type="auto"/>
            <w:tcMar>
              <w:top w:w="150" w:type="dxa"/>
              <w:left w:w="0" w:type="dxa"/>
              <w:bottom w:w="150" w:type="dxa"/>
              <w:right w:w="240" w:type="dxa"/>
            </w:tcMar>
            <w:vAlign w:val="center"/>
            <w:hideMark/>
          </w:tcPr>
          <w:p w14:paraId="5F19ABD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Education</w:t>
            </w:r>
          </w:p>
        </w:tc>
        <w:tc>
          <w:tcPr>
            <w:tcW w:w="0" w:type="auto"/>
            <w:tcMar>
              <w:top w:w="150" w:type="dxa"/>
              <w:left w:w="240" w:type="dxa"/>
              <w:bottom w:w="150" w:type="dxa"/>
              <w:right w:w="240" w:type="dxa"/>
            </w:tcMar>
            <w:vAlign w:val="center"/>
            <w:hideMark/>
          </w:tcPr>
          <w:p w14:paraId="76E157F3"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Higher education</w:t>
            </w:r>
          </w:p>
        </w:tc>
        <w:tc>
          <w:tcPr>
            <w:tcW w:w="0" w:type="auto"/>
            <w:tcMar>
              <w:top w:w="150" w:type="dxa"/>
              <w:left w:w="240" w:type="dxa"/>
              <w:bottom w:w="150" w:type="dxa"/>
              <w:right w:w="240" w:type="dxa"/>
            </w:tcMar>
            <w:vAlign w:val="center"/>
            <w:hideMark/>
          </w:tcPr>
          <w:p w14:paraId="3DF7FC1D"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6D8FC185"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100.0</w:t>
            </w:r>
          </w:p>
        </w:tc>
      </w:tr>
    </w:tbl>
    <w:p w14:paraId="7C6B45A7"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3.2 Stock Acquisition and Storage Infrastructure</w:t>
      </w:r>
    </w:p>
    <w:p w14:paraId="3A5C1BFE"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Seventy-three percent of respondents indicated that medicines were acquired through purchase, while 27% came from donations (Table 2). All respondents (100%) affirmed that storage infrastructure was well-organized, well-located, clean, and secure.</w:t>
      </w:r>
    </w:p>
    <w:p w14:paraId="7AAAB091"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Table 2</w:t>
      </w:r>
      <w:r w:rsidRPr="008B2320">
        <w:rPr>
          <w:rFonts w:ascii="Times New Roman" w:eastAsia="Times New Roman" w:hAnsi="Times New Roman" w:cs="Times New Roman"/>
          <w:color w:val="0F1115"/>
          <w:kern w:val="0"/>
          <w14:ligatures w14:val="none"/>
        </w:rPr>
        <w:br/>
        <w:t>*Mode of Drug Acquisition (N=15)*</w:t>
      </w:r>
    </w:p>
    <w:tbl>
      <w:tblPr>
        <w:tblW w:w="478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92"/>
        <w:gridCol w:w="1409"/>
        <w:gridCol w:w="1488"/>
      </w:tblGrid>
      <w:tr w:rsidR="008B2320" w:rsidRPr="004151DE" w14:paraId="6CB03DC5" w14:textId="77777777" w:rsidTr="004151DE">
        <w:trPr>
          <w:tblHeader/>
        </w:trPr>
        <w:tc>
          <w:tcPr>
            <w:tcW w:w="1918" w:type="dxa"/>
            <w:tcBorders>
              <w:top w:val="single" w:sz="4" w:space="0" w:color="auto"/>
              <w:bottom w:val="single" w:sz="4" w:space="0" w:color="auto"/>
            </w:tcBorders>
            <w:tcMar>
              <w:top w:w="150" w:type="dxa"/>
              <w:left w:w="0" w:type="dxa"/>
              <w:bottom w:w="150" w:type="dxa"/>
              <w:right w:w="240" w:type="dxa"/>
            </w:tcMar>
            <w:vAlign w:val="center"/>
            <w:hideMark/>
          </w:tcPr>
          <w:p w14:paraId="0144ADF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Mode</w:t>
            </w:r>
          </w:p>
        </w:tc>
        <w:tc>
          <w:tcPr>
            <w:tcW w:w="1381" w:type="dxa"/>
            <w:tcBorders>
              <w:top w:val="single" w:sz="4" w:space="0" w:color="auto"/>
              <w:bottom w:val="single" w:sz="4" w:space="0" w:color="auto"/>
            </w:tcBorders>
            <w:tcMar>
              <w:top w:w="150" w:type="dxa"/>
              <w:left w:w="240" w:type="dxa"/>
              <w:bottom w:w="150" w:type="dxa"/>
              <w:right w:w="240" w:type="dxa"/>
            </w:tcMar>
            <w:vAlign w:val="center"/>
            <w:hideMark/>
          </w:tcPr>
          <w:p w14:paraId="42D2261C"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Frequency (n)</w:t>
            </w:r>
          </w:p>
        </w:tc>
        <w:tc>
          <w:tcPr>
            <w:tcW w:w="1490" w:type="dxa"/>
            <w:tcBorders>
              <w:top w:val="single" w:sz="4" w:space="0" w:color="auto"/>
              <w:bottom w:val="single" w:sz="4" w:space="0" w:color="auto"/>
            </w:tcBorders>
            <w:tcMar>
              <w:top w:w="150" w:type="dxa"/>
              <w:left w:w="240" w:type="dxa"/>
              <w:bottom w:w="150" w:type="dxa"/>
              <w:right w:w="240" w:type="dxa"/>
            </w:tcMar>
            <w:vAlign w:val="center"/>
            <w:hideMark/>
          </w:tcPr>
          <w:p w14:paraId="130CCA0E"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Percentage (%)</w:t>
            </w:r>
          </w:p>
        </w:tc>
      </w:tr>
      <w:tr w:rsidR="008B2320" w:rsidRPr="004151DE" w14:paraId="08B77410" w14:textId="77777777" w:rsidTr="004151DE">
        <w:tc>
          <w:tcPr>
            <w:tcW w:w="1918" w:type="dxa"/>
            <w:tcBorders>
              <w:top w:val="single" w:sz="4" w:space="0" w:color="auto"/>
            </w:tcBorders>
            <w:tcMar>
              <w:top w:w="150" w:type="dxa"/>
              <w:left w:w="0" w:type="dxa"/>
              <w:bottom w:w="150" w:type="dxa"/>
              <w:right w:w="240" w:type="dxa"/>
            </w:tcMar>
            <w:vAlign w:val="center"/>
            <w:hideMark/>
          </w:tcPr>
          <w:p w14:paraId="403EA1BB"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Purchase</w:t>
            </w:r>
          </w:p>
        </w:tc>
        <w:tc>
          <w:tcPr>
            <w:tcW w:w="1381" w:type="dxa"/>
            <w:tcBorders>
              <w:top w:val="single" w:sz="4" w:space="0" w:color="auto"/>
            </w:tcBorders>
            <w:tcMar>
              <w:top w:w="150" w:type="dxa"/>
              <w:left w:w="240" w:type="dxa"/>
              <w:bottom w:w="150" w:type="dxa"/>
              <w:right w:w="240" w:type="dxa"/>
            </w:tcMar>
            <w:vAlign w:val="center"/>
            <w:hideMark/>
          </w:tcPr>
          <w:p w14:paraId="3DCF63D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11</w:t>
            </w:r>
          </w:p>
        </w:tc>
        <w:tc>
          <w:tcPr>
            <w:tcW w:w="1490" w:type="dxa"/>
            <w:tcBorders>
              <w:top w:val="single" w:sz="4" w:space="0" w:color="auto"/>
            </w:tcBorders>
            <w:tcMar>
              <w:top w:w="150" w:type="dxa"/>
              <w:left w:w="240" w:type="dxa"/>
              <w:bottom w:w="150" w:type="dxa"/>
              <w:right w:w="0" w:type="dxa"/>
            </w:tcMar>
            <w:vAlign w:val="center"/>
            <w:hideMark/>
          </w:tcPr>
          <w:p w14:paraId="58351D7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73.3</w:t>
            </w:r>
          </w:p>
        </w:tc>
      </w:tr>
      <w:tr w:rsidR="008B2320" w:rsidRPr="004151DE" w14:paraId="5CF091A3" w14:textId="77777777" w:rsidTr="004151DE">
        <w:tc>
          <w:tcPr>
            <w:tcW w:w="1918" w:type="dxa"/>
            <w:tcMar>
              <w:top w:w="150" w:type="dxa"/>
              <w:left w:w="0" w:type="dxa"/>
              <w:bottom w:w="150" w:type="dxa"/>
              <w:right w:w="240" w:type="dxa"/>
            </w:tcMar>
            <w:vAlign w:val="center"/>
            <w:hideMark/>
          </w:tcPr>
          <w:p w14:paraId="00EC2E88"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Donation</w:t>
            </w:r>
          </w:p>
        </w:tc>
        <w:tc>
          <w:tcPr>
            <w:tcW w:w="1381" w:type="dxa"/>
            <w:tcMar>
              <w:top w:w="150" w:type="dxa"/>
              <w:left w:w="240" w:type="dxa"/>
              <w:bottom w:w="150" w:type="dxa"/>
              <w:right w:w="240" w:type="dxa"/>
            </w:tcMar>
            <w:vAlign w:val="center"/>
            <w:hideMark/>
          </w:tcPr>
          <w:p w14:paraId="7FC1CB07"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4</w:t>
            </w:r>
          </w:p>
        </w:tc>
        <w:tc>
          <w:tcPr>
            <w:tcW w:w="1490" w:type="dxa"/>
            <w:tcMar>
              <w:top w:w="150" w:type="dxa"/>
              <w:left w:w="240" w:type="dxa"/>
              <w:bottom w:w="150" w:type="dxa"/>
              <w:right w:w="0" w:type="dxa"/>
            </w:tcMar>
            <w:vAlign w:val="center"/>
            <w:hideMark/>
          </w:tcPr>
          <w:p w14:paraId="4896D18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26.7</w:t>
            </w:r>
          </w:p>
        </w:tc>
      </w:tr>
      <w:tr w:rsidR="008B2320" w:rsidRPr="004151DE" w14:paraId="0CEC8774" w14:textId="77777777" w:rsidTr="004151DE">
        <w:tc>
          <w:tcPr>
            <w:tcW w:w="1918" w:type="dxa"/>
            <w:tcMar>
              <w:top w:w="150" w:type="dxa"/>
              <w:left w:w="0" w:type="dxa"/>
              <w:bottom w:w="150" w:type="dxa"/>
              <w:right w:w="240" w:type="dxa"/>
            </w:tcMar>
            <w:vAlign w:val="center"/>
            <w:hideMark/>
          </w:tcPr>
          <w:p w14:paraId="14100E8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In-house fabrication</w:t>
            </w:r>
          </w:p>
        </w:tc>
        <w:tc>
          <w:tcPr>
            <w:tcW w:w="1381" w:type="dxa"/>
            <w:tcMar>
              <w:top w:w="150" w:type="dxa"/>
              <w:left w:w="240" w:type="dxa"/>
              <w:bottom w:w="150" w:type="dxa"/>
              <w:right w:w="240" w:type="dxa"/>
            </w:tcMar>
            <w:vAlign w:val="center"/>
            <w:hideMark/>
          </w:tcPr>
          <w:p w14:paraId="4709411B"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0</w:t>
            </w:r>
          </w:p>
        </w:tc>
        <w:tc>
          <w:tcPr>
            <w:tcW w:w="1490" w:type="dxa"/>
            <w:tcMar>
              <w:top w:w="150" w:type="dxa"/>
              <w:left w:w="240" w:type="dxa"/>
              <w:bottom w:w="150" w:type="dxa"/>
              <w:right w:w="0" w:type="dxa"/>
            </w:tcMar>
            <w:vAlign w:val="center"/>
            <w:hideMark/>
          </w:tcPr>
          <w:p w14:paraId="49138545"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0.0</w:t>
            </w:r>
          </w:p>
        </w:tc>
      </w:tr>
    </w:tbl>
    <w:p w14:paraId="69152961"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3.3 Stock-Outs and Overstocking</w:t>
      </w:r>
    </w:p>
    <w:p w14:paraId="6BE16FF0"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All 15 respondents (100%) reported experiencing both stock-outs and overstocking during the 2023–2025 period.</w:t>
      </w:r>
    </w:p>
    <w:p w14:paraId="42903423"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lastRenderedPageBreak/>
        <w:t>3.4 Drug Expiration Rates</w:t>
      </w:r>
    </w:p>
    <w:p w14:paraId="312CF669"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Expiration rates were alarmingly high and increased over time (Table 3). The overall expiration rate rose from 14.49% in 2023 to 35.18% in 2025, far exceeding the WHO-recommended threshold of &lt;5%.</w:t>
      </w:r>
    </w:p>
    <w:p w14:paraId="24F5EFDD"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Table 3</w:t>
      </w:r>
      <w:r w:rsidRPr="008B2320">
        <w:rPr>
          <w:rFonts w:ascii="Times New Roman" w:eastAsia="Times New Roman" w:hAnsi="Times New Roman" w:cs="Times New Roman"/>
          <w:color w:val="0F1115"/>
          <w:kern w:val="0"/>
          <w14:ligatures w14:val="none"/>
        </w:rPr>
        <w:br/>
      </w:r>
      <w:r w:rsidRPr="008B2320">
        <w:rPr>
          <w:rFonts w:ascii="Times New Roman" w:eastAsia="Times New Roman" w:hAnsi="Times New Roman" w:cs="Times New Roman"/>
          <w:i/>
          <w:iCs/>
          <w:color w:val="0F1115"/>
          <w:kern w:val="0"/>
          <w14:ligatures w14:val="none"/>
        </w:rPr>
        <w:t>Expiration Rates by Drug Category (2023–2025)</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14"/>
        <w:gridCol w:w="1195"/>
        <w:gridCol w:w="1195"/>
        <w:gridCol w:w="955"/>
      </w:tblGrid>
      <w:tr w:rsidR="008B2320" w:rsidRPr="004151DE" w14:paraId="778B8572" w14:textId="77777777" w:rsidTr="004151D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9FFC356"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Drug 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3F569B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2023</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E6A45E"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2024</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33C9E2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2025</w:t>
            </w:r>
          </w:p>
        </w:tc>
      </w:tr>
      <w:tr w:rsidR="008B2320" w:rsidRPr="004151DE" w14:paraId="1BA1B06F" w14:textId="77777777" w:rsidTr="004151DE">
        <w:tc>
          <w:tcPr>
            <w:tcW w:w="0" w:type="auto"/>
            <w:tcBorders>
              <w:top w:val="single" w:sz="4" w:space="0" w:color="auto"/>
            </w:tcBorders>
            <w:tcMar>
              <w:top w:w="150" w:type="dxa"/>
              <w:left w:w="0" w:type="dxa"/>
              <w:bottom w:w="150" w:type="dxa"/>
              <w:right w:w="240" w:type="dxa"/>
            </w:tcMar>
            <w:vAlign w:val="center"/>
            <w:hideMark/>
          </w:tcPr>
          <w:p w14:paraId="3E8B536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Antibiotics</w:t>
            </w:r>
          </w:p>
        </w:tc>
        <w:tc>
          <w:tcPr>
            <w:tcW w:w="0" w:type="auto"/>
            <w:tcBorders>
              <w:top w:val="single" w:sz="4" w:space="0" w:color="auto"/>
            </w:tcBorders>
            <w:tcMar>
              <w:top w:w="150" w:type="dxa"/>
              <w:left w:w="240" w:type="dxa"/>
              <w:bottom w:w="150" w:type="dxa"/>
              <w:right w:w="240" w:type="dxa"/>
            </w:tcMar>
            <w:vAlign w:val="center"/>
            <w:hideMark/>
          </w:tcPr>
          <w:p w14:paraId="020CAE4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17.08%</w:t>
            </w:r>
          </w:p>
        </w:tc>
        <w:tc>
          <w:tcPr>
            <w:tcW w:w="0" w:type="auto"/>
            <w:tcBorders>
              <w:top w:val="single" w:sz="4" w:space="0" w:color="auto"/>
            </w:tcBorders>
            <w:tcMar>
              <w:top w:w="150" w:type="dxa"/>
              <w:left w:w="240" w:type="dxa"/>
              <w:bottom w:w="150" w:type="dxa"/>
              <w:right w:w="240" w:type="dxa"/>
            </w:tcMar>
            <w:vAlign w:val="center"/>
            <w:hideMark/>
          </w:tcPr>
          <w:p w14:paraId="3B85C0CA"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19.48%</w:t>
            </w:r>
          </w:p>
        </w:tc>
        <w:tc>
          <w:tcPr>
            <w:tcW w:w="0" w:type="auto"/>
            <w:tcBorders>
              <w:top w:val="single" w:sz="4" w:space="0" w:color="auto"/>
            </w:tcBorders>
            <w:tcMar>
              <w:top w:w="150" w:type="dxa"/>
              <w:left w:w="240" w:type="dxa"/>
              <w:bottom w:w="150" w:type="dxa"/>
              <w:right w:w="0" w:type="dxa"/>
            </w:tcMar>
            <w:vAlign w:val="center"/>
            <w:hideMark/>
          </w:tcPr>
          <w:p w14:paraId="1541E2AC"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16.38%</w:t>
            </w:r>
          </w:p>
        </w:tc>
      </w:tr>
      <w:tr w:rsidR="008B2320" w:rsidRPr="004151DE" w14:paraId="1999E846" w14:textId="77777777" w:rsidTr="004151DE">
        <w:tc>
          <w:tcPr>
            <w:tcW w:w="0" w:type="auto"/>
            <w:tcMar>
              <w:top w:w="150" w:type="dxa"/>
              <w:left w:w="0" w:type="dxa"/>
              <w:bottom w:w="150" w:type="dxa"/>
              <w:right w:w="240" w:type="dxa"/>
            </w:tcMar>
            <w:vAlign w:val="center"/>
            <w:hideMark/>
          </w:tcPr>
          <w:p w14:paraId="24FA64E6"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Antimalarials</w:t>
            </w:r>
          </w:p>
        </w:tc>
        <w:tc>
          <w:tcPr>
            <w:tcW w:w="0" w:type="auto"/>
            <w:tcMar>
              <w:top w:w="150" w:type="dxa"/>
              <w:left w:w="240" w:type="dxa"/>
              <w:bottom w:w="150" w:type="dxa"/>
              <w:right w:w="240" w:type="dxa"/>
            </w:tcMar>
            <w:vAlign w:val="center"/>
            <w:hideMark/>
          </w:tcPr>
          <w:p w14:paraId="34FD857A"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9.63%</w:t>
            </w:r>
          </w:p>
        </w:tc>
        <w:tc>
          <w:tcPr>
            <w:tcW w:w="0" w:type="auto"/>
            <w:tcMar>
              <w:top w:w="150" w:type="dxa"/>
              <w:left w:w="240" w:type="dxa"/>
              <w:bottom w:w="150" w:type="dxa"/>
              <w:right w:w="240" w:type="dxa"/>
            </w:tcMar>
            <w:vAlign w:val="center"/>
            <w:hideMark/>
          </w:tcPr>
          <w:p w14:paraId="7CF65C7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14.59%</w:t>
            </w:r>
          </w:p>
        </w:tc>
        <w:tc>
          <w:tcPr>
            <w:tcW w:w="0" w:type="auto"/>
            <w:tcMar>
              <w:top w:w="150" w:type="dxa"/>
              <w:left w:w="240" w:type="dxa"/>
              <w:bottom w:w="150" w:type="dxa"/>
              <w:right w:w="0" w:type="dxa"/>
            </w:tcMar>
            <w:vAlign w:val="center"/>
            <w:hideMark/>
          </w:tcPr>
          <w:p w14:paraId="1245C4C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8.72%</w:t>
            </w:r>
          </w:p>
        </w:tc>
      </w:tr>
      <w:tr w:rsidR="008B2320" w:rsidRPr="004151DE" w14:paraId="3E09DDFA" w14:textId="77777777" w:rsidTr="004151DE">
        <w:tc>
          <w:tcPr>
            <w:tcW w:w="0" w:type="auto"/>
            <w:tcMar>
              <w:top w:w="150" w:type="dxa"/>
              <w:left w:w="0" w:type="dxa"/>
              <w:bottom w:w="150" w:type="dxa"/>
              <w:right w:w="240" w:type="dxa"/>
            </w:tcMar>
            <w:vAlign w:val="center"/>
            <w:hideMark/>
          </w:tcPr>
          <w:p w14:paraId="407075D5"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Anti-inflammatories</w:t>
            </w:r>
          </w:p>
        </w:tc>
        <w:tc>
          <w:tcPr>
            <w:tcW w:w="0" w:type="auto"/>
            <w:tcMar>
              <w:top w:w="150" w:type="dxa"/>
              <w:left w:w="240" w:type="dxa"/>
              <w:bottom w:w="150" w:type="dxa"/>
              <w:right w:w="240" w:type="dxa"/>
            </w:tcMar>
            <w:vAlign w:val="center"/>
            <w:hideMark/>
          </w:tcPr>
          <w:p w14:paraId="35655342"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17.49%</w:t>
            </w:r>
          </w:p>
        </w:tc>
        <w:tc>
          <w:tcPr>
            <w:tcW w:w="0" w:type="auto"/>
            <w:tcMar>
              <w:top w:w="150" w:type="dxa"/>
              <w:left w:w="240" w:type="dxa"/>
              <w:bottom w:w="150" w:type="dxa"/>
              <w:right w:w="240" w:type="dxa"/>
            </w:tcMar>
            <w:vAlign w:val="center"/>
            <w:hideMark/>
          </w:tcPr>
          <w:p w14:paraId="0B37CD84"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16.59%</w:t>
            </w:r>
          </w:p>
        </w:tc>
        <w:tc>
          <w:tcPr>
            <w:tcW w:w="0" w:type="auto"/>
            <w:tcMar>
              <w:top w:w="150" w:type="dxa"/>
              <w:left w:w="240" w:type="dxa"/>
              <w:bottom w:w="150" w:type="dxa"/>
              <w:right w:w="0" w:type="dxa"/>
            </w:tcMar>
            <w:vAlign w:val="center"/>
            <w:hideMark/>
          </w:tcPr>
          <w:p w14:paraId="76D3FFD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kern w:val="0"/>
                <w:sz w:val="22"/>
                <w:szCs w:val="22"/>
                <w14:ligatures w14:val="none"/>
              </w:rPr>
              <w:t>10.08%</w:t>
            </w:r>
          </w:p>
        </w:tc>
      </w:tr>
      <w:tr w:rsidR="008B2320" w:rsidRPr="004151DE" w14:paraId="36975E77" w14:textId="77777777" w:rsidTr="004151DE">
        <w:tc>
          <w:tcPr>
            <w:tcW w:w="0" w:type="auto"/>
            <w:tcMar>
              <w:top w:w="150" w:type="dxa"/>
              <w:left w:w="0" w:type="dxa"/>
              <w:bottom w:w="150" w:type="dxa"/>
              <w:right w:w="240" w:type="dxa"/>
            </w:tcMar>
            <w:vAlign w:val="center"/>
            <w:hideMark/>
          </w:tcPr>
          <w:p w14:paraId="1B958CA0"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b/>
                <w:bCs/>
                <w:kern w:val="0"/>
                <w:sz w:val="22"/>
                <w:szCs w:val="22"/>
                <w14:ligatures w14:val="none"/>
              </w:rPr>
              <w:t>Overall Expiration Rate</w:t>
            </w:r>
          </w:p>
        </w:tc>
        <w:tc>
          <w:tcPr>
            <w:tcW w:w="0" w:type="auto"/>
            <w:tcMar>
              <w:top w:w="150" w:type="dxa"/>
              <w:left w:w="240" w:type="dxa"/>
              <w:bottom w:w="150" w:type="dxa"/>
              <w:right w:w="240" w:type="dxa"/>
            </w:tcMar>
            <w:vAlign w:val="center"/>
            <w:hideMark/>
          </w:tcPr>
          <w:p w14:paraId="53409091"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b/>
                <w:bCs/>
                <w:kern w:val="0"/>
                <w:sz w:val="22"/>
                <w:szCs w:val="22"/>
                <w14:ligatures w14:val="none"/>
              </w:rPr>
              <w:t>14.49%</w:t>
            </w:r>
          </w:p>
        </w:tc>
        <w:tc>
          <w:tcPr>
            <w:tcW w:w="0" w:type="auto"/>
            <w:tcMar>
              <w:top w:w="150" w:type="dxa"/>
              <w:left w:w="240" w:type="dxa"/>
              <w:bottom w:w="150" w:type="dxa"/>
              <w:right w:w="240" w:type="dxa"/>
            </w:tcMar>
            <w:vAlign w:val="center"/>
            <w:hideMark/>
          </w:tcPr>
          <w:p w14:paraId="6EF6FE96"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b/>
                <w:bCs/>
                <w:kern w:val="0"/>
                <w:sz w:val="22"/>
                <w:szCs w:val="22"/>
                <w14:ligatures w14:val="none"/>
              </w:rPr>
              <w:t>16.79%</w:t>
            </w:r>
          </w:p>
        </w:tc>
        <w:tc>
          <w:tcPr>
            <w:tcW w:w="0" w:type="auto"/>
            <w:tcMar>
              <w:top w:w="150" w:type="dxa"/>
              <w:left w:w="240" w:type="dxa"/>
              <w:bottom w:w="150" w:type="dxa"/>
              <w:right w:w="0" w:type="dxa"/>
            </w:tcMar>
            <w:vAlign w:val="center"/>
            <w:hideMark/>
          </w:tcPr>
          <w:p w14:paraId="1491C09F" w14:textId="77777777" w:rsidR="008B2320" w:rsidRPr="004151DE" w:rsidRDefault="008B2320" w:rsidP="004151DE">
            <w:pPr>
              <w:spacing w:after="0" w:line="240" w:lineRule="auto"/>
              <w:rPr>
                <w:rFonts w:ascii="Times New Roman" w:eastAsia="Times New Roman" w:hAnsi="Times New Roman" w:cs="Times New Roman"/>
                <w:kern w:val="0"/>
                <w:sz w:val="22"/>
                <w:szCs w:val="22"/>
                <w14:ligatures w14:val="none"/>
              </w:rPr>
            </w:pPr>
            <w:r w:rsidRPr="004151DE">
              <w:rPr>
                <w:rFonts w:ascii="Times New Roman" w:eastAsia="Times New Roman" w:hAnsi="Times New Roman" w:cs="Times New Roman"/>
                <w:b/>
                <w:bCs/>
                <w:kern w:val="0"/>
                <w:sz w:val="22"/>
                <w:szCs w:val="22"/>
                <w14:ligatures w14:val="none"/>
              </w:rPr>
              <w:t>35.18%</w:t>
            </w:r>
          </w:p>
        </w:tc>
      </w:tr>
    </w:tbl>
    <w:p w14:paraId="680FD8BD" w14:textId="77777777" w:rsidR="008B2320" w:rsidRPr="008B2320" w:rsidRDefault="008B2320" w:rsidP="008B2320">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8B2320">
        <w:rPr>
          <w:rFonts w:ascii="Times New Roman" w:eastAsia="Times New Roman" w:hAnsi="Times New Roman" w:cs="Times New Roman"/>
          <w:b/>
          <w:bCs/>
          <w:color w:val="0F1115"/>
          <w:kern w:val="0"/>
          <w14:ligatures w14:val="none"/>
        </w:rPr>
        <w:t>3.5 Storage Organization and Supply Chain Conformity</w:t>
      </w:r>
    </w:p>
    <w:p w14:paraId="42FABEE0"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Direct observation revealed that products were stored according to best practices: visible expiration dates, FEFO (First-Expiry-First-Out) principle, alphabetical order, therapeutic category, and proper clearance from walls and floors. However, 27% of respondents considered the supply chain non-conforming in ensuring regular supply.</w:t>
      </w:r>
    </w:p>
    <w:p w14:paraId="287966A7"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4. Discussion</w:t>
      </w:r>
    </w:p>
    <w:p w14:paraId="5463CEE3"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This study provides a critical assessment of pharmaceutical stock management at CAMESE/Equateur. Our key finding is a striking paradox: while physical storage infrastructure meets normative standards, operational outcomes are severely deficient, as evidenced by universal stock-outs, overstocking, and expiration rates as high as 35.18% in 2025.</w:t>
      </w:r>
    </w:p>
    <w:p w14:paraId="1404B97A"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The predominance of male staff (83.3%) in stock management roles aligns with findings from the World Health Organization (WHO, 2019) and the World Bank (2020), which highlight </w:t>
      </w:r>
      <w:r w:rsidRPr="008B2320">
        <w:rPr>
          <w:rFonts w:ascii="Times New Roman" w:eastAsia="Times New Roman" w:hAnsi="Times New Roman" w:cs="Times New Roman"/>
          <w:color w:val="0F1115"/>
          <w:kern w:val="0"/>
          <w14:ligatures w14:val="none"/>
        </w:rPr>
        <w:lastRenderedPageBreak/>
        <w:t>persistent gender inequalities in health governance positions across Africa, despite women’s strong presence in the clinical workforce.</w:t>
      </w:r>
    </w:p>
    <w:p w14:paraId="144C3D16"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The majority acquisition of medicines through purchase (73%) is consistent with WHO observations in low- and middle-income countries, where limited local production necessitates institutional procurement (WHO, 2017). The 27% donation rate, while complementary, may introduce supply unpredictability, a factor identified by </w:t>
      </w:r>
      <w:proofErr w:type="spellStart"/>
      <w:r w:rsidRPr="008B2320">
        <w:rPr>
          <w:rFonts w:ascii="Times New Roman" w:eastAsia="Times New Roman" w:hAnsi="Times New Roman" w:cs="Times New Roman"/>
          <w:color w:val="0F1115"/>
          <w:kern w:val="0"/>
          <w14:ligatures w14:val="none"/>
        </w:rPr>
        <w:t>Attewel</w:t>
      </w:r>
      <w:proofErr w:type="spellEnd"/>
      <w:r w:rsidRPr="008B2320">
        <w:rPr>
          <w:rFonts w:ascii="Times New Roman" w:eastAsia="Times New Roman" w:hAnsi="Times New Roman" w:cs="Times New Roman"/>
          <w:color w:val="0F1115"/>
          <w:kern w:val="0"/>
          <w14:ligatures w14:val="none"/>
        </w:rPr>
        <w:t xml:space="preserve"> et al. (2013) as contributing to stock imbalances.</w:t>
      </w:r>
    </w:p>
    <w:p w14:paraId="4BD03E92"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Our most concerning finding—expiration rates reaching 35.18%—is substantially higher than the WHO-recommended maximum of 5%. This exceeds rates reported in similar African contexts. For example, </w:t>
      </w:r>
      <w:proofErr w:type="spellStart"/>
      <w:r w:rsidRPr="008B2320">
        <w:rPr>
          <w:rFonts w:ascii="Times New Roman" w:eastAsia="Times New Roman" w:hAnsi="Times New Roman" w:cs="Times New Roman"/>
          <w:color w:val="0F1115"/>
          <w:kern w:val="0"/>
          <w14:ligatures w14:val="none"/>
        </w:rPr>
        <w:t>Gansou</w:t>
      </w:r>
      <w:proofErr w:type="spellEnd"/>
      <w:r w:rsidRPr="008B2320">
        <w:rPr>
          <w:rFonts w:ascii="Times New Roman" w:eastAsia="Times New Roman" w:hAnsi="Times New Roman" w:cs="Times New Roman"/>
          <w:color w:val="0F1115"/>
          <w:kern w:val="0"/>
          <w14:ligatures w14:val="none"/>
        </w:rPr>
        <w:t xml:space="preserve"> (2021) found over 70% availability of essential drugs in a Malian hospital pharmacy, implying lower expiration. The high expiration observed in our study likely results from the co-occurrence of overstocking (100% reported) and poor demand forecasting, as noted by Ballou and </w:t>
      </w:r>
      <w:proofErr w:type="spellStart"/>
      <w:r w:rsidRPr="008B2320">
        <w:rPr>
          <w:rFonts w:ascii="Times New Roman" w:eastAsia="Times New Roman" w:hAnsi="Times New Roman" w:cs="Times New Roman"/>
          <w:color w:val="0F1115"/>
          <w:kern w:val="0"/>
          <w14:ligatures w14:val="none"/>
        </w:rPr>
        <w:t>Pazer</w:t>
      </w:r>
      <w:proofErr w:type="spellEnd"/>
      <w:r w:rsidRPr="008B2320">
        <w:rPr>
          <w:rFonts w:ascii="Times New Roman" w:eastAsia="Times New Roman" w:hAnsi="Times New Roman" w:cs="Times New Roman"/>
          <w:color w:val="0F1115"/>
          <w:kern w:val="0"/>
          <w14:ligatures w14:val="none"/>
        </w:rPr>
        <w:t xml:space="preserve"> (2012). This is further evidenced by the fact that despite 100% of respondents reporting proper FEFO implementation in observation checklists, expiration remained </w:t>
      </w:r>
      <w:proofErr w:type="gramStart"/>
      <w:r w:rsidRPr="008B2320">
        <w:rPr>
          <w:rFonts w:ascii="Times New Roman" w:eastAsia="Times New Roman" w:hAnsi="Times New Roman" w:cs="Times New Roman"/>
          <w:color w:val="0F1115"/>
          <w:kern w:val="0"/>
          <w14:ligatures w14:val="none"/>
        </w:rPr>
        <w:t>rampant—suggesting</w:t>
      </w:r>
      <w:proofErr w:type="gramEnd"/>
      <w:r w:rsidRPr="008B2320">
        <w:rPr>
          <w:rFonts w:ascii="Times New Roman" w:eastAsia="Times New Roman" w:hAnsi="Times New Roman" w:cs="Times New Roman"/>
          <w:color w:val="0F1115"/>
          <w:kern w:val="0"/>
          <w14:ligatures w14:val="none"/>
        </w:rPr>
        <w:t xml:space="preserve"> a gap between stated procedures and actual practice.</w:t>
      </w:r>
    </w:p>
    <w:p w14:paraId="0EFD4F1E"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The universal experience of both stock-outs and overstocking is a classic indicator of weak inventory planning. As USAID (2010) and Management Sciences for Health have documented, such paradoxical outcomes stem from inadequate consumption data, unreliable suppliers, and lack of computerized management systems. At CAMESE, the continued reliance on manual stock cards (fiches de stock) rather than an integrated digital system limits real-time visibility and proactive replenishment.</w:t>
      </w:r>
    </w:p>
    <w:p w14:paraId="26D0F0D7"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Our study has several limitations. The small sample size (n=15) and single-site design limit generalizability. Additionally, reliance on self-reported data may introduce social desirability bias. Finally, financial constraints and distribution logistics were not directly measured.</w:t>
      </w:r>
    </w:p>
    <w:p w14:paraId="38B431C3"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5. Conclusion</w:t>
      </w:r>
    </w:p>
    <w:p w14:paraId="73E5CE84"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lastRenderedPageBreak/>
        <w:t>This study concludes that pharmaceutical stock management at CAMESE/Equateur is characterized by a critical operational failure: despite adequate physical storage infrastructure, the center experiences near-universal stock-outs, overstocking, and catastrophic drug expiration rates that violate WHO standards. The absence of a computerized inventory system, inadequate demand forecasting, and likely poor adherence to FEFO principles are the main drivers.</w:t>
      </w:r>
    </w:p>
    <w:p w14:paraId="5230A57F"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To address these deficiencies, we recommend:</w:t>
      </w:r>
    </w:p>
    <w:p w14:paraId="2F49E99B" w14:textId="77777777" w:rsidR="008B2320" w:rsidRPr="008B2320" w:rsidRDefault="008B2320" w:rsidP="008B23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Immediate implementation of a digital stock management system</w:t>
      </w:r>
      <w:r w:rsidRPr="008B2320">
        <w:rPr>
          <w:rFonts w:ascii="Times New Roman" w:eastAsia="Times New Roman" w:hAnsi="Times New Roman" w:cs="Times New Roman"/>
          <w:color w:val="0F1115"/>
          <w:kern w:val="0"/>
          <w14:ligatures w14:val="none"/>
        </w:rPr>
        <w:t> (e.g., API Soft or open-source LMIS) to enable real-time tracking.</w:t>
      </w:r>
    </w:p>
    <w:p w14:paraId="4193AB70" w14:textId="77777777" w:rsidR="008B2320" w:rsidRPr="008B2320" w:rsidRDefault="008B2320" w:rsidP="008B23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Mandatory monthly physical inventory reconciliation</w:t>
      </w:r>
      <w:r w:rsidRPr="008B2320">
        <w:rPr>
          <w:rFonts w:ascii="Times New Roman" w:eastAsia="Times New Roman" w:hAnsi="Times New Roman" w:cs="Times New Roman"/>
          <w:color w:val="0F1115"/>
          <w:kern w:val="0"/>
          <w14:ligatures w14:val="none"/>
        </w:rPr>
        <w:t> with data entry into the digital system.</w:t>
      </w:r>
    </w:p>
    <w:p w14:paraId="5924B024" w14:textId="77777777" w:rsidR="008B2320" w:rsidRPr="008B2320" w:rsidRDefault="008B2320" w:rsidP="008B23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Quarterly staff training</w:t>
      </w:r>
      <w:r w:rsidRPr="008B2320">
        <w:rPr>
          <w:rFonts w:ascii="Times New Roman" w:eastAsia="Times New Roman" w:hAnsi="Times New Roman" w:cs="Times New Roman"/>
          <w:color w:val="0F1115"/>
          <w:kern w:val="0"/>
          <w14:ligatures w14:val="none"/>
        </w:rPr>
        <w:t> on FEFO, demand forecasting using historical consumption data, and inventory software use.</w:t>
      </w:r>
    </w:p>
    <w:p w14:paraId="6F8647B7" w14:textId="77777777" w:rsidR="008B2320" w:rsidRPr="008B2320" w:rsidRDefault="008B2320" w:rsidP="008B23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Installation of temperature/humidity monitoring</w:t>
      </w:r>
      <w:r w:rsidRPr="008B2320">
        <w:rPr>
          <w:rFonts w:ascii="Times New Roman" w:eastAsia="Times New Roman" w:hAnsi="Times New Roman" w:cs="Times New Roman"/>
          <w:color w:val="0F1115"/>
          <w:kern w:val="0"/>
          <w14:ligatures w14:val="none"/>
        </w:rPr>
        <w:t> and automated alerts in storage areas.</w:t>
      </w:r>
    </w:p>
    <w:p w14:paraId="0D7A343D" w14:textId="77777777" w:rsidR="008B2320" w:rsidRPr="008B2320" w:rsidRDefault="008B2320" w:rsidP="008B23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b/>
          <w:bCs/>
          <w:color w:val="0F1115"/>
          <w:kern w:val="0"/>
          <w14:ligatures w14:val="none"/>
        </w:rPr>
        <w:t>Establishment of a supply chain review committee</w:t>
      </w:r>
      <w:r w:rsidRPr="008B2320">
        <w:rPr>
          <w:rFonts w:ascii="Times New Roman" w:eastAsia="Times New Roman" w:hAnsi="Times New Roman" w:cs="Times New Roman"/>
          <w:color w:val="0F1115"/>
          <w:kern w:val="0"/>
          <w14:ligatures w14:val="none"/>
        </w:rPr>
        <w:t> to coordinate with donors and streamline procurement.</w:t>
      </w:r>
    </w:p>
    <w:p w14:paraId="2432CC46"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Without these interventions, the CAMESE center will continue to undermine public health in Équateur Province by failing to deliver essential medicines reliably.</w:t>
      </w:r>
    </w:p>
    <w:p w14:paraId="04DE0A96" w14:textId="77777777" w:rsidR="008B2320" w:rsidRPr="008B2320" w:rsidRDefault="008B2320" w:rsidP="008B232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8B2320">
        <w:rPr>
          <w:rFonts w:ascii="Times New Roman" w:eastAsia="Times New Roman" w:hAnsi="Times New Roman" w:cs="Times New Roman"/>
          <w:b/>
          <w:bCs/>
          <w:color w:val="0F1115"/>
          <w:kern w:val="0"/>
          <w:sz w:val="30"/>
          <w:szCs w:val="30"/>
          <w14:ligatures w14:val="none"/>
        </w:rPr>
        <w:t>References</w:t>
      </w:r>
    </w:p>
    <w:p w14:paraId="5548CACC"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Attewel, R., et al. (2013). Essential medicines supply chain in sub-Saharan Africa: Key factors contributing to stock-outs. </w:t>
      </w:r>
      <w:r w:rsidRPr="008B2320">
        <w:rPr>
          <w:rFonts w:ascii="Times New Roman" w:eastAsia="Times New Roman" w:hAnsi="Times New Roman" w:cs="Times New Roman"/>
          <w:i/>
          <w:iCs/>
          <w:color w:val="0F1115"/>
          <w:kern w:val="0"/>
          <w14:ligatures w14:val="none"/>
        </w:rPr>
        <w:t>Journal of Pharmaceutical Policy and Practice</w:t>
      </w:r>
      <w:r w:rsidRPr="008B2320">
        <w:rPr>
          <w:rFonts w:ascii="Times New Roman" w:eastAsia="Times New Roman" w:hAnsi="Times New Roman" w:cs="Times New Roman"/>
          <w:color w:val="0F1115"/>
          <w:kern w:val="0"/>
          <w14:ligatures w14:val="none"/>
        </w:rPr>
        <w:t>, 6(1), 1-9.</w:t>
      </w:r>
    </w:p>
    <w:p w14:paraId="6498D7B0"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Ballou, R. H., &amp; </w:t>
      </w:r>
      <w:proofErr w:type="spellStart"/>
      <w:r w:rsidRPr="008B2320">
        <w:rPr>
          <w:rFonts w:ascii="Times New Roman" w:eastAsia="Times New Roman" w:hAnsi="Times New Roman" w:cs="Times New Roman"/>
          <w:color w:val="0F1115"/>
          <w:kern w:val="0"/>
          <w14:ligatures w14:val="none"/>
        </w:rPr>
        <w:t>Pazer</w:t>
      </w:r>
      <w:proofErr w:type="spellEnd"/>
      <w:r w:rsidRPr="008B2320">
        <w:rPr>
          <w:rFonts w:ascii="Times New Roman" w:eastAsia="Times New Roman" w:hAnsi="Times New Roman" w:cs="Times New Roman"/>
          <w:color w:val="0F1115"/>
          <w:kern w:val="0"/>
          <w14:ligatures w14:val="none"/>
        </w:rPr>
        <w:t>, H. L. (2012). </w:t>
      </w:r>
      <w:r w:rsidRPr="008B2320">
        <w:rPr>
          <w:rFonts w:ascii="Times New Roman" w:eastAsia="Times New Roman" w:hAnsi="Times New Roman" w:cs="Times New Roman"/>
          <w:i/>
          <w:iCs/>
          <w:color w:val="0F1115"/>
          <w:kern w:val="0"/>
          <w14:ligatures w14:val="none"/>
        </w:rPr>
        <w:t>Business logistics/supply chain management</w:t>
      </w:r>
      <w:r w:rsidRPr="008B2320">
        <w:rPr>
          <w:rFonts w:ascii="Times New Roman" w:eastAsia="Times New Roman" w:hAnsi="Times New Roman" w:cs="Times New Roman"/>
          <w:color w:val="0F1115"/>
          <w:kern w:val="0"/>
          <w14:ligatures w14:val="none"/>
        </w:rPr>
        <w:t> (5th ed.). Pearson.</w:t>
      </w:r>
    </w:p>
    <w:p w14:paraId="56976423"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8B2320">
        <w:rPr>
          <w:rFonts w:ascii="Times New Roman" w:eastAsia="Times New Roman" w:hAnsi="Times New Roman" w:cs="Times New Roman"/>
          <w:color w:val="0F1115"/>
          <w:kern w:val="0"/>
          <w14:ligatures w14:val="none"/>
        </w:rPr>
        <w:t>Cachon</w:t>
      </w:r>
      <w:proofErr w:type="spellEnd"/>
      <w:r w:rsidRPr="008B2320">
        <w:rPr>
          <w:rFonts w:ascii="Times New Roman" w:eastAsia="Times New Roman" w:hAnsi="Times New Roman" w:cs="Times New Roman"/>
          <w:color w:val="0F1115"/>
          <w:kern w:val="0"/>
          <w14:ligatures w14:val="none"/>
        </w:rPr>
        <w:t xml:space="preserve">, G. P., &amp; </w:t>
      </w:r>
      <w:proofErr w:type="spellStart"/>
      <w:r w:rsidRPr="008B2320">
        <w:rPr>
          <w:rFonts w:ascii="Times New Roman" w:eastAsia="Times New Roman" w:hAnsi="Times New Roman" w:cs="Times New Roman"/>
          <w:color w:val="0F1115"/>
          <w:kern w:val="0"/>
          <w14:ligatures w14:val="none"/>
        </w:rPr>
        <w:t>Terwiesch</w:t>
      </w:r>
      <w:proofErr w:type="spellEnd"/>
      <w:r w:rsidRPr="008B2320">
        <w:rPr>
          <w:rFonts w:ascii="Times New Roman" w:eastAsia="Times New Roman" w:hAnsi="Times New Roman" w:cs="Times New Roman"/>
          <w:color w:val="0F1115"/>
          <w:kern w:val="0"/>
          <w14:ligatures w14:val="none"/>
        </w:rPr>
        <w:t>, C. (2018). </w:t>
      </w:r>
      <w:r w:rsidRPr="008B2320">
        <w:rPr>
          <w:rFonts w:ascii="Times New Roman" w:eastAsia="Times New Roman" w:hAnsi="Times New Roman" w:cs="Times New Roman"/>
          <w:i/>
          <w:iCs/>
          <w:color w:val="0F1115"/>
          <w:kern w:val="0"/>
          <w14:ligatures w14:val="none"/>
        </w:rPr>
        <w:t>Matching supply with demand: An introduction to operations management</w:t>
      </w:r>
      <w:r w:rsidRPr="008B2320">
        <w:rPr>
          <w:rFonts w:ascii="Times New Roman" w:eastAsia="Times New Roman" w:hAnsi="Times New Roman" w:cs="Times New Roman"/>
          <w:color w:val="0F1115"/>
          <w:kern w:val="0"/>
          <w14:ligatures w14:val="none"/>
        </w:rPr>
        <w:t> (4th ed.). McGraw-Hill.</w:t>
      </w:r>
    </w:p>
    <w:p w14:paraId="08E96D75"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Christopher, M. (2016). </w:t>
      </w:r>
      <w:r w:rsidRPr="008B2320">
        <w:rPr>
          <w:rFonts w:ascii="Times New Roman" w:eastAsia="Times New Roman" w:hAnsi="Times New Roman" w:cs="Times New Roman"/>
          <w:i/>
          <w:iCs/>
          <w:color w:val="0F1115"/>
          <w:kern w:val="0"/>
          <w14:ligatures w14:val="none"/>
        </w:rPr>
        <w:t>Logistics and supply chain management</w:t>
      </w:r>
      <w:r w:rsidRPr="008B2320">
        <w:rPr>
          <w:rFonts w:ascii="Times New Roman" w:eastAsia="Times New Roman" w:hAnsi="Times New Roman" w:cs="Times New Roman"/>
          <w:color w:val="0F1115"/>
          <w:kern w:val="0"/>
          <w14:ligatures w14:val="none"/>
        </w:rPr>
        <w:t> (5th ed.). Pearson UK.</w:t>
      </w:r>
    </w:p>
    <w:p w14:paraId="7E18D3B4"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lastRenderedPageBreak/>
        <w:t>Gansou, S. P. (2021). [Stock management of essential medicines at the hospital pharmacy in Mali]. Unpublished thesis.</w:t>
      </w:r>
    </w:p>
    <w:p w14:paraId="197E950F"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 xml:space="preserve">Ministère de la Santé </w:t>
      </w:r>
      <w:proofErr w:type="spellStart"/>
      <w:r w:rsidRPr="008B2320">
        <w:rPr>
          <w:rFonts w:ascii="Times New Roman" w:eastAsia="Times New Roman" w:hAnsi="Times New Roman" w:cs="Times New Roman"/>
          <w:color w:val="0F1115"/>
          <w:kern w:val="0"/>
          <w14:ligatures w14:val="none"/>
        </w:rPr>
        <w:t>Publique</w:t>
      </w:r>
      <w:proofErr w:type="spellEnd"/>
      <w:r w:rsidRPr="008B2320">
        <w:rPr>
          <w:rFonts w:ascii="Times New Roman" w:eastAsia="Times New Roman" w:hAnsi="Times New Roman" w:cs="Times New Roman"/>
          <w:color w:val="0F1115"/>
          <w:kern w:val="0"/>
          <w14:ligatures w14:val="none"/>
        </w:rPr>
        <w:t xml:space="preserve"> / DHSA. (2000). </w:t>
      </w:r>
      <w:r w:rsidRPr="008B2320">
        <w:rPr>
          <w:rFonts w:ascii="Times New Roman" w:eastAsia="Times New Roman" w:hAnsi="Times New Roman" w:cs="Times New Roman"/>
          <w:i/>
          <w:iCs/>
          <w:color w:val="0F1115"/>
          <w:kern w:val="0"/>
          <w14:ligatures w14:val="none"/>
        </w:rPr>
        <w:t xml:space="preserve">Gestion des </w:t>
      </w:r>
      <w:proofErr w:type="spellStart"/>
      <w:r w:rsidRPr="008B2320">
        <w:rPr>
          <w:rFonts w:ascii="Times New Roman" w:eastAsia="Times New Roman" w:hAnsi="Times New Roman" w:cs="Times New Roman"/>
          <w:i/>
          <w:iCs/>
          <w:color w:val="0F1115"/>
          <w:kern w:val="0"/>
          <w14:ligatures w14:val="none"/>
        </w:rPr>
        <w:t>médicaments</w:t>
      </w:r>
      <w:proofErr w:type="spellEnd"/>
      <w:r w:rsidRPr="008B2320">
        <w:rPr>
          <w:rFonts w:ascii="Times New Roman" w:eastAsia="Times New Roman" w:hAnsi="Times New Roman" w:cs="Times New Roman"/>
          <w:i/>
          <w:iCs/>
          <w:color w:val="0F1115"/>
          <w:kern w:val="0"/>
          <w14:ligatures w14:val="none"/>
        </w:rPr>
        <w:t>: Module de formation</w:t>
      </w:r>
      <w:r w:rsidRPr="008B2320">
        <w:rPr>
          <w:rFonts w:ascii="Times New Roman" w:eastAsia="Times New Roman" w:hAnsi="Times New Roman" w:cs="Times New Roman"/>
          <w:color w:val="0F1115"/>
          <w:kern w:val="0"/>
          <w14:ligatures w14:val="none"/>
        </w:rPr>
        <w:t>. Kinshasa, RDC.</w:t>
      </w:r>
    </w:p>
    <w:p w14:paraId="28290CE2"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USAID | DELIVER PROJECT. (2010). </w:t>
      </w:r>
      <w:r w:rsidRPr="008B2320">
        <w:rPr>
          <w:rFonts w:ascii="Times New Roman" w:eastAsia="Times New Roman" w:hAnsi="Times New Roman" w:cs="Times New Roman"/>
          <w:i/>
          <w:iCs/>
          <w:color w:val="0F1115"/>
          <w:kern w:val="0"/>
          <w14:ligatures w14:val="none"/>
        </w:rPr>
        <w:t>The logistics handbook: A practical guide for the supply chain management of health commodities</w:t>
      </w:r>
      <w:r w:rsidRPr="008B2320">
        <w:rPr>
          <w:rFonts w:ascii="Times New Roman" w:eastAsia="Times New Roman" w:hAnsi="Times New Roman" w:cs="Times New Roman"/>
          <w:color w:val="0F1115"/>
          <w:kern w:val="0"/>
          <w14:ligatures w14:val="none"/>
        </w:rPr>
        <w:t>. Arlington, VA: USAID.</w:t>
      </w:r>
    </w:p>
    <w:p w14:paraId="49E008ED"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World Bank. (2020). </w:t>
      </w:r>
      <w:r w:rsidRPr="008B2320">
        <w:rPr>
          <w:rFonts w:ascii="Times New Roman" w:eastAsia="Times New Roman" w:hAnsi="Times New Roman" w:cs="Times New Roman"/>
          <w:i/>
          <w:iCs/>
          <w:color w:val="0F1115"/>
          <w:kern w:val="0"/>
          <w14:ligatures w14:val="none"/>
        </w:rPr>
        <w:t>Gender inequality in administrative positions in Sub-Saharan Africa</w:t>
      </w:r>
      <w:r w:rsidRPr="008B2320">
        <w:rPr>
          <w:rFonts w:ascii="Times New Roman" w:eastAsia="Times New Roman" w:hAnsi="Times New Roman" w:cs="Times New Roman"/>
          <w:color w:val="0F1115"/>
          <w:kern w:val="0"/>
          <w14:ligatures w14:val="none"/>
        </w:rPr>
        <w:t>. World Bank Group.</w:t>
      </w:r>
    </w:p>
    <w:p w14:paraId="32C3493C" w14:textId="77777777" w:rsidR="008B2320" w:rsidRPr="008B2320" w:rsidRDefault="008B2320" w:rsidP="008B23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World Health Organization. (2017). </w:t>
      </w:r>
      <w:r w:rsidRPr="008B2320">
        <w:rPr>
          <w:rFonts w:ascii="Times New Roman" w:eastAsia="Times New Roman" w:hAnsi="Times New Roman" w:cs="Times New Roman"/>
          <w:i/>
          <w:iCs/>
          <w:color w:val="0F1115"/>
          <w:kern w:val="0"/>
          <w14:ligatures w14:val="none"/>
        </w:rPr>
        <w:t>Essential medicines and health products: Availability in low-income countries</w:t>
      </w:r>
      <w:r w:rsidRPr="008B2320">
        <w:rPr>
          <w:rFonts w:ascii="Times New Roman" w:eastAsia="Times New Roman" w:hAnsi="Times New Roman" w:cs="Times New Roman"/>
          <w:color w:val="0F1115"/>
          <w:kern w:val="0"/>
          <w14:ligatures w14:val="none"/>
        </w:rPr>
        <w:t>. WHO Press.</w:t>
      </w:r>
    </w:p>
    <w:p w14:paraId="08DD542C" w14:textId="77777777" w:rsidR="008B2320" w:rsidRPr="008B2320" w:rsidRDefault="008B2320" w:rsidP="008B2320">
      <w:pPr>
        <w:shd w:val="clear" w:color="auto" w:fill="FFFFFF"/>
        <w:spacing w:before="240" w:after="0" w:line="420" w:lineRule="atLeast"/>
        <w:rPr>
          <w:rFonts w:ascii="Times New Roman" w:eastAsia="Times New Roman" w:hAnsi="Times New Roman" w:cs="Times New Roman"/>
          <w:color w:val="0F1115"/>
          <w:kern w:val="0"/>
          <w14:ligatures w14:val="none"/>
        </w:rPr>
      </w:pPr>
      <w:r w:rsidRPr="008B2320">
        <w:rPr>
          <w:rFonts w:ascii="Times New Roman" w:eastAsia="Times New Roman" w:hAnsi="Times New Roman" w:cs="Times New Roman"/>
          <w:color w:val="0F1115"/>
          <w:kern w:val="0"/>
          <w14:ligatures w14:val="none"/>
        </w:rPr>
        <w:t>World Health Organization. (2019). </w:t>
      </w:r>
      <w:r w:rsidRPr="008B2320">
        <w:rPr>
          <w:rFonts w:ascii="Times New Roman" w:eastAsia="Times New Roman" w:hAnsi="Times New Roman" w:cs="Times New Roman"/>
          <w:i/>
          <w:iCs/>
          <w:color w:val="0F1115"/>
          <w:kern w:val="0"/>
          <w14:ligatures w14:val="none"/>
        </w:rPr>
        <w:t>Delivered by women, led by men: Gender parity in health governance</w:t>
      </w:r>
      <w:r w:rsidRPr="008B2320">
        <w:rPr>
          <w:rFonts w:ascii="Times New Roman" w:eastAsia="Times New Roman" w:hAnsi="Times New Roman" w:cs="Times New Roman"/>
          <w:color w:val="0F1115"/>
          <w:kern w:val="0"/>
          <w14:ligatures w14:val="none"/>
        </w:rPr>
        <w:t>. WHO Press.</w:t>
      </w:r>
    </w:p>
    <w:p w14:paraId="2DF2D980" w14:textId="77777777" w:rsidR="008B2320" w:rsidRPr="008B2320" w:rsidRDefault="008B2320" w:rsidP="008B2320">
      <w:pPr>
        <w:spacing w:after="0" w:line="240" w:lineRule="auto"/>
        <w:rPr>
          <w:rFonts w:ascii="Times New Roman" w:eastAsia="Times New Roman" w:hAnsi="Times New Roman" w:cs="Times New Roman"/>
          <w:kern w:val="0"/>
          <w14:ligatures w14:val="none"/>
        </w:rPr>
      </w:pPr>
    </w:p>
    <w:p w14:paraId="34664410" w14:textId="77777777" w:rsidR="00B41904" w:rsidRPr="008B2320" w:rsidRDefault="00B41904">
      <w:pPr>
        <w:rPr>
          <w:rFonts w:ascii="Times New Roman" w:hAnsi="Times New Roman" w:cs="Times New Roman"/>
        </w:rPr>
      </w:pPr>
    </w:p>
    <w:sectPr w:rsidR="00B41904" w:rsidRPr="008B2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73BD"/>
    <w:multiLevelType w:val="multilevel"/>
    <w:tmpl w:val="F268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A40C06"/>
    <w:multiLevelType w:val="multilevel"/>
    <w:tmpl w:val="DC4AA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7531952">
    <w:abstractNumId w:val="0"/>
  </w:num>
  <w:num w:numId="2" w16cid:durableId="943267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320"/>
    <w:rsid w:val="002C4B73"/>
    <w:rsid w:val="003F70DD"/>
    <w:rsid w:val="004151DE"/>
    <w:rsid w:val="008B2320"/>
    <w:rsid w:val="008F6EA0"/>
    <w:rsid w:val="009E34A6"/>
    <w:rsid w:val="00AC0C13"/>
    <w:rsid w:val="00B4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CE23"/>
  <w15:chartTrackingRefBased/>
  <w15:docId w15:val="{9A41BC0E-F4FC-7D4E-A754-A58ADD0A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23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23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3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3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3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23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23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3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320"/>
    <w:rPr>
      <w:rFonts w:eastAsiaTheme="majorEastAsia" w:cstheme="majorBidi"/>
      <w:color w:val="272727" w:themeColor="text1" w:themeTint="D8"/>
    </w:rPr>
  </w:style>
  <w:style w:type="paragraph" w:styleId="Title">
    <w:name w:val="Title"/>
    <w:basedOn w:val="Normal"/>
    <w:next w:val="Normal"/>
    <w:link w:val="TitleChar"/>
    <w:uiPriority w:val="10"/>
    <w:qFormat/>
    <w:rsid w:val="008B2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320"/>
    <w:pPr>
      <w:spacing w:before="160"/>
      <w:jc w:val="center"/>
    </w:pPr>
    <w:rPr>
      <w:i/>
      <w:iCs/>
      <w:color w:val="404040" w:themeColor="text1" w:themeTint="BF"/>
    </w:rPr>
  </w:style>
  <w:style w:type="character" w:customStyle="1" w:styleId="QuoteChar">
    <w:name w:val="Quote Char"/>
    <w:basedOn w:val="DefaultParagraphFont"/>
    <w:link w:val="Quote"/>
    <w:uiPriority w:val="29"/>
    <w:rsid w:val="008B2320"/>
    <w:rPr>
      <w:i/>
      <w:iCs/>
      <w:color w:val="404040" w:themeColor="text1" w:themeTint="BF"/>
    </w:rPr>
  </w:style>
  <w:style w:type="paragraph" w:styleId="ListParagraph">
    <w:name w:val="List Paragraph"/>
    <w:basedOn w:val="Normal"/>
    <w:uiPriority w:val="34"/>
    <w:qFormat/>
    <w:rsid w:val="008B2320"/>
    <w:pPr>
      <w:ind w:left="720"/>
      <w:contextualSpacing/>
    </w:pPr>
  </w:style>
  <w:style w:type="character" w:styleId="IntenseEmphasis">
    <w:name w:val="Intense Emphasis"/>
    <w:basedOn w:val="DefaultParagraphFont"/>
    <w:uiPriority w:val="21"/>
    <w:qFormat/>
    <w:rsid w:val="008B2320"/>
    <w:rPr>
      <w:i/>
      <w:iCs/>
      <w:color w:val="0F4761" w:themeColor="accent1" w:themeShade="BF"/>
    </w:rPr>
  </w:style>
  <w:style w:type="paragraph" w:styleId="IntenseQuote">
    <w:name w:val="Intense Quote"/>
    <w:basedOn w:val="Normal"/>
    <w:next w:val="Normal"/>
    <w:link w:val="IntenseQuoteChar"/>
    <w:uiPriority w:val="30"/>
    <w:qFormat/>
    <w:rsid w:val="008B2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320"/>
    <w:rPr>
      <w:i/>
      <w:iCs/>
      <w:color w:val="0F4761" w:themeColor="accent1" w:themeShade="BF"/>
    </w:rPr>
  </w:style>
  <w:style w:type="character" w:styleId="IntenseReference">
    <w:name w:val="Intense Reference"/>
    <w:basedOn w:val="DefaultParagraphFont"/>
    <w:uiPriority w:val="32"/>
    <w:qFormat/>
    <w:rsid w:val="008B2320"/>
    <w:rPr>
      <w:b/>
      <w:bCs/>
      <w:smallCaps/>
      <w:color w:val="0F4761" w:themeColor="accent1" w:themeShade="BF"/>
      <w:spacing w:val="5"/>
    </w:rPr>
  </w:style>
  <w:style w:type="paragraph" w:customStyle="1" w:styleId="ds-markdown-paragraph">
    <w:name w:val="ds-markdown-paragraph"/>
    <w:basedOn w:val="Normal"/>
    <w:rsid w:val="008B23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B2320"/>
    <w:rPr>
      <w:b/>
      <w:bCs/>
    </w:rPr>
  </w:style>
  <w:style w:type="character" w:styleId="Emphasis">
    <w:name w:val="Emphasis"/>
    <w:basedOn w:val="DefaultParagraphFont"/>
    <w:uiPriority w:val="20"/>
    <w:qFormat/>
    <w:rsid w:val="008B23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1755</Words>
  <Characters>10007</Characters>
  <Application>Microsoft Office Word</Application>
  <DocSecurity>0</DocSecurity>
  <Lines>83</Lines>
  <Paragraphs>23</Paragraphs>
  <ScaleCrop>false</ScaleCrop>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2026-05-14T16:41:00Z</dcterms:created>
  <dcterms:modified xsi:type="dcterms:W3CDTF">2026-05-14T16:47:00Z</dcterms:modified>
</cp:coreProperties>
</file>