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F1793" w14:textId="77777777" w:rsidR="00BE350C" w:rsidRPr="00A5135D" w:rsidRDefault="00BE350C" w:rsidP="00A5135D">
      <w:pPr>
        <w:shd w:val="clear" w:color="auto" w:fill="FFFFFF"/>
        <w:spacing w:before="240" w:after="240" w:line="420" w:lineRule="atLeast"/>
        <w:jc w:val="center"/>
        <w:rPr>
          <w:rFonts w:ascii="Segoe UI" w:eastAsia="Times New Roman" w:hAnsi="Segoe UI" w:cs="Segoe UI"/>
          <w:b/>
          <w:bCs/>
          <w:color w:val="0F1115"/>
          <w:kern w:val="0"/>
          <w:sz w:val="28"/>
          <w:szCs w:val="28"/>
          <w14:ligatures w14:val="none"/>
        </w:rPr>
      </w:pPr>
      <w:r w:rsidRPr="00A5135D">
        <w:rPr>
          <w:rFonts w:ascii="Segoe UI" w:eastAsia="Times New Roman" w:hAnsi="Segoe UI" w:cs="Segoe UI"/>
          <w:b/>
          <w:bCs/>
          <w:color w:val="0F1115"/>
          <w:kern w:val="0"/>
          <w:sz w:val="28"/>
          <w:szCs w:val="28"/>
          <w14:ligatures w14:val="none"/>
        </w:rPr>
        <w:t xml:space="preserve">Applicability of Blood Transfusion Safety Rules at the </w:t>
      </w:r>
      <w:proofErr w:type="spellStart"/>
      <w:r w:rsidRPr="00A5135D">
        <w:rPr>
          <w:rFonts w:ascii="Segoe UI" w:eastAsia="Times New Roman" w:hAnsi="Segoe UI" w:cs="Segoe UI"/>
          <w:b/>
          <w:bCs/>
          <w:color w:val="0F1115"/>
          <w:kern w:val="0"/>
          <w:sz w:val="28"/>
          <w:szCs w:val="28"/>
          <w14:ligatures w14:val="none"/>
        </w:rPr>
        <w:t>Wangata</w:t>
      </w:r>
      <w:proofErr w:type="spellEnd"/>
      <w:r w:rsidRPr="00A5135D">
        <w:rPr>
          <w:rFonts w:ascii="Segoe UI" w:eastAsia="Times New Roman" w:hAnsi="Segoe UI" w:cs="Segoe UI"/>
          <w:b/>
          <w:bCs/>
          <w:color w:val="0F1115"/>
          <w:kern w:val="0"/>
          <w:sz w:val="28"/>
          <w:szCs w:val="28"/>
          <w14:ligatures w14:val="none"/>
        </w:rPr>
        <w:t xml:space="preserve"> General Referral Hospital (Democratic Republic of the Congo): A Cross-Sectional Correlational Study</w:t>
      </w:r>
    </w:p>
    <w:p w14:paraId="5F184CA6"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b/>
          <w:bCs/>
          <w:color w:val="0F1115"/>
          <w:kern w:val="0"/>
          <w14:ligatures w14:val="none"/>
        </w:rPr>
        <w:t>Authors:</w:t>
      </w:r>
      <w:r w:rsidRPr="00BE350C">
        <w:rPr>
          <w:rFonts w:ascii="Segoe UI" w:eastAsia="Times New Roman" w:hAnsi="Segoe UI" w:cs="Segoe UI"/>
          <w:color w:val="0F1115"/>
          <w:kern w:val="0"/>
          <w14:ligatures w14:val="none"/>
        </w:rPr>
        <w:t xml:space="preserve"> Nixon </w:t>
      </w:r>
      <w:proofErr w:type="spellStart"/>
      <w:r w:rsidRPr="00BE350C">
        <w:rPr>
          <w:rFonts w:ascii="Segoe UI" w:eastAsia="Times New Roman" w:hAnsi="Segoe UI" w:cs="Segoe UI"/>
          <w:color w:val="0F1115"/>
          <w:kern w:val="0"/>
          <w14:ligatures w14:val="none"/>
        </w:rPr>
        <w:t>Manyolo</w:t>
      </w:r>
      <w:proofErr w:type="spellEnd"/>
      <w:r w:rsidRPr="00BE350C">
        <w:rPr>
          <w:rFonts w:ascii="Segoe UI" w:eastAsia="Times New Roman" w:hAnsi="Segoe UI" w:cs="Segoe UI"/>
          <w:color w:val="0F1115"/>
          <w:kern w:val="0"/>
          <w14:ligatures w14:val="none"/>
        </w:rPr>
        <w:t xml:space="preserve"> Mata¹, </w:t>
      </w:r>
      <w:proofErr w:type="spellStart"/>
      <w:r w:rsidRPr="00BE350C">
        <w:rPr>
          <w:rFonts w:ascii="Segoe UI" w:eastAsia="Times New Roman" w:hAnsi="Segoe UI" w:cs="Segoe UI"/>
          <w:color w:val="0F1115"/>
          <w:kern w:val="0"/>
          <w14:ligatures w14:val="none"/>
        </w:rPr>
        <w:t>Pitchou</w:t>
      </w:r>
      <w:proofErr w:type="spellEnd"/>
      <w:r w:rsidRPr="00BE350C">
        <w:rPr>
          <w:rFonts w:ascii="Segoe UI" w:eastAsia="Times New Roman" w:hAnsi="Segoe UI" w:cs="Segoe UI"/>
          <w:color w:val="0F1115"/>
          <w:kern w:val="0"/>
          <w14:ligatures w14:val="none"/>
        </w:rPr>
        <w:t xml:space="preserve"> Ngoy Bokolome², Jacques Ndombe Ngbanga³</w:t>
      </w:r>
    </w:p>
    <w:p w14:paraId="42416BE0"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b/>
          <w:bCs/>
          <w:color w:val="0F1115"/>
          <w:kern w:val="0"/>
          <w14:ligatures w14:val="none"/>
        </w:rPr>
        <w:t>Affiliations:</w:t>
      </w:r>
      <w:r w:rsidRPr="00BE350C">
        <w:rPr>
          <w:rFonts w:ascii="Segoe UI" w:eastAsia="Times New Roman" w:hAnsi="Segoe UI" w:cs="Segoe UI"/>
          <w:color w:val="0F1115"/>
          <w:kern w:val="0"/>
          <w14:ligatures w14:val="none"/>
        </w:rPr>
        <w:br/>
        <w:t xml:space="preserve">¹ Higher Institute of Medical Techniques of </w:t>
      </w:r>
      <w:proofErr w:type="spellStart"/>
      <w:r w:rsidRPr="00BE350C">
        <w:rPr>
          <w:rFonts w:ascii="Segoe UI" w:eastAsia="Times New Roman" w:hAnsi="Segoe UI" w:cs="Segoe UI"/>
          <w:color w:val="0F1115"/>
          <w:kern w:val="0"/>
          <w14:ligatures w14:val="none"/>
        </w:rPr>
        <w:t>Mbandaka</w:t>
      </w:r>
      <w:proofErr w:type="spellEnd"/>
      <w:r w:rsidRPr="00BE350C">
        <w:rPr>
          <w:rFonts w:ascii="Segoe UI" w:eastAsia="Times New Roman" w:hAnsi="Segoe UI" w:cs="Segoe UI"/>
          <w:color w:val="0F1115"/>
          <w:kern w:val="0"/>
          <w14:ligatures w14:val="none"/>
        </w:rPr>
        <w:t>, DRC</w:t>
      </w:r>
      <w:r w:rsidRPr="00BE350C">
        <w:rPr>
          <w:rFonts w:ascii="Segoe UI" w:eastAsia="Times New Roman" w:hAnsi="Segoe UI" w:cs="Segoe UI"/>
          <w:color w:val="0F1115"/>
          <w:kern w:val="0"/>
          <w14:ligatures w14:val="none"/>
        </w:rPr>
        <w:br/>
        <w:t>² Ordinary Professor, Thesis Director</w:t>
      </w:r>
      <w:r w:rsidRPr="00BE350C">
        <w:rPr>
          <w:rFonts w:ascii="Segoe UI" w:eastAsia="Times New Roman" w:hAnsi="Segoe UI" w:cs="Segoe UI"/>
          <w:color w:val="0F1115"/>
          <w:kern w:val="0"/>
          <w14:ligatures w14:val="none"/>
        </w:rPr>
        <w:br/>
        <w:t>³ Head of Works, Thesis Supervisor</w:t>
      </w:r>
    </w:p>
    <w:p w14:paraId="62D4359B"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b/>
          <w:bCs/>
          <w:color w:val="0F1115"/>
          <w:kern w:val="0"/>
          <w14:ligatures w14:val="none"/>
        </w:rPr>
        <w:t>Correspondence:</w:t>
      </w:r>
      <w:r w:rsidRPr="00BE350C">
        <w:rPr>
          <w:rFonts w:ascii="Segoe UI" w:eastAsia="Times New Roman" w:hAnsi="Segoe UI" w:cs="Segoe UI"/>
          <w:color w:val="0F1115"/>
          <w:kern w:val="0"/>
          <w14:ligatures w14:val="none"/>
        </w:rPr>
        <w:t xml:space="preserve"> Nixon </w:t>
      </w:r>
      <w:proofErr w:type="spellStart"/>
      <w:r w:rsidRPr="00BE350C">
        <w:rPr>
          <w:rFonts w:ascii="Segoe UI" w:eastAsia="Times New Roman" w:hAnsi="Segoe UI" w:cs="Segoe UI"/>
          <w:color w:val="0F1115"/>
          <w:kern w:val="0"/>
          <w14:ligatures w14:val="none"/>
        </w:rPr>
        <w:t>Manyolo</w:t>
      </w:r>
      <w:proofErr w:type="spellEnd"/>
      <w:r w:rsidRPr="00BE350C">
        <w:rPr>
          <w:rFonts w:ascii="Segoe UI" w:eastAsia="Times New Roman" w:hAnsi="Segoe UI" w:cs="Segoe UI"/>
          <w:color w:val="0F1115"/>
          <w:kern w:val="0"/>
          <w14:ligatures w14:val="none"/>
        </w:rPr>
        <w:t xml:space="preserve"> Mata, ISTM </w:t>
      </w:r>
      <w:proofErr w:type="spellStart"/>
      <w:r w:rsidRPr="00BE350C">
        <w:rPr>
          <w:rFonts w:ascii="Segoe UI" w:eastAsia="Times New Roman" w:hAnsi="Segoe UI" w:cs="Segoe UI"/>
          <w:color w:val="0F1115"/>
          <w:kern w:val="0"/>
          <w14:ligatures w14:val="none"/>
        </w:rPr>
        <w:t>Mbandaka</w:t>
      </w:r>
      <w:proofErr w:type="spellEnd"/>
      <w:r w:rsidRPr="00BE350C">
        <w:rPr>
          <w:rFonts w:ascii="Segoe UI" w:eastAsia="Times New Roman" w:hAnsi="Segoe UI" w:cs="Segoe UI"/>
          <w:color w:val="0F1115"/>
          <w:kern w:val="0"/>
          <w14:ligatures w14:val="none"/>
        </w:rPr>
        <w:t xml:space="preserve">, P.O. Box 99, </w:t>
      </w:r>
      <w:proofErr w:type="spellStart"/>
      <w:r w:rsidRPr="00BE350C">
        <w:rPr>
          <w:rFonts w:ascii="Segoe UI" w:eastAsia="Times New Roman" w:hAnsi="Segoe UI" w:cs="Segoe UI"/>
          <w:color w:val="0F1115"/>
          <w:kern w:val="0"/>
          <w14:ligatures w14:val="none"/>
        </w:rPr>
        <w:t>Mbandaka</w:t>
      </w:r>
      <w:proofErr w:type="spellEnd"/>
      <w:r w:rsidRPr="00BE350C">
        <w:rPr>
          <w:rFonts w:ascii="Segoe UI" w:eastAsia="Times New Roman" w:hAnsi="Segoe UI" w:cs="Segoe UI"/>
          <w:color w:val="0F1115"/>
          <w:kern w:val="0"/>
          <w14:ligatures w14:val="none"/>
        </w:rPr>
        <w:t>, DRC. Email: istm.mbka@gmail.com</w:t>
      </w:r>
    </w:p>
    <w:p w14:paraId="02197539"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b/>
          <w:bCs/>
          <w:color w:val="0F1115"/>
          <w:kern w:val="0"/>
          <w14:ligatures w14:val="none"/>
        </w:rPr>
        <w:t>Conflicts of Interest:</w:t>
      </w:r>
      <w:r w:rsidRPr="00BE350C">
        <w:rPr>
          <w:rFonts w:ascii="Segoe UI" w:eastAsia="Times New Roman" w:hAnsi="Segoe UI" w:cs="Segoe UI"/>
          <w:color w:val="0F1115"/>
          <w:kern w:val="0"/>
          <w14:ligatures w14:val="none"/>
        </w:rPr>
        <w:t> The authors declare no conflicts of interest.</w:t>
      </w:r>
      <w:r w:rsidRPr="00BE350C">
        <w:rPr>
          <w:rFonts w:ascii="Segoe UI" w:eastAsia="Times New Roman" w:hAnsi="Segoe UI" w:cs="Segoe UI"/>
          <w:color w:val="0F1115"/>
          <w:kern w:val="0"/>
          <w14:ligatures w14:val="none"/>
        </w:rPr>
        <w:br/>
      </w:r>
      <w:r w:rsidRPr="00BE350C">
        <w:rPr>
          <w:rFonts w:ascii="Segoe UI" w:eastAsia="Times New Roman" w:hAnsi="Segoe UI" w:cs="Segoe UI"/>
          <w:b/>
          <w:bCs/>
          <w:color w:val="0F1115"/>
          <w:kern w:val="0"/>
          <w14:ligatures w14:val="none"/>
        </w:rPr>
        <w:t>Funding:</w:t>
      </w:r>
      <w:r w:rsidRPr="00BE350C">
        <w:rPr>
          <w:rFonts w:ascii="Segoe UI" w:eastAsia="Times New Roman" w:hAnsi="Segoe UI" w:cs="Segoe UI"/>
          <w:color w:val="0F1115"/>
          <w:kern w:val="0"/>
          <w14:ligatures w14:val="none"/>
        </w:rPr>
        <w:t> No external funding was received.</w:t>
      </w:r>
    </w:p>
    <w:p w14:paraId="52A87EEA"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b/>
          <w:bCs/>
          <w:color w:val="0F1115"/>
          <w:kern w:val="0"/>
          <w14:ligatures w14:val="none"/>
        </w:rPr>
        <w:t>Abstract</w:t>
      </w:r>
    </w:p>
    <w:p w14:paraId="2519C322"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b/>
          <w:bCs/>
          <w:color w:val="0F1115"/>
          <w:kern w:val="0"/>
          <w14:ligatures w14:val="none"/>
        </w:rPr>
        <w:t>Introduction:</w:t>
      </w:r>
      <w:r w:rsidRPr="00BE350C">
        <w:rPr>
          <w:rFonts w:ascii="Segoe UI" w:eastAsia="Times New Roman" w:hAnsi="Segoe UI" w:cs="Segoe UI"/>
          <w:color w:val="0F1115"/>
          <w:kern w:val="0"/>
          <w14:ligatures w14:val="none"/>
        </w:rPr>
        <w:t> Blood transfusion is a life-saving therapy but carries major infectious and non-infectious risks. In the Democratic Republic of the Congo (DRC), the applicability of blood transfusion safety rules remains poorly documented.</w:t>
      </w:r>
    </w:p>
    <w:p w14:paraId="685FA6F2"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b/>
          <w:bCs/>
          <w:color w:val="0F1115"/>
          <w:kern w:val="0"/>
          <w14:ligatures w14:val="none"/>
        </w:rPr>
        <w:t>Objective:</w:t>
      </w:r>
      <w:r w:rsidRPr="00BE350C">
        <w:rPr>
          <w:rFonts w:ascii="Segoe UI" w:eastAsia="Times New Roman" w:hAnsi="Segoe UI" w:cs="Segoe UI"/>
          <w:color w:val="0F1115"/>
          <w:kern w:val="0"/>
          <w14:ligatures w14:val="none"/>
        </w:rPr>
        <w:t xml:space="preserve"> To assess the applicability of blood transfusion safety rules at the </w:t>
      </w:r>
      <w:proofErr w:type="spellStart"/>
      <w:r w:rsidRPr="00BE350C">
        <w:rPr>
          <w:rFonts w:ascii="Segoe UI" w:eastAsia="Times New Roman" w:hAnsi="Segoe UI" w:cs="Segoe UI"/>
          <w:color w:val="0F1115"/>
          <w:kern w:val="0"/>
          <w14:ligatures w14:val="none"/>
        </w:rPr>
        <w:t>Wangata</w:t>
      </w:r>
      <w:proofErr w:type="spellEnd"/>
      <w:r w:rsidRPr="00BE350C">
        <w:rPr>
          <w:rFonts w:ascii="Segoe UI" w:eastAsia="Times New Roman" w:hAnsi="Segoe UI" w:cs="Segoe UI"/>
          <w:color w:val="0F1115"/>
          <w:kern w:val="0"/>
          <w14:ligatures w14:val="none"/>
        </w:rPr>
        <w:t xml:space="preserve"> General Referral Hospital (HGR) and to explore relationships with age, sex, professional category, and length of service.</w:t>
      </w:r>
    </w:p>
    <w:p w14:paraId="38948993"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b/>
          <w:bCs/>
          <w:color w:val="0F1115"/>
          <w:kern w:val="0"/>
          <w14:ligatures w14:val="none"/>
        </w:rPr>
        <w:t>Methods:</w:t>
      </w:r>
      <w:r w:rsidRPr="00BE350C">
        <w:rPr>
          <w:rFonts w:ascii="Segoe UI" w:eastAsia="Times New Roman" w:hAnsi="Segoe UI" w:cs="Segoe UI"/>
          <w:color w:val="0F1115"/>
          <w:kern w:val="0"/>
          <w14:ligatures w14:val="none"/>
        </w:rPr>
        <w:t> A descriptive correlational cross-sectional study was conducted from March to July 2021. An accidental sample of 19 anesthetist-resuscitators responded to a self-administered questionnaire. The applicability score (out of 100) was classified according to a reference scale (76–100% = best). Mean comparisons used Student's t-test (α = 0.10).</w:t>
      </w:r>
    </w:p>
    <w:p w14:paraId="356EA950"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b/>
          <w:bCs/>
          <w:color w:val="0F1115"/>
          <w:kern w:val="0"/>
          <w14:ligatures w14:val="none"/>
        </w:rPr>
        <w:lastRenderedPageBreak/>
        <w:t>Results:</w:t>
      </w:r>
      <w:r w:rsidRPr="00BE350C">
        <w:rPr>
          <w:rFonts w:ascii="Segoe UI" w:eastAsia="Times New Roman" w:hAnsi="Segoe UI" w:cs="Segoe UI"/>
          <w:color w:val="0F1115"/>
          <w:kern w:val="0"/>
          <w14:ligatures w14:val="none"/>
        </w:rPr>
        <w:t> The mean age was 46 ± 11 years; 63.2% were female; 94.7% held a graduate degree (A1). The overall applicability score was 50.9% (low), with heterogeneous performance: pre-transfusion phase (49.2%), per-transfusion phase (48.1%), and post-transfusion phase (81.6%). Best observed practices included blood group verification (89.5%) and transfusion cessation in case of adverse event (89.5%). Major gaps concerned refrigerated transport (26.3%), systematic pre-transfusion verification (42.1%), and calling the responsible officer in case of adverse event (21.1%). No statistically significant association was found between applicability and age (p = 0.989), sex (p = 0.378), professional category (p = 0.354), or length of service (p = 0.691).</w:t>
      </w:r>
    </w:p>
    <w:p w14:paraId="716244E4"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b/>
          <w:bCs/>
          <w:color w:val="0F1115"/>
          <w:kern w:val="0"/>
          <w14:ligatures w14:val="none"/>
        </w:rPr>
        <w:t>Conclusion:</w:t>
      </w:r>
      <w:r w:rsidRPr="00BE350C">
        <w:rPr>
          <w:rFonts w:ascii="Segoe UI" w:eastAsia="Times New Roman" w:hAnsi="Segoe UI" w:cs="Segoe UI"/>
          <w:color w:val="0F1115"/>
          <w:kern w:val="0"/>
          <w14:ligatures w14:val="none"/>
        </w:rPr>
        <w:t xml:space="preserve"> The applicability of blood transfusion safety rules at HGR </w:t>
      </w:r>
      <w:proofErr w:type="spellStart"/>
      <w:r w:rsidRPr="00BE350C">
        <w:rPr>
          <w:rFonts w:ascii="Segoe UI" w:eastAsia="Times New Roman" w:hAnsi="Segoe UI" w:cs="Segoe UI"/>
          <w:color w:val="0F1115"/>
          <w:kern w:val="0"/>
          <w14:ligatures w14:val="none"/>
        </w:rPr>
        <w:t>Wangata</w:t>
      </w:r>
      <w:proofErr w:type="spellEnd"/>
      <w:r w:rsidRPr="00BE350C">
        <w:rPr>
          <w:rFonts w:ascii="Segoe UI" w:eastAsia="Times New Roman" w:hAnsi="Segoe UI" w:cs="Segoe UI"/>
          <w:color w:val="0F1115"/>
          <w:kern w:val="0"/>
          <w14:ligatures w14:val="none"/>
        </w:rPr>
        <w:t xml:space="preserve"> is low, except during the post-transfusion phase. Continuous training, equipment availability, and a quality assurance system are necessary to improve patient safety.</w:t>
      </w:r>
    </w:p>
    <w:p w14:paraId="61F9CF12"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b/>
          <w:bCs/>
          <w:color w:val="0F1115"/>
          <w:kern w:val="0"/>
          <w14:ligatures w14:val="none"/>
        </w:rPr>
        <w:t>Keywords:</w:t>
      </w:r>
      <w:r w:rsidRPr="00BE350C">
        <w:rPr>
          <w:rFonts w:ascii="Segoe UI" w:eastAsia="Times New Roman" w:hAnsi="Segoe UI" w:cs="Segoe UI"/>
          <w:color w:val="0F1115"/>
          <w:kern w:val="0"/>
          <w14:ligatures w14:val="none"/>
        </w:rPr>
        <w:t> Transfusion safety, anesthesia, clinical practice, DRC, cross-sectional study, hemovigilance.</w:t>
      </w:r>
    </w:p>
    <w:p w14:paraId="0B0F7773"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b/>
          <w:bCs/>
          <w:color w:val="0F1115"/>
          <w:kern w:val="0"/>
          <w14:ligatures w14:val="none"/>
        </w:rPr>
        <w:t>1. Introduction</w:t>
      </w:r>
    </w:p>
    <w:p w14:paraId="6B661B91"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color w:val="0F1115"/>
          <w:kern w:val="0"/>
          <w14:ligatures w14:val="none"/>
        </w:rPr>
        <w:t xml:space="preserve">Transfusion safety is defined as the control of all stages of the transfusion chain, from donor to recipient, </w:t>
      </w:r>
      <w:proofErr w:type="gramStart"/>
      <w:r w:rsidRPr="00BE350C">
        <w:rPr>
          <w:rFonts w:ascii="Segoe UI" w:eastAsia="Times New Roman" w:hAnsi="Segoe UI" w:cs="Segoe UI"/>
          <w:color w:val="0F1115"/>
          <w:kern w:val="0"/>
          <w14:ligatures w14:val="none"/>
        </w:rPr>
        <w:t>in order to</w:t>
      </w:r>
      <w:proofErr w:type="gramEnd"/>
      <w:r w:rsidRPr="00BE350C">
        <w:rPr>
          <w:rFonts w:ascii="Segoe UI" w:eastAsia="Times New Roman" w:hAnsi="Segoe UI" w:cs="Segoe UI"/>
          <w:color w:val="0F1115"/>
          <w:kern w:val="0"/>
          <w14:ligatures w14:val="none"/>
        </w:rPr>
        <w:t xml:space="preserve"> eliminate or reduce the risk of incidents and adverse effects (Angelini, 2018). Despite progress in high-income countries, where the risk of HIV transmission through transfusion is below 0.04%, low-income countries, including the Democratic Republic of the Congo (DRC), have much higher prevalences of transfusion-transmissible infections (TTIs) (HIV: 0.56–2.69%; HBV: 3.34–8.47%) (World Health Organization [WHO], 2017). These disparities reflect fragile health systems, a lack of resources, and insufficient staff training.</w:t>
      </w:r>
    </w:p>
    <w:p w14:paraId="473C6AA2"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color w:val="0F1115"/>
          <w:kern w:val="0"/>
          <w14:ligatures w14:val="none"/>
        </w:rPr>
        <w:t xml:space="preserve">In the DRC, transfusion practices are often variable, and clinical signs of transfusion reactions (urticaria, chills, dyspnea) are frequently observed in anesthesia and resuscitation departments. Yet, few studies have systematically evaluated the applicability of transfusion safety rules in Congolese referral hospitals. A previous study in Kisangani reported that 49.5% of staff had insufficient knowledge of blood </w:t>
      </w:r>
      <w:r w:rsidRPr="00BE350C">
        <w:rPr>
          <w:rFonts w:ascii="Segoe UI" w:eastAsia="Times New Roman" w:hAnsi="Segoe UI" w:cs="Segoe UI"/>
          <w:color w:val="0F1115"/>
          <w:kern w:val="0"/>
          <w14:ligatures w14:val="none"/>
        </w:rPr>
        <w:lastRenderedPageBreak/>
        <w:t>transfusion (</w:t>
      </w:r>
      <w:proofErr w:type="spellStart"/>
      <w:r w:rsidRPr="00BE350C">
        <w:rPr>
          <w:rFonts w:ascii="Segoe UI" w:eastAsia="Times New Roman" w:hAnsi="Segoe UI" w:cs="Segoe UI"/>
          <w:color w:val="0F1115"/>
          <w:kern w:val="0"/>
          <w14:ligatures w14:val="none"/>
        </w:rPr>
        <w:t>Ucama</w:t>
      </w:r>
      <w:proofErr w:type="spellEnd"/>
      <w:r w:rsidRPr="00BE350C">
        <w:rPr>
          <w:rFonts w:ascii="Segoe UI" w:eastAsia="Times New Roman" w:hAnsi="Segoe UI" w:cs="Segoe UI"/>
          <w:color w:val="0F1115"/>
          <w:kern w:val="0"/>
          <w14:ligatures w14:val="none"/>
        </w:rPr>
        <w:t>, 2013). In Marrakech, Bahi (2016) also demonstrated gaps in pre-transfusion patient history-taking.</w:t>
      </w:r>
    </w:p>
    <w:p w14:paraId="73D3A456"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color w:val="0F1115"/>
          <w:kern w:val="0"/>
          <w14:ligatures w14:val="none"/>
        </w:rPr>
        <w:t xml:space="preserve">The purpose of this study was to assess the applicability of blood transfusion safety rules at the </w:t>
      </w:r>
      <w:proofErr w:type="spellStart"/>
      <w:r w:rsidRPr="00BE350C">
        <w:rPr>
          <w:rFonts w:ascii="Segoe UI" w:eastAsia="Times New Roman" w:hAnsi="Segoe UI" w:cs="Segoe UI"/>
          <w:color w:val="0F1115"/>
          <w:kern w:val="0"/>
          <w14:ligatures w14:val="none"/>
        </w:rPr>
        <w:t>Wangata</w:t>
      </w:r>
      <w:proofErr w:type="spellEnd"/>
      <w:r w:rsidRPr="00BE350C">
        <w:rPr>
          <w:rFonts w:ascii="Segoe UI" w:eastAsia="Times New Roman" w:hAnsi="Segoe UI" w:cs="Segoe UI"/>
          <w:color w:val="0F1115"/>
          <w:kern w:val="0"/>
          <w14:ligatures w14:val="none"/>
        </w:rPr>
        <w:t xml:space="preserve"> General Referral Hospital (</w:t>
      </w:r>
      <w:proofErr w:type="spellStart"/>
      <w:r w:rsidRPr="00BE350C">
        <w:rPr>
          <w:rFonts w:ascii="Segoe UI" w:eastAsia="Times New Roman" w:hAnsi="Segoe UI" w:cs="Segoe UI"/>
          <w:color w:val="0F1115"/>
          <w:kern w:val="0"/>
          <w14:ligatures w14:val="none"/>
        </w:rPr>
        <w:t>Mbandaka</w:t>
      </w:r>
      <w:proofErr w:type="spellEnd"/>
      <w:r w:rsidRPr="00BE350C">
        <w:rPr>
          <w:rFonts w:ascii="Segoe UI" w:eastAsia="Times New Roman" w:hAnsi="Segoe UI" w:cs="Segoe UI"/>
          <w:color w:val="0F1115"/>
          <w:kern w:val="0"/>
          <w14:ligatures w14:val="none"/>
        </w:rPr>
        <w:t>) and to identify potential relationships with the sociodemographic characteristics of healthcare staff.</w:t>
      </w:r>
    </w:p>
    <w:p w14:paraId="19546F21"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color w:val="0F1115"/>
          <w:kern w:val="0"/>
          <w14:ligatures w14:val="none"/>
        </w:rPr>
        <w:t>Our hypotheses were: (1) the level of applicability would be low (&lt;76%); (2) there would be a relationship between age, sex, education level, or length of service and applicability.</w:t>
      </w:r>
    </w:p>
    <w:p w14:paraId="1CDB9585"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b/>
          <w:bCs/>
          <w:color w:val="0F1115"/>
          <w:kern w:val="0"/>
          <w14:ligatures w14:val="none"/>
        </w:rPr>
        <w:t>2. Methods</w:t>
      </w:r>
    </w:p>
    <w:p w14:paraId="2F03DA52"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b/>
          <w:bCs/>
          <w:color w:val="0F1115"/>
          <w:kern w:val="0"/>
          <w14:ligatures w14:val="none"/>
        </w:rPr>
        <w:t>2.1. Study Design and Period</w:t>
      </w:r>
    </w:p>
    <w:p w14:paraId="41DB4ECF"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color w:val="0F1115"/>
          <w:kern w:val="0"/>
          <w14:ligatures w14:val="none"/>
        </w:rPr>
        <w:t xml:space="preserve">This was a descriptive correlational study with a cross-sectional timeframe and prospective orientation, conducted from March to July 2021 (data collection took place from May 15 to June 15, 2021, at HGR </w:t>
      </w:r>
      <w:proofErr w:type="spellStart"/>
      <w:r w:rsidRPr="00BE350C">
        <w:rPr>
          <w:rFonts w:ascii="Segoe UI" w:eastAsia="Times New Roman" w:hAnsi="Segoe UI" w:cs="Segoe UI"/>
          <w:color w:val="0F1115"/>
          <w:kern w:val="0"/>
          <w14:ligatures w14:val="none"/>
        </w:rPr>
        <w:t>Wangata</w:t>
      </w:r>
      <w:proofErr w:type="spellEnd"/>
      <w:r w:rsidRPr="00BE350C">
        <w:rPr>
          <w:rFonts w:ascii="Segoe UI" w:eastAsia="Times New Roman" w:hAnsi="Segoe UI" w:cs="Segoe UI"/>
          <w:color w:val="0F1115"/>
          <w:kern w:val="0"/>
          <w14:ligatures w14:val="none"/>
        </w:rPr>
        <w:t xml:space="preserve">, </w:t>
      </w:r>
      <w:proofErr w:type="spellStart"/>
      <w:r w:rsidRPr="00BE350C">
        <w:rPr>
          <w:rFonts w:ascii="Segoe UI" w:eastAsia="Times New Roman" w:hAnsi="Segoe UI" w:cs="Segoe UI"/>
          <w:color w:val="0F1115"/>
          <w:kern w:val="0"/>
          <w14:ligatures w14:val="none"/>
        </w:rPr>
        <w:t>Mbandaka</w:t>
      </w:r>
      <w:proofErr w:type="spellEnd"/>
      <w:r w:rsidRPr="00BE350C">
        <w:rPr>
          <w:rFonts w:ascii="Segoe UI" w:eastAsia="Times New Roman" w:hAnsi="Segoe UI" w:cs="Segoe UI"/>
          <w:color w:val="0F1115"/>
          <w:kern w:val="0"/>
          <w14:ligatures w14:val="none"/>
        </w:rPr>
        <w:t>, DRC).</w:t>
      </w:r>
    </w:p>
    <w:p w14:paraId="156B3EEF"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b/>
          <w:bCs/>
          <w:color w:val="0F1115"/>
          <w:kern w:val="0"/>
          <w14:ligatures w14:val="none"/>
        </w:rPr>
        <w:t>2.2. Population and Sampling</w:t>
      </w:r>
    </w:p>
    <w:p w14:paraId="4E5A013C"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color w:val="0F1115"/>
          <w:kern w:val="0"/>
          <w14:ligatures w14:val="none"/>
        </w:rPr>
        <w:t xml:space="preserve">The target population consisted of anesthetist-resuscitators working at HGR </w:t>
      </w:r>
      <w:proofErr w:type="spellStart"/>
      <w:r w:rsidRPr="00BE350C">
        <w:rPr>
          <w:rFonts w:ascii="Segoe UI" w:eastAsia="Times New Roman" w:hAnsi="Segoe UI" w:cs="Segoe UI"/>
          <w:color w:val="0F1115"/>
          <w:kern w:val="0"/>
          <w14:ligatures w14:val="none"/>
        </w:rPr>
        <w:t>Wangata</w:t>
      </w:r>
      <w:proofErr w:type="spellEnd"/>
      <w:r w:rsidRPr="00BE350C">
        <w:rPr>
          <w:rFonts w:ascii="Segoe UI" w:eastAsia="Times New Roman" w:hAnsi="Segoe UI" w:cs="Segoe UI"/>
          <w:color w:val="0F1115"/>
          <w:kern w:val="0"/>
          <w14:ligatures w14:val="none"/>
        </w:rPr>
        <w:t xml:space="preserve">. Non-probability accidental sampling included 19 subjects who met the following criteria: being a healthcare provider present on the survey day, working at HGR </w:t>
      </w:r>
      <w:proofErr w:type="spellStart"/>
      <w:r w:rsidRPr="00BE350C">
        <w:rPr>
          <w:rFonts w:ascii="Segoe UI" w:eastAsia="Times New Roman" w:hAnsi="Segoe UI" w:cs="Segoe UI"/>
          <w:color w:val="0F1115"/>
          <w:kern w:val="0"/>
          <w14:ligatures w14:val="none"/>
        </w:rPr>
        <w:t>Wangata</w:t>
      </w:r>
      <w:proofErr w:type="spellEnd"/>
      <w:r w:rsidRPr="00BE350C">
        <w:rPr>
          <w:rFonts w:ascii="Segoe UI" w:eastAsia="Times New Roman" w:hAnsi="Segoe UI" w:cs="Segoe UI"/>
          <w:color w:val="0F1115"/>
          <w:kern w:val="0"/>
          <w14:ligatures w14:val="none"/>
        </w:rPr>
        <w:t>, and freely consenting to participate.</w:t>
      </w:r>
    </w:p>
    <w:p w14:paraId="6DEE2D4A"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b/>
          <w:bCs/>
          <w:color w:val="0F1115"/>
          <w:kern w:val="0"/>
          <w14:ligatures w14:val="none"/>
        </w:rPr>
        <w:t>2.3. Instrument and Data Collection</w:t>
      </w:r>
    </w:p>
    <w:p w14:paraId="654C6F8F"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color w:val="0F1115"/>
          <w:kern w:val="0"/>
          <w14:ligatures w14:val="none"/>
        </w:rPr>
        <w:t xml:space="preserve">A structured self-administered questionnaire, validated by an expert jury (thesis director and supervisor) and pilot-tested on 5 providers at the </w:t>
      </w:r>
      <w:proofErr w:type="spellStart"/>
      <w:r w:rsidRPr="00BE350C">
        <w:rPr>
          <w:rFonts w:ascii="Segoe UI" w:eastAsia="Times New Roman" w:hAnsi="Segoe UI" w:cs="Segoe UI"/>
          <w:color w:val="0F1115"/>
          <w:kern w:val="0"/>
          <w14:ligatures w14:val="none"/>
        </w:rPr>
        <w:t>Mbandaka</w:t>
      </w:r>
      <w:proofErr w:type="spellEnd"/>
      <w:r w:rsidRPr="00BE350C">
        <w:rPr>
          <w:rFonts w:ascii="Segoe UI" w:eastAsia="Times New Roman" w:hAnsi="Segoe UI" w:cs="Segoe UI"/>
          <w:color w:val="0F1115"/>
          <w:kern w:val="0"/>
          <w14:ligatures w14:val="none"/>
        </w:rPr>
        <w:t xml:space="preserve"> General Hospital, was used. The instrument covered three transfusion phases (pre, per, and post) and sociodemographic characteristics. Reliability analysis showed response stability between the pilot study and the main survey.</w:t>
      </w:r>
    </w:p>
    <w:p w14:paraId="4060AE92"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b/>
          <w:bCs/>
          <w:color w:val="0F1115"/>
          <w:kern w:val="0"/>
          <w14:ligatures w14:val="none"/>
        </w:rPr>
        <w:t>2.4. Outcome Measure</w:t>
      </w:r>
    </w:p>
    <w:p w14:paraId="5815E6E9"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color w:val="0F1115"/>
          <w:kern w:val="0"/>
          <w14:ligatures w14:val="none"/>
        </w:rPr>
        <w:lastRenderedPageBreak/>
        <w:t>An overall applicability score (out of 100) was calculated. According to the graduated scale adapted from Aigner (2008):</w:t>
      </w:r>
    </w:p>
    <w:p w14:paraId="5B486A9C" w14:textId="77777777" w:rsidR="00BE350C" w:rsidRPr="00BE350C" w:rsidRDefault="00BE350C" w:rsidP="00BE350C">
      <w:pPr>
        <w:numPr>
          <w:ilvl w:val="0"/>
          <w:numId w:val="1"/>
        </w:numPr>
        <w:shd w:val="clear" w:color="auto" w:fill="FFFFFF"/>
        <w:spacing w:after="0" w:line="420" w:lineRule="atLeast"/>
        <w:rPr>
          <w:rFonts w:ascii="Segoe UI" w:eastAsia="Times New Roman" w:hAnsi="Segoe UI" w:cs="Segoe UI"/>
          <w:color w:val="0F1115"/>
          <w:kern w:val="0"/>
          <w14:ligatures w14:val="none"/>
        </w:rPr>
      </w:pPr>
      <w:r w:rsidRPr="00BE350C">
        <w:rPr>
          <w:rFonts w:ascii="Segoe UI" w:eastAsia="Times New Roman" w:hAnsi="Segoe UI" w:cs="Segoe UI"/>
          <w:color w:val="0F1115"/>
          <w:kern w:val="0"/>
          <w14:ligatures w14:val="none"/>
        </w:rPr>
        <w:t>Very poor: 1–25%</w:t>
      </w:r>
    </w:p>
    <w:p w14:paraId="042EC714" w14:textId="77777777" w:rsidR="00BE350C" w:rsidRPr="00BE350C" w:rsidRDefault="00BE350C" w:rsidP="00BE350C">
      <w:pPr>
        <w:numPr>
          <w:ilvl w:val="0"/>
          <w:numId w:val="1"/>
        </w:numPr>
        <w:shd w:val="clear" w:color="auto" w:fill="FFFFFF"/>
        <w:spacing w:after="0" w:line="420" w:lineRule="atLeast"/>
        <w:rPr>
          <w:rFonts w:ascii="Segoe UI" w:eastAsia="Times New Roman" w:hAnsi="Segoe UI" w:cs="Segoe UI"/>
          <w:color w:val="0F1115"/>
          <w:kern w:val="0"/>
          <w14:ligatures w14:val="none"/>
        </w:rPr>
      </w:pPr>
      <w:r w:rsidRPr="00BE350C">
        <w:rPr>
          <w:rFonts w:ascii="Segoe UI" w:eastAsia="Times New Roman" w:hAnsi="Segoe UI" w:cs="Segoe UI"/>
          <w:color w:val="0F1115"/>
          <w:kern w:val="0"/>
          <w14:ligatures w14:val="none"/>
        </w:rPr>
        <w:t>Poor: 26–50%</w:t>
      </w:r>
    </w:p>
    <w:p w14:paraId="11980D08" w14:textId="77777777" w:rsidR="00BE350C" w:rsidRPr="00BE350C" w:rsidRDefault="00BE350C" w:rsidP="00BE350C">
      <w:pPr>
        <w:numPr>
          <w:ilvl w:val="0"/>
          <w:numId w:val="1"/>
        </w:numPr>
        <w:shd w:val="clear" w:color="auto" w:fill="FFFFFF"/>
        <w:spacing w:after="0" w:line="420" w:lineRule="atLeast"/>
        <w:rPr>
          <w:rFonts w:ascii="Segoe UI" w:eastAsia="Times New Roman" w:hAnsi="Segoe UI" w:cs="Segoe UI"/>
          <w:color w:val="0F1115"/>
          <w:kern w:val="0"/>
          <w14:ligatures w14:val="none"/>
        </w:rPr>
      </w:pPr>
      <w:r w:rsidRPr="00BE350C">
        <w:rPr>
          <w:rFonts w:ascii="Segoe UI" w:eastAsia="Times New Roman" w:hAnsi="Segoe UI" w:cs="Segoe UI"/>
          <w:color w:val="0F1115"/>
          <w:kern w:val="0"/>
          <w14:ligatures w14:val="none"/>
        </w:rPr>
        <w:t>Good: 51–75%</w:t>
      </w:r>
    </w:p>
    <w:p w14:paraId="11389951" w14:textId="77777777" w:rsidR="00BE350C" w:rsidRPr="00BE350C" w:rsidRDefault="00BE350C" w:rsidP="00BE350C">
      <w:pPr>
        <w:numPr>
          <w:ilvl w:val="0"/>
          <w:numId w:val="1"/>
        </w:numPr>
        <w:shd w:val="clear" w:color="auto" w:fill="FFFFFF"/>
        <w:spacing w:after="0" w:line="420" w:lineRule="atLeast"/>
        <w:rPr>
          <w:rFonts w:ascii="Segoe UI" w:eastAsia="Times New Roman" w:hAnsi="Segoe UI" w:cs="Segoe UI"/>
          <w:color w:val="0F1115"/>
          <w:kern w:val="0"/>
          <w14:ligatures w14:val="none"/>
        </w:rPr>
      </w:pPr>
      <w:r w:rsidRPr="00BE350C">
        <w:rPr>
          <w:rFonts w:ascii="Segoe UI" w:eastAsia="Times New Roman" w:hAnsi="Segoe UI" w:cs="Segoe UI"/>
          <w:color w:val="0F1115"/>
          <w:kern w:val="0"/>
          <w14:ligatures w14:val="none"/>
        </w:rPr>
        <w:t>Best (High): 76–100%</w:t>
      </w:r>
    </w:p>
    <w:p w14:paraId="435E6EC0"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color w:val="0F1115"/>
          <w:kern w:val="0"/>
          <w14:ligatures w14:val="none"/>
        </w:rPr>
        <w:t>We considered any score &lt;76% as reflecting low applicability.</w:t>
      </w:r>
    </w:p>
    <w:p w14:paraId="18CB89AE"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b/>
          <w:bCs/>
          <w:color w:val="0F1115"/>
          <w:kern w:val="0"/>
          <w14:ligatures w14:val="none"/>
        </w:rPr>
        <w:t>2.5. Statistical Analysis</w:t>
      </w:r>
    </w:p>
    <w:p w14:paraId="536D8817"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color w:val="0F1115"/>
          <w:kern w:val="0"/>
          <w14:ligatures w14:val="none"/>
        </w:rPr>
        <w:t>Data were entered in Excel and analyzed using SPSS version 21. Univariate analyses (frequencies, percentages, means, standard deviations) and bivariate analyses (Student's t-test for mean comparisons) were performed. The significance threshold was set at α = 0.10 given the small sample size.</w:t>
      </w:r>
    </w:p>
    <w:p w14:paraId="2C0AB6D2"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b/>
          <w:bCs/>
          <w:color w:val="0F1115"/>
          <w:kern w:val="0"/>
          <w14:ligatures w14:val="none"/>
        </w:rPr>
        <w:t>2.6. Ethical Considerations</w:t>
      </w:r>
    </w:p>
    <w:p w14:paraId="32144F50"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color w:val="0F1115"/>
          <w:kern w:val="0"/>
          <w14:ligatures w14:val="none"/>
        </w:rPr>
        <w:t xml:space="preserve">Authorization was obtained from the authorities of ISTM </w:t>
      </w:r>
      <w:proofErr w:type="spellStart"/>
      <w:r w:rsidRPr="00BE350C">
        <w:rPr>
          <w:rFonts w:ascii="Segoe UI" w:eastAsia="Times New Roman" w:hAnsi="Segoe UI" w:cs="Segoe UI"/>
          <w:color w:val="0F1115"/>
          <w:kern w:val="0"/>
          <w14:ligatures w14:val="none"/>
        </w:rPr>
        <w:t>Mbandaka</w:t>
      </w:r>
      <w:proofErr w:type="spellEnd"/>
      <w:r w:rsidRPr="00BE350C">
        <w:rPr>
          <w:rFonts w:ascii="Segoe UI" w:eastAsia="Times New Roman" w:hAnsi="Segoe UI" w:cs="Segoe UI"/>
          <w:color w:val="0F1115"/>
          <w:kern w:val="0"/>
          <w14:ligatures w14:val="none"/>
        </w:rPr>
        <w:t xml:space="preserve"> (research recommendation letter) and then from the Nursing Directorate of HGR </w:t>
      </w:r>
      <w:proofErr w:type="spellStart"/>
      <w:r w:rsidRPr="00BE350C">
        <w:rPr>
          <w:rFonts w:ascii="Segoe UI" w:eastAsia="Times New Roman" w:hAnsi="Segoe UI" w:cs="Segoe UI"/>
          <w:color w:val="0F1115"/>
          <w:kern w:val="0"/>
          <w14:ligatures w14:val="none"/>
        </w:rPr>
        <w:t>Wangata</w:t>
      </w:r>
      <w:proofErr w:type="spellEnd"/>
      <w:r w:rsidRPr="00BE350C">
        <w:rPr>
          <w:rFonts w:ascii="Segoe UI" w:eastAsia="Times New Roman" w:hAnsi="Segoe UI" w:cs="Segoe UI"/>
          <w:color w:val="0F1115"/>
          <w:kern w:val="0"/>
          <w14:ligatures w14:val="none"/>
        </w:rPr>
        <w:t>. Informed consent was obtained, and anonymity and confidentiality were guaranteed.</w:t>
      </w:r>
    </w:p>
    <w:p w14:paraId="5FCEC7AC"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b/>
          <w:bCs/>
          <w:color w:val="0F1115"/>
          <w:kern w:val="0"/>
          <w14:ligatures w14:val="none"/>
        </w:rPr>
        <w:t>3. Results</w:t>
      </w:r>
    </w:p>
    <w:p w14:paraId="1ACEFB70"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b/>
          <w:bCs/>
          <w:color w:val="0F1115"/>
          <w:kern w:val="0"/>
          <w14:ligatures w14:val="none"/>
        </w:rPr>
        <w:t>3.1. Characteristics of Participants (Table I)</w:t>
      </w:r>
    </w:p>
    <w:p w14:paraId="1190A506"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color w:val="0F1115"/>
          <w:kern w:val="0"/>
          <w14:ligatures w14:val="none"/>
        </w:rPr>
        <w:t xml:space="preserve">The mean age was 46 ± 11 years (range 30–65 years). </w:t>
      </w:r>
      <w:proofErr w:type="gramStart"/>
      <w:r w:rsidRPr="00BE350C">
        <w:rPr>
          <w:rFonts w:ascii="Segoe UI" w:eastAsia="Times New Roman" w:hAnsi="Segoe UI" w:cs="Segoe UI"/>
          <w:color w:val="0F1115"/>
          <w:kern w:val="0"/>
          <w14:ligatures w14:val="none"/>
        </w:rPr>
        <w:t>The majority of</w:t>
      </w:r>
      <w:proofErr w:type="gramEnd"/>
      <w:r w:rsidRPr="00BE350C">
        <w:rPr>
          <w:rFonts w:ascii="Segoe UI" w:eastAsia="Times New Roman" w:hAnsi="Segoe UI" w:cs="Segoe UI"/>
          <w:color w:val="0F1115"/>
          <w:kern w:val="0"/>
          <w14:ligatures w14:val="none"/>
        </w:rPr>
        <w:t xml:space="preserve"> subjects were aged 42–53 years (42.1%), female (63.2%), held graduate degrees (A1) (94.7%), and had length of service ≤5 years (57.9%).</w:t>
      </w:r>
    </w:p>
    <w:p w14:paraId="75178688"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b/>
          <w:bCs/>
          <w:color w:val="0F1115"/>
          <w:kern w:val="0"/>
          <w14:ligatures w14:val="none"/>
        </w:rPr>
        <w:t>Table I. Sociodemographic Characteristics (n=19)</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914"/>
        <w:gridCol w:w="3022"/>
        <w:gridCol w:w="1799"/>
        <w:gridCol w:w="1941"/>
      </w:tblGrid>
      <w:tr w:rsidR="00BE350C" w:rsidRPr="00A5135D" w14:paraId="697EA2F5" w14:textId="77777777" w:rsidTr="00A5135D">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229107D1"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lastRenderedPageBreak/>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0E5B2DF"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70BD599"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Frequency (n)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C0E3E74"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Percentage (%)</w:t>
            </w:r>
          </w:p>
        </w:tc>
      </w:tr>
      <w:tr w:rsidR="00BE350C" w:rsidRPr="00A5135D" w14:paraId="1C63AB1D" w14:textId="77777777" w:rsidTr="00A5135D">
        <w:tc>
          <w:tcPr>
            <w:tcW w:w="0" w:type="auto"/>
            <w:tcBorders>
              <w:top w:val="single" w:sz="4" w:space="0" w:color="auto"/>
            </w:tcBorders>
            <w:tcMar>
              <w:top w:w="150" w:type="dxa"/>
              <w:left w:w="0" w:type="dxa"/>
              <w:bottom w:w="150" w:type="dxa"/>
              <w:right w:w="240" w:type="dxa"/>
            </w:tcMar>
            <w:vAlign w:val="center"/>
            <w:hideMark/>
          </w:tcPr>
          <w:p w14:paraId="3A3E8166"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Age (years)</w:t>
            </w:r>
          </w:p>
        </w:tc>
        <w:tc>
          <w:tcPr>
            <w:tcW w:w="0" w:type="auto"/>
            <w:tcBorders>
              <w:top w:val="single" w:sz="4" w:space="0" w:color="auto"/>
            </w:tcBorders>
            <w:tcMar>
              <w:top w:w="150" w:type="dxa"/>
              <w:left w:w="240" w:type="dxa"/>
              <w:bottom w:w="150" w:type="dxa"/>
              <w:right w:w="240" w:type="dxa"/>
            </w:tcMar>
            <w:vAlign w:val="center"/>
            <w:hideMark/>
          </w:tcPr>
          <w:p w14:paraId="0AF6EB38"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30–41</w:t>
            </w:r>
          </w:p>
        </w:tc>
        <w:tc>
          <w:tcPr>
            <w:tcW w:w="0" w:type="auto"/>
            <w:tcBorders>
              <w:top w:val="single" w:sz="4" w:space="0" w:color="auto"/>
            </w:tcBorders>
            <w:tcMar>
              <w:top w:w="150" w:type="dxa"/>
              <w:left w:w="240" w:type="dxa"/>
              <w:bottom w:w="150" w:type="dxa"/>
              <w:right w:w="240" w:type="dxa"/>
            </w:tcMar>
            <w:vAlign w:val="center"/>
            <w:hideMark/>
          </w:tcPr>
          <w:p w14:paraId="3DAA698F"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7</w:t>
            </w:r>
          </w:p>
        </w:tc>
        <w:tc>
          <w:tcPr>
            <w:tcW w:w="0" w:type="auto"/>
            <w:tcBorders>
              <w:top w:val="single" w:sz="4" w:space="0" w:color="auto"/>
            </w:tcBorders>
            <w:tcMar>
              <w:top w:w="150" w:type="dxa"/>
              <w:left w:w="240" w:type="dxa"/>
              <w:bottom w:w="150" w:type="dxa"/>
              <w:right w:w="0" w:type="dxa"/>
            </w:tcMar>
            <w:vAlign w:val="center"/>
            <w:hideMark/>
          </w:tcPr>
          <w:p w14:paraId="4DA05EDA"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36.8</w:t>
            </w:r>
          </w:p>
        </w:tc>
      </w:tr>
      <w:tr w:rsidR="00BE350C" w:rsidRPr="00A5135D" w14:paraId="28C30B1E" w14:textId="77777777" w:rsidTr="00A5135D">
        <w:tc>
          <w:tcPr>
            <w:tcW w:w="0" w:type="auto"/>
            <w:tcMar>
              <w:top w:w="150" w:type="dxa"/>
              <w:left w:w="0" w:type="dxa"/>
              <w:bottom w:w="150" w:type="dxa"/>
              <w:right w:w="240" w:type="dxa"/>
            </w:tcMar>
            <w:vAlign w:val="center"/>
            <w:hideMark/>
          </w:tcPr>
          <w:p w14:paraId="36A829D0"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p>
        </w:tc>
        <w:tc>
          <w:tcPr>
            <w:tcW w:w="0" w:type="auto"/>
            <w:tcMar>
              <w:top w:w="150" w:type="dxa"/>
              <w:left w:w="240" w:type="dxa"/>
              <w:bottom w:w="150" w:type="dxa"/>
              <w:right w:w="240" w:type="dxa"/>
            </w:tcMar>
            <w:vAlign w:val="center"/>
            <w:hideMark/>
          </w:tcPr>
          <w:p w14:paraId="6C58E5D4"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42–53</w:t>
            </w:r>
          </w:p>
        </w:tc>
        <w:tc>
          <w:tcPr>
            <w:tcW w:w="0" w:type="auto"/>
            <w:tcMar>
              <w:top w:w="150" w:type="dxa"/>
              <w:left w:w="240" w:type="dxa"/>
              <w:bottom w:w="150" w:type="dxa"/>
              <w:right w:w="240" w:type="dxa"/>
            </w:tcMar>
            <w:vAlign w:val="center"/>
            <w:hideMark/>
          </w:tcPr>
          <w:p w14:paraId="2975EAFB"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8</w:t>
            </w:r>
          </w:p>
        </w:tc>
        <w:tc>
          <w:tcPr>
            <w:tcW w:w="0" w:type="auto"/>
            <w:tcMar>
              <w:top w:w="150" w:type="dxa"/>
              <w:left w:w="240" w:type="dxa"/>
              <w:bottom w:w="150" w:type="dxa"/>
              <w:right w:w="0" w:type="dxa"/>
            </w:tcMar>
            <w:vAlign w:val="center"/>
            <w:hideMark/>
          </w:tcPr>
          <w:p w14:paraId="2BC4677E"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42.1</w:t>
            </w:r>
          </w:p>
        </w:tc>
      </w:tr>
      <w:tr w:rsidR="00BE350C" w:rsidRPr="00A5135D" w14:paraId="3B7E15B0" w14:textId="77777777" w:rsidTr="00A5135D">
        <w:tc>
          <w:tcPr>
            <w:tcW w:w="0" w:type="auto"/>
            <w:tcMar>
              <w:top w:w="150" w:type="dxa"/>
              <w:left w:w="0" w:type="dxa"/>
              <w:bottom w:w="150" w:type="dxa"/>
              <w:right w:w="240" w:type="dxa"/>
            </w:tcMar>
            <w:vAlign w:val="center"/>
            <w:hideMark/>
          </w:tcPr>
          <w:p w14:paraId="5D8E362B"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p>
        </w:tc>
        <w:tc>
          <w:tcPr>
            <w:tcW w:w="0" w:type="auto"/>
            <w:tcMar>
              <w:top w:w="150" w:type="dxa"/>
              <w:left w:w="240" w:type="dxa"/>
              <w:bottom w:w="150" w:type="dxa"/>
              <w:right w:w="240" w:type="dxa"/>
            </w:tcMar>
            <w:vAlign w:val="center"/>
            <w:hideMark/>
          </w:tcPr>
          <w:p w14:paraId="33C0F945"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54–65</w:t>
            </w:r>
          </w:p>
        </w:tc>
        <w:tc>
          <w:tcPr>
            <w:tcW w:w="0" w:type="auto"/>
            <w:tcMar>
              <w:top w:w="150" w:type="dxa"/>
              <w:left w:w="240" w:type="dxa"/>
              <w:bottom w:w="150" w:type="dxa"/>
              <w:right w:w="240" w:type="dxa"/>
            </w:tcMar>
            <w:vAlign w:val="center"/>
            <w:hideMark/>
          </w:tcPr>
          <w:p w14:paraId="0D27AA41"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4</w:t>
            </w:r>
          </w:p>
        </w:tc>
        <w:tc>
          <w:tcPr>
            <w:tcW w:w="0" w:type="auto"/>
            <w:tcMar>
              <w:top w:w="150" w:type="dxa"/>
              <w:left w:w="240" w:type="dxa"/>
              <w:bottom w:w="150" w:type="dxa"/>
              <w:right w:w="0" w:type="dxa"/>
            </w:tcMar>
            <w:vAlign w:val="center"/>
            <w:hideMark/>
          </w:tcPr>
          <w:p w14:paraId="45BB3F74"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21.1</w:t>
            </w:r>
          </w:p>
        </w:tc>
      </w:tr>
      <w:tr w:rsidR="00BE350C" w:rsidRPr="00A5135D" w14:paraId="3636F8DE" w14:textId="77777777" w:rsidTr="00A5135D">
        <w:tc>
          <w:tcPr>
            <w:tcW w:w="0" w:type="auto"/>
            <w:tcMar>
              <w:top w:w="150" w:type="dxa"/>
              <w:left w:w="0" w:type="dxa"/>
              <w:bottom w:w="150" w:type="dxa"/>
              <w:right w:w="240" w:type="dxa"/>
            </w:tcMar>
            <w:vAlign w:val="center"/>
            <w:hideMark/>
          </w:tcPr>
          <w:p w14:paraId="6F12E4E4"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Sex</w:t>
            </w:r>
          </w:p>
        </w:tc>
        <w:tc>
          <w:tcPr>
            <w:tcW w:w="0" w:type="auto"/>
            <w:tcMar>
              <w:top w:w="150" w:type="dxa"/>
              <w:left w:w="240" w:type="dxa"/>
              <w:bottom w:w="150" w:type="dxa"/>
              <w:right w:w="240" w:type="dxa"/>
            </w:tcMar>
            <w:vAlign w:val="center"/>
            <w:hideMark/>
          </w:tcPr>
          <w:p w14:paraId="42E3E482"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Male</w:t>
            </w:r>
          </w:p>
        </w:tc>
        <w:tc>
          <w:tcPr>
            <w:tcW w:w="0" w:type="auto"/>
            <w:tcMar>
              <w:top w:w="150" w:type="dxa"/>
              <w:left w:w="240" w:type="dxa"/>
              <w:bottom w:w="150" w:type="dxa"/>
              <w:right w:w="240" w:type="dxa"/>
            </w:tcMar>
            <w:vAlign w:val="center"/>
            <w:hideMark/>
          </w:tcPr>
          <w:p w14:paraId="3BC2156F"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7</w:t>
            </w:r>
          </w:p>
        </w:tc>
        <w:tc>
          <w:tcPr>
            <w:tcW w:w="0" w:type="auto"/>
            <w:tcMar>
              <w:top w:w="150" w:type="dxa"/>
              <w:left w:w="240" w:type="dxa"/>
              <w:bottom w:w="150" w:type="dxa"/>
              <w:right w:w="0" w:type="dxa"/>
            </w:tcMar>
            <w:vAlign w:val="center"/>
            <w:hideMark/>
          </w:tcPr>
          <w:p w14:paraId="1FBD24BC"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36.8</w:t>
            </w:r>
          </w:p>
        </w:tc>
      </w:tr>
      <w:tr w:rsidR="00BE350C" w:rsidRPr="00A5135D" w14:paraId="094551D8" w14:textId="77777777" w:rsidTr="00A5135D">
        <w:tc>
          <w:tcPr>
            <w:tcW w:w="0" w:type="auto"/>
            <w:tcMar>
              <w:top w:w="150" w:type="dxa"/>
              <w:left w:w="0" w:type="dxa"/>
              <w:bottom w:w="150" w:type="dxa"/>
              <w:right w:w="240" w:type="dxa"/>
            </w:tcMar>
            <w:vAlign w:val="center"/>
            <w:hideMark/>
          </w:tcPr>
          <w:p w14:paraId="75F63BCE"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p>
        </w:tc>
        <w:tc>
          <w:tcPr>
            <w:tcW w:w="0" w:type="auto"/>
            <w:tcMar>
              <w:top w:w="150" w:type="dxa"/>
              <w:left w:w="240" w:type="dxa"/>
              <w:bottom w:w="150" w:type="dxa"/>
              <w:right w:w="240" w:type="dxa"/>
            </w:tcMar>
            <w:vAlign w:val="center"/>
            <w:hideMark/>
          </w:tcPr>
          <w:p w14:paraId="026141E7"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Female</w:t>
            </w:r>
          </w:p>
        </w:tc>
        <w:tc>
          <w:tcPr>
            <w:tcW w:w="0" w:type="auto"/>
            <w:tcMar>
              <w:top w:w="150" w:type="dxa"/>
              <w:left w:w="240" w:type="dxa"/>
              <w:bottom w:w="150" w:type="dxa"/>
              <w:right w:w="240" w:type="dxa"/>
            </w:tcMar>
            <w:vAlign w:val="center"/>
            <w:hideMark/>
          </w:tcPr>
          <w:p w14:paraId="6829FC54"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12</w:t>
            </w:r>
          </w:p>
        </w:tc>
        <w:tc>
          <w:tcPr>
            <w:tcW w:w="0" w:type="auto"/>
            <w:tcMar>
              <w:top w:w="150" w:type="dxa"/>
              <w:left w:w="240" w:type="dxa"/>
              <w:bottom w:w="150" w:type="dxa"/>
              <w:right w:w="0" w:type="dxa"/>
            </w:tcMar>
            <w:vAlign w:val="center"/>
            <w:hideMark/>
          </w:tcPr>
          <w:p w14:paraId="2DC21250"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63.2</w:t>
            </w:r>
          </w:p>
        </w:tc>
      </w:tr>
      <w:tr w:rsidR="00BE350C" w:rsidRPr="00A5135D" w14:paraId="1177C6AB" w14:textId="77777777" w:rsidTr="00A5135D">
        <w:tc>
          <w:tcPr>
            <w:tcW w:w="0" w:type="auto"/>
            <w:tcMar>
              <w:top w:w="150" w:type="dxa"/>
              <w:left w:w="0" w:type="dxa"/>
              <w:bottom w:w="150" w:type="dxa"/>
              <w:right w:w="240" w:type="dxa"/>
            </w:tcMar>
            <w:vAlign w:val="center"/>
            <w:hideMark/>
          </w:tcPr>
          <w:p w14:paraId="43618996"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Education Level</w:t>
            </w:r>
          </w:p>
        </w:tc>
        <w:tc>
          <w:tcPr>
            <w:tcW w:w="0" w:type="auto"/>
            <w:tcMar>
              <w:top w:w="150" w:type="dxa"/>
              <w:left w:w="240" w:type="dxa"/>
              <w:bottom w:w="150" w:type="dxa"/>
              <w:right w:w="240" w:type="dxa"/>
            </w:tcMar>
            <w:vAlign w:val="center"/>
            <w:hideMark/>
          </w:tcPr>
          <w:p w14:paraId="0FE8093A"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Anesthetist A1 (Graduate)</w:t>
            </w:r>
          </w:p>
        </w:tc>
        <w:tc>
          <w:tcPr>
            <w:tcW w:w="0" w:type="auto"/>
            <w:tcMar>
              <w:top w:w="150" w:type="dxa"/>
              <w:left w:w="240" w:type="dxa"/>
              <w:bottom w:w="150" w:type="dxa"/>
              <w:right w:w="240" w:type="dxa"/>
            </w:tcMar>
            <w:vAlign w:val="center"/>
            <w:hideMark/>
          </w:tcPr>
          <w:p w14:paraId="53B69F5B"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18</w:t>
            </w:r>
          </w:p>
        </w:tc>
        <w:tc>
          <w:tcPr>
            <w:tcW w:w="0" w:type="auto"/>
            <w:tcMar>
              <w:top w:w="150" w:type="dxa"/>
              <w:left w:w="240" w:type="dxa"/>
              <w:bottom w:w="150" w:type="dxa"/>
              <w:right w:w="0" w:type="dxa"/>
            </w:tcMar>
            <w:vAlign w:val="center"/>
            <w:hideMark/>
          </w:tcPr>
          <w:p w14:paraId="200C431F"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94.7</w:t>
            </w:r>
          </w:p>
        </w:tc>
      </w:tr>
      <w:tr w:rsidR="00BE350C" w:rsidRPr="00A5135D" w14:paraId="67EA6C59" w14:textId="77777777" w:rsidTr="00A5135D">
        <w:tc>
          <w:tcPr>
            <w:tcW w:w="0" w:type="auto"/>
            <w:tcMar>
              <w:top w:w="150" w:type="dxa"/>
              <w:left w:w="0" w:type="dxa"/>
              <w:bottom w:w="150" w:type="dxa"/>
              <w:right w:w="240" w:type="dxa"/>
            </w:tcMar>
            <w:vAlign w:val="center"/>
            <w:hideMark/>
          </w:tcPr>
          <w:p w14:paraId="3B0D4FC2"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p>
        </w:tc>
        <w:tc>
          <w:tcPr>
            <w:tcW w:w="0" w:type="auto"/>
            <w:tcMar>
              <w:top w:w="150" w:type="dxa"/>
              <w:left w:w="240" w:type="dxa"/>
              <w:bottom w:w="150" w:type="dxa"/>
              <w:right w:w="240" w:type="dxa"/>
            </w:tcMar>
            <w:vAlign w:val="center"/>
            <w:hideMark/>
          </w:tcPr>
          <w:p w14:paraId="08B9A3D1"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Anesthetist L2 (Bachelor's)</w:t>
            </w:r>
          </w:p>
        </w:tc>
        <w:tc>
          <w:tcPr>
            <w:tcW w:w="0" w:type="auto"/>
            <w:tcMar>
              <w:top w:w="150" w:type="dxa"/>
              <w:left w:w="240" w:type="dxa"/>
              <w:bottom w:w="150" w:type="dxa"/>
              <w:right w:w="240" w:type="dxa"/>
            </w:tcMar>
            <w:vAlign w:val="center"/>
            <w:hideMark/>
          </w:tcPr>
          <w:p w14:paraId="54CE3056"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1</w:t>
            </w:r>
          </w:p>
        </w:tc>
        <w:tc>
          <w:tcPr>
            <w:tcW w:w="0" w:type="auto"/>
            <w:tcMar>
              <w:top w:w="150" w:type="dxa"/>
              <w:left w:w="240" w:type="dxa"/>
              <w:bottom w:w="150" w:type="dxa"/>
              <w:right w:w="0" w:type="dxa"/>
            </w:tcMar>
            <w:vAlign w:val="center"/>
            <w:hideMark/>
          </w:tcPr>
          <w:p w14:paraId="052141EA"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5.3</w:t>
            </w:r>
          </w:p>
        </w:tc>
      </w:tr>
      <w:tr w:rsidR="00BE350C" w:rsidRPr="00A5135D" w14:paraId="71232A3C" w14:textId="77777777" w:rsidTr="00A5135D">
        <w:tc>
          <w:tcPr>
            <w:tcW w:w="0" w:type="auto"/>
            <w:tcMar>
              <w:top w:w="150" w:type="dxa"/>
              <w:left w:w="0" w:type="dxa"/>
              <w:bottom w:w="150" w:type="dxa"/>
              <w:right w:w="240" w:type="dxa"/>
            </w:tcMar>
            <w:vAlign w:val="center"/>
            <w:hideMark/>
          </w:tcPr>
          <w:p w14:paraId="274B70F8"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Length of Service</w:t>
            </w:r>
          </w:p>
        </w:tc>
        <w:tc>
          <w:tcPr>
            <w:tcW w:w="0" w:type="auto"/>
            <w:tcMar>
              <w:top w:w="150" w:type="dxa"/>
              <w:left w:w="240" w:type="dxa"/>
              <w:bottom w:w="150" w:type="dxa"/>
              <w:right w:w="240" w:type="dxa"/>
            </w:tcMar>
            <w:vAlign w:val="center"/>
            <w:hideMark/>
          </w:tcPr>
          <w:p w14:paraId="14399D62"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≤5 years</w:t>
            </w:r>
          </w:p>
        </w:tc>
        <w:tc>
          <w:tcPr>
            <w:tcW w:w="0" w:type="auto"/>
            <w:tcMar>
              <w:top w:w="150" w:type="dxa"/>
              <w:left w:w="240" w:type="dxa"/>
              <w:bottom w:w="150" w:type="dxa"/>
              <w:right w:w="240" w:type="dxa"/>
            </w:tcMar>
            <w:vAlign w:val="center"/>
            <w:hideMark/>
          </w:tcPr>
          <w:p w14:paraId="0157706D"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11</w:t>
            </w:r>
          </w:p>
        </w:tc>
        <w:tc>
          <w:tcPr>
            <w:tcW w:w="0" w:type="auto"/>
            <w:tcMar>
              <w:top w:w="150" w:type="dxa"/>
              <w:left w:w="240" w:type="dxa"/>
              <w:bottom w:w="150" w:type="dxa"/>
              <w:right w:w="0" w:type="dxa"/>
            </w:tcMar>
            <w:vAlign w:val="center"/>
            <w:hideMark/>
          </w:tcPr>
          <w:p w14:paraId="1280C571"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57.9</w:t>
            </w:r>
          </w:p>
        </w:tc>
      </w:tr>
      <w:tr w:rsidR="00BE350C" w:rsidRPr="00A5135D" w14:paraId="596119B8" w14:textId="77777777" w:rsidTr="00A5135D">
        <w:tc>
          <w:tcPr>
            <w:tcW w:w="0" w:type="auto"/>
            <w:tcMar>
              <w:top w:w="150" w:type="dxa"/>
              <w:left w:w="0" w:type="dxa"/>
              <w:bottom w:w="150" w:type="dxa"/>
              <w:right w:w="240" w:type="dxa"/>
            </w:tcMar>
            <w:vAlign w:val="center"/>
            <w:hideMark/>
          </w:tcPr>
          <w:p w14:paraId="6D182F40"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p>
        </w:tc>
        <w:tc>
          <w:tcPr>
            <w:tcW w:w="0" w:type="auto"/>
            <w:tcMar>
              <w:top w:w="150" w:type="dxa"/>
              <w:left w:w="240" w:type="dxa"/>
              <w:bottom w:w="150" w:type="dxa"/>
              <w:right w:w="240" w:type="dxa"/>
            </w:tcMar>
            <w:vAlign w:val="center"/>
            <w:hideMark/>
          </w:tcPr>
          <w:p w14:paraId="53D99E9D"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≥6 years</w:t>
            </w:r>
          </w:p>
        </w:tc>
        <w:tc>
          <w:tcPr>
            <w:tcW w:w="0" w:type="auto"/>
            <w:tcMar>
              <w:top w:w="150" w:type="dxa"/>
              <w:left w:w="240" w:type="dxa"/>
              <w:bottom w:w="150" w:type="dxa"/>
              <w:right w:w="240" w:type="dxa"/>
            </w:tcMar>
            <w:vAlign w:val="center"/>
            <w:hideMark/>
          </w:tcPr>
          <w:p w14:paraId="5EA6CA52"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8</w:t>
            </w:r>
          </w:p>
        </w:tc>
        <w:tc>
          <w:tcPr>
            <w:tcW w:w="0" w:type="auto"/>
            <w:tcMar>
              <w:top w:w="150" w:type="dxa"/>
              <w:left w:w="240" w:type="dxa"/>
              <w:bottom w:w="150" w:type="dxa"/>
              <w:right w:w="0" w:type="dxa"/>
            </w:tcMar>
            <w:vAlign w:val="center"/>
            <w:hideMark/>
          </w:tcPr>
          <w:p w14:paraId="3FAC8B19"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42.1</w:t>
            </w:r>
          </w:p>
        </w:tc>
      </w:tr>
    </w:tbl>
    <w:p w14:paraId="7D24874D"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b/>
          <w:bCs/>
          <w:color w:val="0F1115"/>
          <w:kern w:val="0"/>
          <w14:ligatures w14:val="none"/>
        </w:rPr>
        <w:t>3.2. Applicability by Transfusion Phase (Table II)</w:t>
      </w:r>
    </w:p>
    <w:p w14:paraId="7D677E8B"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b/>
          <w:bCs/>
          <w:color w:val="0F1115"/>
          <w:kern w:val="0"/>
          <w14:ligatures w14:val="none"/>
        </w:rPr>
        <w:t>Table II. Mean Applicability Scores by Phase</w:t>
      </w:r>
    </w:p>
    <w:tbl>
      <w:tblPr>
        <w:tblW w:w="6137"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4463"/>
        <w:gridCol w:w="1674"/>
      </w:tblGrid>
      <w:tr w:rsidR="00BE350C" w:rsidRPr="00A5135D" w14:paraId="5017FA01" w14:textId="77777777" w:rsidTr="00A5135D">
        <w:trPr>
          <w:tblHeader/>
        </w:trPr>
        <w:tc>
          <w:tcPr>
            <w:tcW w:w="4463" w:type="dxa"/>
            <w:tcBorders>
              <w:top w:val="single" w:sz="4" w:space="0" w:color="auto"/>
              <w:bottom w:val="single" w:sz="4" w:space="0" w:color="auto"/>
            </w:tcBorders>
            <w:tcMar>
              <w:top w:w="150" w:type="dxa"/>
              <w:left w:w="0" w:type="dxa"/>
              <w:bottom w:w="150" w:type="dxa"/>
              <w:right w:w="240" w:type="dxa"/>
            </w:tcMar>
            <w:vAlign w:val="center"/>
            <w:hideMark/>
          </w:tcPr>
          <w:p w14:paraId="066E9828"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Phase</w:t>
            </w:r>
          </w:p>
        </w:tc>
        <w:tc>
          <w:tcPr>
            <w:tcW w:w="1674" w:type="dxa"/>
            <w:tcBorders>
              <w:top w:val="single" w:sz="4" w:space="0" w:color="auto"/>
              <w:bottom w:val="single" w:sz="4" w:space="0" w:color="auto"/>
            </w:tcBorders>
            <w:tcMar>
              <w:top w:w="150" w:type="dxa"/>
              <w:left w:w="240" w:type="dxa"/>
              <w:bottom w:w="150" w:type="dxa"/>
              <w:right w:w="240" w:type="dxa"/>
            </w:tcMar>
            <w:vAlign w:val="center"/>
            <w:hideMark/>
          </w:tcPr>
          <w:p w14:paraId="5BCFDB2B"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Mean Score (%)</w:t>
            </w:r>
          </w:p>
        </w:tc>
      </w:tr>
      <w:tr w:rsidR="00BE350C" w:rsidRPr="00A5135D" w14:paraId="0D129546" w14:textId="77777777" w:rsidTr="00A5135D">
        <w:tc>
          <w:tcPr>
            <w:tcW w:w="4463" w:type="dxa"/>
            <w:tcBorders>
              <w:top w:val="single" w:sz="4" w:space="0" w:color="auto"/>
            </w:tcBorders>
            <w:tcMar>
              <w:top w:w="150" w:type="dxa"/>
              <w:left w:w="0" w:type="dxa"/>
              <w:bottom w:w="150" w:type="dxa"/>
              <w:right w:w="240" w:type="dxa"/>
            </w:tcMar>
            <w:vAlign w:val="center"/>
            <w:hideMark/>
          </w:tcPr>
          <w:p w14:paraId="42DEDC18"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Pre-transfusion</w:t>
            </w:r>
          </w:p>
        </w:tc>
        <w:tc>
          <w:tcPr>
            <w:tcW w:w="1674" w:type="dxa"/>
            <w:tcBorders>
              <w:top w:val="single" w:sz="4" w:space="0" w:color="auto"/>
            </w:tcBorders>
            <w:tcMar>
              <w:top w:w="150" w:type="dxa"/>
              <w:left w:w="240" w:type="dxa"/>
              <w:bottom w:w="150" w:type="dxa"/>
              <w:right w:w="0" w:type="dxa"/>
            </w:tcMar>
            <w:vAlign w:val="center"/>
            <w:hideMark/>
          </w:tcPr>
          <w:p w14:paraId="7AAE557D"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49.2</w:t>
            </w:r>
          </w:p>
        </w:tc>
      </w:tr>
      <w:tr w:rsidR="00BE350C" w:rsidRPr="00A5135D" w14:paraId="3E5BA8B0" w14:textId="77777777" w:rsidTr="00A5135D">
        <w:tc>
          <w:tcPr>
            <w:tcW w:w="4463" w:type="dxa"/>
            <w:tcMar>
              <w:top w:w="150" w:type="dxa"/>
              <w:left w:w="0" w:type="dxa"/>
              <w:bottom w:w="150" w:type="dxa"/>
              <w:right w:w="240" w:type="dxa"/>
            </w:tcMar>
            <w:vAlign w:val="center"/>
            <w:hideMark/>
          </w:tcPr>
          <w:p w14:paraId="1CF55175"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Per-transfusion (monitoring + management)</w:t>
            </w:r>
          </w:p>
        </w:tc>
        <w:tc>
          <w:tcPr>
            <w:tcW w:w="1674" w:type="dxa"/>
            <w:tcMar>
              <w:top w:w="150" w:type="dxa"/>
              <w:left w:w="240" w:type="dxa"/>
              <w:bottom w:w="150" w:type="dxa"/>
              <w:right w:w="0" w:type="dxa"/>
            </w:tcMar>
            <w:vAlign w:val="center"/>
            <w:hideMark/>
          </w:tcPr>
          <w:p w14:paraId="0A42C3BC"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48.1</w:t>
            </w:r>
          </w:p>
        </w:tc>
      </w:tr>
      <w:tr w:rsidR="00BE350C" w:rsidRPr="00A5135D" w14:paraId="35E99759" w14:textId="77777777" w:rsidTr="00A5135D">
        <w:tc>
          <w:tcPr>
            <w:tcW w:w="4463" w:type="dxa"/>
            <w:tcMar>
              <w:top w:w="150" w:type="dxa"/>
              <w:left w:w="0" w:type="dxa"/>
              <w:bottom w:w="150" w:type="dxa"/>
              <w:right w:w="240" w:type="dxa"/>
            </w:tcMar>
            <w:vAlign w:val="center"/>
            <w:hideMark/>
          </w:tcPr>
          <w:p w14:paraId="5D6333EA"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Post-transfusion</w:t>
            </w:r>
          </w:p>
        </w:tc>
        <w:tc>
          <w:tcPr>
            <w:tcW w:w="1674" w:type="dxa"/>
            <w:tcMar>
              <w:top w:w="150" w:type="dxa"/>
              <w:left w:w="240" w:type="dxa"/>
              <w:bottom w:w="150" w:type="dxa"/>
              <w:right w:w="0" w:type="dxa"/>
            </w:tcMar>
            <w:vAlign w:val="center"/>
            <w:hideMark/>
          </w:tcPr>
          <w:p w14:paraId="41CB78E4"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81.6</w:t>
            </w:r>
          </w:p>
        </w:tc>
      </w:tr>
      <w:tr w:rsidR="00BE350C" w:rsidRPr="00A5135D" w14:paraId="20E9A48C" w14:textId="77777777" w:rsidTr="00A5135D">
        <w:tc>
          <w:tcPr>
            <w:tcW w:w="4463" w:type="dxa"/>
            <w:tcMar>
              <w:top w:w="150" w:type="dxa"/>
              <w:left w:w="0" w:type="dxa"/>
              <w:bottom w:w="150" w:type="dxa"/>
              <w:right w:w="240" w:type="dxa"/>
            </w:tcMar>
            <w:vAlign w:val="center"/>
            <w:hideMark/>
          </w:tcPr>
          <w:p w14:paraId="5D6006F9"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b/>
                <w:bCs/>
                <w:kern w:val="0"/>
                <w:sz w:val="22"/>
                <w:szCs w:val="22"/>
                <w14:ligatures w14:val="none"/>
              </w:rPr>
              <w:t>Overall Score</w:t>
            </w:r>
          </w:p>
        </w:tc>
        <w:tc>
          <w:tcPr>
            <w:tcW w:w="1674" w:type="dxa"/>
            <w:tcMar>
              <w:top w:w="150" w:type="dxa"/>
              <w:left w:w="240" w:type="dxa"/>
              <w:bottom w:w="150" w:type="dxa"/>
              <w:right w:w="0" w:type="dxa"/>
            </w:tcMar>
            <w:vAlign w:val="center"/>
            <w:hideMark/>
          </w:tcPr>
          <w:p w14:paraId="47F86FE6"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b/>
                <w:bCs/>
                <w:kern w:val="0"/>
                <w:sz w:val="22"/>
                <w:szCs w:val="22"/>
                <w14:ligatures w14:val="none"/>
              </w:rPr>
              <w:t>50.9</w:t>
            </w:r>
          </w:p>
        </w:tc>
      </w:tr>
    </w:tbl>
    <w:p w14:paraId="3E5A481B"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color w:val="0F1115"/>
          <w:kern w:val="0"/>
          <w14:ligatures w14:val="none"/>
        </w:rPr>
        <w:t xml:space="preserve">The most adhered-to rules </w:t>
      </w:r>
      <w:proofErr w:type="gramStart"/>
      <w:r w:rsidRPr="00BE350C">
        <w:rPr>
          <w:rFonts w:ascii="Segoe UI" w:eastAsia="Times New Roman" w:hAnsi="Segoe UI" w:cs="Segoe UI"/>
          <w:color w:val="0F1115"/>
          <w:kern w:val="0"/>
          <w14:ligatures w14:val="none"/>
        </w:rPr>
        <w:t>were:</w:t>
      </w:r>
      <w:proofErr w:type="gramEnd"/>
      <w:r w:rsidRPr="00BE350C">
        <w:rPr>
          <w:rFonts w:ascii="Segoe UI" w:eastAsia="Times New Roman" w:hAnsi="Segoe UI" w:cs="Segoe UI"/>
          <w:color w:val="0F1115"/>
          <w:kern w:val="0"/>
          <w14:ligatures w14:val="none"/>
        </w:rPr>
        <w:t xml:space="preserve"> blood group verification (89.5%), transfusion cessation in case of adverse event (89.5%), monitoring for chills (84.2%), identity verification (73.7%), and blood pressure measurement (73.7%). The main gaps concerned: </w:t>
      </w:r>
      <w:r w:rsidRPr="00BE350C">
        <w:rPr>
          <w:rFonts w:ascii="Segoe UI" w:eastAsia="Times New Roman" w:hAnsi="Segoe UI" w:cs="Segoe UI"/>
          <w:color w:val="0F1115"/>
          <w:kern w:val="0"/>
          <w14:ligatures w14:val="none"/>
        </w:rPr>
        <w:lastRenderedPageBreak/>
        <w:t>refrigerated transport (26.3%), unit numbering on the patient chart (26.3%), calling the responsible officer in case of adverse event (21.1%), and systematic pre-transfusion verification using a control card at the bedside (42.1%).</w:t>
      </w:r>
    </w:p>
    <w:p w14:paraId="288D04F5"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b/>
          <w:bCs/>
          <w:color w:val="0F1115"/>
          <w:kern w:val="0"/>
          <w14:ligatures w14:val="none"/>
        </w:rPr>
        <w:t>3.3. Bivariate Analyses (Table III)</w:t>
      </w:r>
    </w:p>
    <w:p w14:paraId="4503F9FA"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color w:val="0F1115"/>
          <w:kern w:val="0"/>
          <w14:ligatures w14:val="none"/>
        </w:rPr>
        <w:t>No statistically significant association was observed between the applicability score and age, sex, professional category, or length of service (all p &gt; 0.10).</w:t>
      </w:r>
    </w:p>
    <w:p w14:paraId="4499D6E5"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b/>
          <w:bCs/>
          <w:color w:val="0F1115"/>
          <w:kern w:val="0"/>
          <w14:ligatures w14:val="none"/>
        </w:rPr>
        <w:t>Table III. Relationship Between Characteristics and Applicability (t-test)</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914"/>
        <w:gridCol w:w="1878"/>
        <w:gridCol w:w="2171"/>
        <w:gridCol w:w="1334"/>
        <w:gridCol w:w="1208"/>
      </w:tblGrid>
      <w:tr w:rsidR="00BE350C" w:rsidRPr="00A5135D" w14:paraId="40E24946" w14:textId="77777777" w:rsidTr="00A5135D">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5CD5D852"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2D8A66C"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Group</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C752E8A"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Mean Score ± SD</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6872B8A"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t (</w:t>
            </w:r>
            <w:proofErr w:type="spellStart"/>
            <w:r w:rsidRPr="00A5135D">
              <w:rPr>
                <w:rFonts w:ascii="Segoe UI" w:eastAsia="Times New Roman" w:hAnsi="Segoe UI" w:cs="Segoe UI"/>
                <w:kern w:val="0"/>
                <w:sz w:val="22"/>
                <w:szCs w:val="22"/>
                <w14:ligatures w14:val="none"/>
              </w:rPr>
              <w:t>df</w:t>
            </w:r>
            <w:proofErr w:type="spellEnd"/>
            <w:r w:rsidRPr="00A5135D">
              <w:rPr>
                <w:rFonts w:ascii="Segoe UI" w:eastAsia="Times New Roman" w:hAnsi="Segoe UI" w:cs="Segoe UI"/>
                <w:kern w:val="0"/>
                <w:sz w:val="22"/>
                <w:szCs w:val="22"/>
                <w14:ligatures w14:val="none"/>
              </w:rPr>
              <w:t>=17)</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A9E2AF2"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p-value</w:t>
            </w:r>
          </w:p>
        </w:tc>
      </w:tr>
      <w:tr w:rsidR="00BE350C" w:rsidRPr="00A5135D" w14:paraId="3EAF03C2" w14:textId="77777777" w:rsidTr="00A5135D">
        <w:tc>
          <w:tcPr>
            <w:tcW w:w="0" w:type="auto"/>
            <w:tcBorders>
              <w:top w:val="single" w:sz="4" w:space="0" w:color="auto"/>
            </w:tcBorders>
            <w:tcMar>
              <w:top w:w="150" w:type="dxa"/>
              <w:left w:w="0" w:type="dxa"/>
              <w:bottom w:w="150" w:type="dxa"/>
              <w:right w:w="240" w:type="dxa"/>
            </w:tcMar>
            <w:vAlign w:val="center"/>
            <w:hideMark/>
          </w:tcPr>
          <w:p w14:paraId="4421E795"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Age</w:t>
            </w:r>
          </w:p>
        </w:tc>
        <w:tc>
          <w:tcPr>
            <w:tcW w:w="0" w:type="auto"/>
            <w:tcBorders>
              <w:top w:val="single" w:sz="4" w:space="0" w:color="auto"/>
            </w:tcBorders>
            <w:tcMar>
              <w:top w:w="150" w:type="dxa"/>
              <w:left w:w="240" w:type="dxa"/>
              <w:bottom w:w="150" w:type="dxa"/>
              <w:right w:w="240" w:type="dxa"/>
            </w:tcMar>
            <w:vAlign w:val="center"/>
            <w:hideMark/>
          </w:tcPr>
          <w:p w14:paraId="63BE2135"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≤46 years</w:t>
            </w:r>
          </w:p>
        </w:tc>
        <w:tc>
          <w:tcPr>
            <w:tcW w:w="0" w:type="auto"/>
            <w:tcBorders>
              <w:top w:val="single" w:sz="4" w:space="0" w:color="auto"/>
            </w:tcBorders>
            <w:tcMar>
              <w:top w:w="150" w:type="dxa"/>
              <w:left w:w="240" w:type="dxa"/>
              <w:bottom w:w="150" w:type="dxa"/>
              <w:right w:w="240" w:type="dxa"/>
            </w:tcMar>
            <w:vAlign w:val="center"/>
            <w:hideMark/>
          </w:tcPr>
          <w:p w14:paraId="100CE58B"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58.5 ± 19.1</w:t>
            </w:r>
          </w:p>
        </w:tc>
        <w:tc>
          <w:tcPr>
            <w:tcW w:w="0" w:type="auto"/>
            <w:tcBorders>
              <w:top w:val="single" w:sz="4" w:space="0" w:color="auto"/>
            </w:tcBorders>
            <w:tcMar>
              <w:top w:w="150" w:type="dxa"/>
              <w:left w:w="240" w:type="dxa"/>
              <w:bottom w:w="150" w:type="dxa"/>
              <w:right w:w="240" w:type="dxa"/>
            </w:tcMar>
            <w:vAlign w:val="center"/>
            <w:hideMark/>
          </w:tcPr>
          <w:p w14:paraId="59CEBF90"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0.014</w:t>
            </w:r>
          </w:p>
        </w:tc>
        <w:tc>
          <w:tcPr>
            <w:tcW w:w="0" w:type="auto"/>
            <w:tcBorders>
              <w:top w:val="single" w:sz="4" w:space="0" w:color="auto"/>
            </w:tcBorders>
            <w:tcMar>
              <w:top w:w="150" w:type="dxa"/>
              <w:left w:w="240" w:type="dxa"/>
              <w:bottom w:w="150" w:type="dxa"/>
              <w:right w:w="0" w:type="dxa"/>
            </w:tcMar>
            <w:vAlign w:val="center"/>
            <w:hideMark/>
          </w:tcPr>
          <w:p w14:paraId="6B97EEBF"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0.989</w:t>
            </w:r>
          </w:p>
        </w:tc>
      </w:tr>
      <w:tr w:rsidR="00BE350C" w:rsidRPr="00A5135D" w14:paraId="73057222" w14:textId="77777777" w:rsidTr="00A5135D">
        <w:tc>
          <w:tcPr>
            <w:tcW w:w="0" w:type="auto"/>
            <w:tcMar>
              <w:top w:w="150" w:type="dxa"/>
              <w:left w:w="0" w:type="dxa"/>
              <w:bottom w:w="150" w:type="dxa"/>
              <w:right w:w="240" w:type="dxa"/>
            </w:tcMar>
            <w:vAlign w:val="center"/>
            <w:hideMark/>
          </w:tcPr>
          <w:p w14:paraId="5B2FF261"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p>
        </w:tc>
        <w:tc>
          <w:tcPr>
            <w:tcW w:w="0" w:type="auto"/>
            <w:tcMar>
              <w:top w:w="150" w:type="dxa"/>
              <w:left w:w="240" w:type="dxa"/>
              <w:bottom w:w="150" w:type="dxa"/>
              <w:right w:w="240" w:type="dxa"/>
            </w:tcMar>
            <w:vAlign w:val="center"/>
            <w:hideMark/>
          </w:tcPr>
          <w:p w14:paraId="59726953"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≥47 years</w:t>
            </w:r>
          </w:p>
        </w:tc>
        <w:tc>
          <w:tcPr>
            <w:tcW w:w="0" w:type="auto"/>
            <w:tcMar>
              <w:top w:w="150" w:type="dxa"/>
              <w:left w:w="240" w:type="dxa"/>
              <w:bottom w:w="150" w:type="dxa"/>
              <w:right w:w="240" w:type="dxa"/>
            </w:tcMar>
            <w:vAlign w:val="center"/>
            <w:hideMark/>
          </w:tcPr>
          <w:p w14:paraId="153F792F"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58.6 ± 22.8</w:t>
            </w:r>
          </w:p>
        </w:tc>
        <w:tc>
          <w:tcPr>
            <w:tcW w:w="0" w:type="auto"/>
            <w:tcMar>
              <w:top w:w="150" w:type="dxa"/>
              <w:left w:w="240" w:type="dxa"/>
              <w:bottom w:w="150" w:type="dxa"/>
              <w:right w:w="240" w:type="dxa"/>
            </w:tcMar>
            <w:vAlign w:val="center"/>
            <w:hideMark/>
          </w:tcPr>
          <w:p w14:paraId="3F18C65B"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p>
        </w:tc>
        <w:tc>
          <w:tcPr>
            <w:tcW w:w="0" w:type="auto"/>
            <w:tcMar>
              <w:top w:w="150" w:type="dxa"/>
              <w:left w:w="240" w:type="dxa"/>
              <w:bottom w:w="150" w:type="dxa"/>
              <w:right w:w="0" w:type="dxa"/>
            </w:tcMar>
            <w:vAlign w:val="center"/>
            <w:hideMark/>
          </w:tcPr>
          <w:p w14:paraId="347E796F" w14:textId="77777777" w:rsidR="00BE350C" w:rsidRPr="00A5135D" w:rsidRDefault="00BE350C" w:rsidP="00A5135D">
            <w:pPr>
              <w:spacing w:after="0" w:line="240" w:lineRule="auto"/>
              <w:rPr>
                <w:rFonts w:ascii="Times New Roman" w:eastAsia="Times New Roman" w:hAnsi="Times New Roman" w:cs="Times New Roman"/>
                <w:kern w:val="0"/>
                <w:sz w:val="22"/>
                <w:szCs w:val="22"/>
                <w14:ligatures w14:val="none"/>
              </w:rPr>
            </w:pPr>
          </w:p>
        </w:tc>
      </w:tr>
      <w:tr w:rsidR="00BE350C" w:rsidRPr="00A5135D" w14:paraId="5CCDCEB9" w14:textId="77777777" w:rsidTr="00A5135D">
        <w:tc>
          <w:tcPr>
            <w:tcW w:w="0" w:type="auto"/>
            <w:tcMar>
              <w:top w:w="150" w:type="dxa"/>
              <w:left w:w="0" w:type="dxa"/>
              <w:bottom w:w="150" w:type="dxa"/>
              <w:right w:w="240" w:type="dxa"/>
            </w:tcMar>
            <w:vAlign w:val="center"/>
            <w:hideMark/>
          </w:tcPr>
          <w:p w14:paraId="32F88840"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Sex</w:t>
            </w:r>
          </w:p>
        </w:tc>
        <w:tc>
          <w:tcPr>
            <w:tcW w:w="0" w:type="auto"/>
            <w:tcMar>
              <w:top w:w="150" w:type="dxa"/>
              <w:left w:w="240" w:type="dxa"/>
              <w:bottom w:w="150" w:type="dxa"/>
              <w:right w:w="240" w:type="dxa"/>
            </w:tcMar>
            <w:vAlign w:val="center"/>
            <w:hideMark/>
          </w:tcPr>
          <w:p w14:paraId="038FC982"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Male</w:t>
            </w:r>
          </w:p>
        </w:tc>
        <w:tc>
          <w:tcPr>
            <w:tcW w:w="0" w:type="auto"/>
            <w:tcMar>
              <w:top w:w="150" w:type="dxa"/>
              <w:left w:w="240" w:type="dxa"/>
              <w:bottom w:w="150" w:type="dxa"/>
              <w:right w:w="240" w:type="dxa"/>
            </w:tcMar>
            <w:vAlign w:val="center"/>
            <w:hideMark/>
          </w:tcPr>
          <w:p w14:paraId="3E3233ED"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64.1 ± 22.5</w:t>
            </w:r>
          </w:p>
        </w:tc>
        <w:tc>
          <w:tcPr>
            <w:tcW w:w="0" w:type="auto"/>
            <w:tcMar>
              <w:top w:w="150" w:type="dxa"/>
              <w:left w:w="240" w:type="dxa"/>
              <w:bottom w:w="150" w:type="dxa"/>
              <w:right w:w="240" w:type="dxa"/>
            </w:tcMar>
            <w:vAlign w:val="center"/>
            <w:hideMark/>
          </w:tcPr>
          <w:p w14:paraId="26FEF1AD"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0.905</w:t>
            </w:r>
          </w:p>
        </w:tc>
        <w:tc>
          <w:tcPr>
            <w:tcW w:w="0" w:type="auto"/>
            <w:tcMar>
              <w:top w:w="150" w:type="dxa"/>
              <w:left w:w="240" w:type="dxa"/>
              <w:bottom w:w="150" w:type="dxa"/>
              <w:right w:w="0" w:type="dxa"/>
            </w:tcMar>
            <w:vAlign w:val="center"/>
            <w:hideMark/>
          </w:tcPr>
          <w:p w14:paraId="1D8A46E0"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0.378</w:t>
            </w:r>
          </w:p>
        </w:tc>
      </w:tr>
      <w:tr w:rsidR="00BE350C" w:rsidRPr="00A5135D" w14:paraId="5C5BA535" w14:textId="77777777" w:rsidTr="00A5135D">
        <w:tc>
          <w:tcPr>
            <w:tcW w:w="0" w:type="auto"/>
            <w:tcMar>
              <w:top w:w="150" w:type="dxa"/>
              <w:left w:w="0" w:type="dxa"/>
              <w:bottom w:w="150" w:type="dxa"/>
              <w:right w:w="240" w:type="dxa"/>
            </w:tcMar>
            <w:vAlign w:val="center"/>
            <w:hideMark/>
          </w:tcPr>
          <w:p w14:paraId="5E8076C2"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p>
        </w:tc>
        <w:tc>
          <w:tcPr>
            <w:tcW w:w="0" w:type="auto"/>
            <w:tcMar>
              <w:top w:w="150" w:type="dxa"/>
              <w:left w:w="240" w:type="dxa"/>
              <w:bottom w:w="150" w:type="dxa"/>
              <w:right w:w="240" w:type="dxa"/>
            </w:tcMar>
            <w:vAlign w:val="center"/>
            <w:hideMark/>
          </w:tcPr>
          <w:p w14:paraId="0158CB5E"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Female</w:t>
            </w:r>
          </w:p>
        </w:tc>
        <w:tc>
          <w:tcPr>
            <w:tcW w:w="0" w:type="auto"/>
            <w:tcMar>
              <w:top w:w="150" w:type="dxa"/>
              <w:left w:w="240" w:type="dxa"/>
              <w:bottom w:w="150" w:type="dxa"/>
              <w:right w:w="240" w:type="dxa"/>
            </w:tcMar>
            <w:vAlign w:val="center"/>
            <w:hideMark/>
          </w:tcPr>
          <w:p w14:paraId="467E9549"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55.3 ± 18.9</w:t>
            </w:r>
          </w:p>
        </w:tc>
        <w:tc>
          <w:tcPr>
            <w:tcW w:w="0" w:type="auto"/>
            <w:tcMar>
              <w:top w:w="150" w:type="dxa"/>
              <w:left w:w="240" w:type="dxa"/>
              <w:bottom w:w="150" w:type="dxa"/>
              <w:right w:w="240" w:type="dxa"/>
            </w:tcMar>
            <w:vAlign w:val="center"/>
            <w:hideMark/>
          </w:tcPr>
          <w:p w14:paraId="0131FDF2"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p>
        </w:tc>
        <w:tc>
          <w:tcPr>
            <w:tcW w:w="0" w:type="auto"/>
            <w:tcMar>
              <w:top w:w="150" w:type="dxa"/>
              <w:left w:w="240" w:type="dxa"/>
              <w:bottom w:w="150" w:type="dxa"/>
              <w:right w:w="0" w:type="dxa"/>
            </w:tcMar>
            <w:vAlign w:val="center"/>
            <w:hideMark/>
          </w:tcPr>
          <w:p w14:paraId="75E7E57B" w14:textId="77777777" w:rsidR="00BE350C" w:rsidRPr="00A5135D" w:rsidRDefault="00BE350C" w:rsidP="00A5135D">
            <w:pPr>
              <w:spacing w:after="0" w:line="240" w:lineRule="auto"/>
              <w:rPr>
                <w:rFonts w:ascii="Times New Roman" w:eastAsia="Times New Roman" w:hAnsi="Times New Roman" w:cs="Times New Roman"/>
                <w:kern w:val="0"/>
                <w:sz w:val="22"/>
                <w:szCs w:val="22"/>
                <w14:ligatures w14:val="none"/>
              </w:rPr>
            </w:pPr>
          </w:p>
        </w:tc>
      </w:tr>
      <w:tr w:rsidR="00BE350C" w:rsidRPr="00A5135D" w14:paraId="47E2A00C" w14:textId="77777777" w:rsidTr="00A5135D">
        <w:tc>
          <w:tcPr>
            <w:tcW w:w="0" w:type="auto"/>
            <w:tcMar>
              <w:top w:w="150" w:type="dxa"/>
              <w:left w:w="0" w:type="dxa"/>
              <w:bottom w:w="150" w:type="dxa"/>
              <w:right w:w="240" w:type="dxa"/>
            </w:tcMar>
            <w:vAlign w:val="center"/>
            <w:hideMark/>
          </w:tcPr>
          <w:p w14:paraId="42DDBB7E"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Education Level</w:t>
            </w:r>
          </w:p>
        </w:tc>
        <w:tc>
          <w:tcPr>
            <w:tcW w:w="0" w:type="auto"/>
            <w:tcMar>
              <w:top w:w="150" w:type="dxa"/>
              <w:left w:w="240" w:type="dxa"/>
              <w:bottom w:w="150" w:type="dxa"/>
              <w:right w:w="240" w:type="dxa"/>
            </w:tcMar>
            <w:vAlign w:val="center"/>
            <w:hideMark/>
          </w:tcPr>
          <w:p w14:paraId="4F6EB76D"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A1 (Graduate)</w:t>
            </w:r>
          </w:p>
        </w:tc>
        <w:tc>
          <w:tcPr>
            <w:tcW w:w="0" w:type="auto"/>
            <w:tcMar>
              <w:top w:w="150" w:type="dxa"/>
              <w:left w:w="240" w:type="dxa"/>
              <w:bottom w:w="150" w:type="dxa"/>
              <w:right w:w="240" w:type="dxa"/>
            </w:tcMar>
            <w:vAlign w:val="center"/>
            <w:hideMark/>
          </w:tcPr>
          <w:p w14:paraId="657FA497"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57.5 ± 20.2</w:t>
            </w:r>
          </w:p>
        </w:tc>
        <w:tc>
          <w:tcPr>
            <w:tcW w:w="0" w:type="auto"/>
            <w:tcMar>
              <w:top w:w="150" w:type="dxa"/>
              <w:left w:w="240" w:type="dxa"/>
              <w:bottom w:w="150" w:type="dxa"/>
              <w:right w:w="240" w:type="dxa"/>
            </w:tcMar>
            <w:vAlign w:val="center"/>
            <w:hideMark/>
          </w:tcPr>
          <w:p w14:paraId="6CDA2672"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0.954</w:t>
            </w:r>
          </w:p>
        </w:tc>
        <w:tc>
          <w:tcPr>
            <w:tcW w:w="0" w:type="auto"/>
            <w:tcMar>
              <w:top w:w="150" w:type="dxa"/>
              <w:left w:w="240" w:type="dxa"/>
              <w:bottom w:w="150" w:type="dxa"/>
              <w:right w:w="0" w:type="dxa"/>
            </w:tcMar>
            <w:vAlign w:val="center"/>
            <w:hideMark/>
          </w:tcPr>
          <w:p w14:paraId="0801CB58"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0.354</w:t>
            </w:r>
          </w:p>
        </w:tc>
      </w:tr>
      <w:tr w:rsidR="00BE350C" w:rsidRPr="00A5135D" w14:paraId="2F938070" w14:textId="77777777" w:rsidTr="00A5135D">
        <w:tc>
          <w:tcPr>
            <w:tcW w:w="0" w:type="auto"/>
            <w:tcMar>
              <w:top w:w="150" w:type="dxa"/>
              <w:left w:w="0" w:type="dxa"/>
              <w:bottom w:w="150" w:type="dxa"/>
              <w:right w:w="240" w:type="dxa"/>
            </w:tcMar>
            <w:vAlign w:val="center"/>
            <w:hideMark/>
          </w:tcPr>
          <w:p w14:paraId="5C22C539"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p>
        </w:tc>
        <w:tc>
          <w:tcPr>
            <w:tcW w:w="0" w:type="auto"/>
            <w:tcMar>
              <w:top w:w="150" w:type="dxa"/>
              <w:left w:w="240" w:type="dxa"/>
              <w:bottom w:w="150" w:type="dxa"/>
              <w:right w:w="240" w:type="dxa"/>
            </w:tcMar>
            <w:vAlign w:val="center"/>
            <w:hideMark/>
          </w:tcPr>
          <w:p w14:paraId="3CF505E2"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L2 (Bachelor's)</w:t>
            </w:r>
          </w:p>
        </w:tc>
        <w:tc>
          <w:tcPr>
            <w:tcW w:w="0" w:type="auto"/>
            <w:tcMar>
              <w:top w:w="150" w:type="dxa"/>
              <w:left w:w="240" w:type="dxa"/>
              <w:bottom w:w="150" w:type="dxa"/>
              <w:right w:w="240" w:type="dxa"/>
            </w:tcMar>
            <w:vAlign w:val="center"/>
            <w:hideMark/>
          </w:tcPr>
          <w:p w14:paraId="1EEF7157"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77.3 ± 0.0</w:t>
            </w:r>
          </w:p>
        </w:tc>
        <w:tc>
          <w:tcPr>
            <w:tcW w:w="0" w:type="auto"/>
            <w:tcMar>
              <w:top w:w="150" w:type="dxa"/>
              <w:left w:w="240" w:type="dxa"/>
              <w:bottom w:w="150" w:type="dxa"/>
              <w:right w:w="240" w:type="dxa"/>
            </w:tcMar>
            <w:vAlign w:val="center"/>
            <w:hideMark/>
          </w:tcPr>
          <w:p w14:paraId="62DBDFF5"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p>
        </w:tc>
        <w:tc>
          <w:tcPr>
            <w:tcW w:w="0" w:type="auto"/>
            <w:tcMar>
              <w:top w:w="150" w:type="dxa"/>
              <w:left w:w="240" w:type="dxa"/>
              <w:bottom w:w="150" w:type="dxa"/>
              <w:right w:w="0" w:type="dxa"/>
            </w:tcMar>
            <w:vAlign w:val="center"/>
            <w:hideMark/>
          </w:tcPr>
          <w:p w14:paraId="282BB38A" w14:textId="77777777" w:rsidR="00BE350C" w:rsidRPr="00A5135D" w:rsidRDefault="00BE350C" w:rsidP="00A5135D">
            <w:pPr>
              <w:spacing w:after="0" w:line="240" w:lineRule="auto"/>
              <w:rPr>
                <w:rFonts w:ascii="Times New Roman" w:eastAsia="Times New Roman" w:hAnsi="Times New Roman" w:cs="Times New Roman"/>
                <w:kern w:val="0"/>
                <w:sz w:val="22"/>
                <w:szCs w:val="22"/>
                <w14:ligatures w14:val="none"/>
              </w:rPr>
            </w:pPr>
          </w:p>
        </w:tc>
      </w:tr>
      <w:tr w:rsidR="00BE350C" w:rsidRPr="00A5135D" w14:paraId="2309B099" w14:textId="77777777" w:rsidTr="00A5135D">
        <w:tc>
          <w:tcPr>
            <w:tcW w:w="0" w:type="auto"/>
            <w:tcMar>
              <w:top w:w="150" w:type="dxa"/>
              <w:left w:w="0" w:type="dxa"/>
              <w:bottom w:w="150" w:type="dxa"/>
              <w:right w:w="240" w:type="dxa"/>
            </w:tcMar>
            <w:vAlign w:val="center"/>
            <w:hideMark/>
          </w:tcPr>
          <w:p w14:paraId="48B31138"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Length of Service</w:t>
            </w:r>
          </w:p>
        </w:tc>
        <w:tc>
          <w:tcPr>
            <w:tcW w:w="0" w:type="auto"/>
            <w:tcMar>
              <w:top w:w="150" w:type="dxa"/>
              <w:left w:w="240" w:type="dxa"/>
              <w:bottom w:w="150" w:type="dxa"/>
              <w:right w:w="240" w:type="dxa"/>
            </w:tcMar>
            <w:vAlign w:val="center"/>
            <w:hideMark/>
          </w:tcPr>
          <w:p w14:paraId="18A86498"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≤5 years</w:t>
            </w:r>
          </w:p>
        </w:tc>
        <w:tc>
          <w:tcPr>
            <w:tcW w:w="0" w:type="auto"/>
            <w:tcMar>
              <w:top w:w="150" w:type="dxa"/>
              <w:left w:w="240" w:type="dxa"/>
              <w:bottom w:w="150" w:type="dxa"/>
              <w:right w:w="240" w:type="dxa"/>
            </w:tcMar>
            <w:vAlign w:val="center"/>
            <w:hideMark/>
          </w:tcPr>
          <w:p w14:paraId="0F27C721"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60.2 ± 20.0</w:t>
            </w:r>
          </w:p>
        </w:tc>
        <w:tc>
          <w:tcPr>
            <w:tcW w:w="0" w:type="auto"/>
            <w:tcMar>
              <w:top w:w="150" w:type="dxa"/>
              <w:left w:w="240" w:type="dxa"/>
              <w:bottom w:w="150" w:type="dxa"/>
              <w:right w:w="240" w:type="dxa"/>
            </w:tcMar>
            <w:vAlign w:val="center"/>
            <w:hideMark/>
          </w:tcPr>
          <w:p w14:paraId="040F0167"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0.405</w:t>
            </w:r>
          </w:p>
        </w:tc>
        <w:tc>
          <w:tcPr>
            <w:tcW w:w="0" w:type="auto"/>
            <w:tcMar>
              <w:top w:w="150" w:type="dxa"/>
              <w:left w:w="240" w:type="dxa"/>
              <w:bottom w:w="150" w:type="dxa"/>
              <w:right w:w="0" w:type="dxa"/>
            </w:tcMar>
            <w:vAlign w:val="center"/>
            <w:hideMark/>
          </w:tcPr>
          <w:p w14:paraId="4EB579AD"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0.691</w:t>
            </w:r>
          </w:p>
        </w:tc>
      </w:tr>
      <w:tr w:rsidR="00BE350C" w:rsidRPr="00A5135D" w14:paraId="1AB64593" w14:textId="77777777" w:rsidTr="00A5135D">
        <w:tc>
          <w:tcPr>
            <w:tcW w:w="0" w:type="auto"/>
            <w:tcMar>
              <w:top w:w="150" w:type="dxa"/>
              <w:left w:w="0" w:type="dxa"/>
              <w:bottom w:w="150" w:type="dxa"/>
              <w:right w:w="240" w:type="dxa"/>
            </w:tcMar>
            <w:vAlign w:val="center"/>
            <w:hideMark/>
          </w:tcPr>
          <w:p w14:paraId="45C8B3C0"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p>
        </w:tc>
        <w:tc>
          <w:tcPr>
            <w:tcW w:w="0" w:type="auto"/>
            <w:tcMar>
              <w:top w:w="150" w:type="dxa"/>
              <w:left w:w="240" w:type="dxa"/>
              <w:bottom w:w="150" w:type="dxa"/>
              <w:right w:w="240" w:type="dxa"/>
            </w:tcMar>
            <w:vAlign w:val="center"/>
            <w:hideMark/>
          </w:tcPr>
          <w:p w14:paraId="3FA4A23E"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≥6 years</w:t>
            </w:r>
          </w:p>
        </w:tc>
        <w:tc>
          <w:tcPr>
            <w:tcW w:w="0" w:type="auto"/>
            <w:tcMar>
              <w:top w:w="150" w:type="dxa"/>
              <w:left w:w="240" w:type="dxa"/>
              <w:bottom w:w="150" w:type="dxa"/>
              <w:right w:w="240" w:type="dxa"/>
            </w:tcMar>
            <w:vAlign w:val="center"/>
            <w:hideMark/>
          </w:tcPr>
          <w:p w14:paraId="29F10808"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r w:rsidRPr="00A5135D">
              <w:rPr>
                <w:rFonts w:ascii="Segoe UI" w:eastAsia="Times New Roman" w:hAnsi="Segoe UI" w:cs="Segoe UI"/>
                <w:kern w:val="0"/>
                <w:sz w:val="22"/>
                <w:szCs w:val="22"/>
                <w14:ligatures w14:val="none"/>
              </w:rPr>
              <w:t>56.3 ± 21.6</w:t>
            </w:r>
          </w:p>
        </w:tc>
        <w:tc>
          <w:tcPr>
            <w:tcW w:w="0" w:type="auto"/>
            <w:tcMar>
              <w:top w:w="150" w:type="dxa"/>
              <w:left w:w="240" w:type="dxa"/>
              <w:bottom w:w="150" w:type="dxa"/>
              <w:right w:w="240" w:type="dxa"/>
            </w:tcMar>
            <w:vAlign w:val="center"/>
            <w:hideMark/>
          </w:tcPr>
          <w:p w14:paraId="1ECDD6C7" w14:textId="77777777" w:rsidR="00BE350C" w:rsidRPr="00A5135D" w:rsidRDefault="00BE350C" w:rsidP="00A5135D">
            <w:pPr>
              <w:spacing w:after="0" w:line="240" w:lineRule="auto"/>
              <w:rPr>
                <w:rFonts w:ascii="Segoe UI" w:eastAsia="Times New Roman" w:hAnsi="Segoe UI" w:cs="Segoe UI"/>
                <w:kern w:val="0"/>
                <w:sz w:val="22"/>
                <w:szCs w:val="22"/>
                <w14:ligatures w14:val="none"/>
              </w:rPr>
            </w:pPr>
          </w:p>
        </w:tc>
        <w:tc>
          <w:tcPr>
            <w:tcW w:w="0" w:type="auto"/>
            <w:tcMar>
              <w:top w:w="150" w:type="dxa"/>
              <w:left w:w="240" w:type="dxa"/>
              <w:bottom w:w="150" w:type="dxa"/>
              <w:right w:w="0" w:type="dxa"/>
            </w:tcMar>
            <w:vAlign w:val="center"/>
            <w:hideMark/>
          </w:tcPr>
          <w:p w14:paraId="59B548CA" w14:textId="77777777" w:rsidR="00BE350C" w:rsidRPr="00A5135D" w:rsidRDefault="00BE350C" w:rsidP="00A5135D">
            <w:pPr>
              <w:spacing w:after="0" w:line="240" w:lineRule="auto"/>
              <w:rPr>
                <w:rFonts w:ascii="Times New Roman" w:eastAsia="Times New Roman" w:hAnsi="Times New Roman" w:cs="Times New Roman"/>
                <w:kern w:val="0"/>
                <w:sz w:val="22"/>
                <w:szCs w:val="22"/>
                <w14:ligatures w14:val="none"/>
              </w:rPr>
            </w:pPr>
          </w:p>
        </w:tc>
      </w:tr>
    </w:tbl>
    <w:p w14:paraId="28017409"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b/>
          <w:bCs/>
          <w:color w:val="0F1115"/>
          <w:kern w:val="0"/>
          <w14:ligatures w14:val="none"/>
        </w:rPr>
        <w:t>4. Discussion</w:t>
      </w:r>
    </w:p>
    <w:p w14:paraId="5ACD4340"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color w:val="0F1115"/>
          <w:kern w:val="0"/>
          <w14:ligatures w14:val="none"/>
        </w:rPr>
        <w:t xml:space="preserve">Our study showed that the overall applicability of blood transfusion safety rules at HGR </w:t>
      </w:r>
      <w:proofErr w:type="spellStart"/>
      <w:r w:rsidRPr="00BE350C">
        <w:rPr>
          <w:rFonts w:ascii="Segoe UI" w:eastAsia="Times New Roman" w:hAnsi="Segoe UI" w:cs="Segoe UI"/>
          <w:color w:val="0F1115"/>
          <w:kern w:val="0"/>
          <w14:ligatures w14:val="none"/>
        </w:rPr>
        <w:t>Wangata</w:t>
      </w:r>
      <w:proofErr w:type="spellEnd"/>
      <w:r w:rsidRPr="00BE350C">
        <w:rPr>
          <w:rFonts w:ascii="Segoe UI" w:eastAsia="Times New Roman" w:hAnsi="Segoe UI" w:cs="Segoe UI"/>
          <w:color w:val="0F1115"/>
          <w:kern w:val="0"/>
          <w14:ligatures w14:val="none"/>
        </w:rPr>
        <w:t xml:space="preserve"> was low (50.9%), thus confirming our first hypothesis. This result is consistent with the work of </w:t>
      </w:r>
      <w:proofErr w:type="spellStart"/>
      <w:r w:rsidRPr="00BE350C">
        <w:rPr>
          <w:rFonts w:ascii="Segoe UI" w:eastAsia="Times New Roman" w:hAnsi="Segoe UI" w:cs="Segoe UI"/>
          <w:color w:val="0F1115"/>
          <w:kern w:val="0"/>
          <w14:ligatures w14:val="none"/>
        </w:rPr>
        <w:t>Ucama</w:t>
      </w:r>
      <w:proofErr w:type="spellEnd"/>
      <w:r w:rsidRPr="00BE350C">
        <w:rPr>
          <w:rFonts w:ascii="Segoe UI" w:eastAsia="Times New Roman" w:hAnsi="Segoe UI" w:cs="Segoe UI"/>
          <w:color w:val="0F1115"/>
          <w:kern w:val="0"/>
          <w14:ligatures w14:val="none"/>
        </w:rPr>
        <w:t xml:space="preserve"> (2013) in Kisangani, who reported insufficient knowledge in 49.5% of cases, and with Bahi (2016) in Marrakech, who identified numerous anomalies in pre-transfusion practices.</w:t>
      </w:r>
    </w:p>
    <w:p w14:paraId="0F99E11E"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b/>
          <w:bCs/>
          <w:color w:val="0F1115"/>
          <w:kern w:val="0"/>
          <w14:ligatures w14:val="none"/>
        </w:rPr>
        <w:t>4.1. Strengths and Gaps by Phase</w:t>
      </w:r>
    </w:p>
    <w:p w14:paraId="1D5E00D6"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color w:val="0F1115"/>
          <w:kern w:val="0"/>
          <w14:ligatures w14:val="none"/>
        </w:rPr>
        <w:lastRenderedPageBreak/>
        <w:t>The post-transfusion phase was the most mastered (81.6%), probably because it involves administrative tasks (recording incidents, returning the transfusion form) that are more systematized. In contrast, the pre- and per-transfusion phases, which require constant technical vigilance and appropriate ergonomics, showed alarming scores (49.2% and 48.1%). For example, the failure to respect refrigerated transport (26.3%) increases the risk of bacterial proliferation, and the absence of systematic bedside control using a control card (42.1%) constitutes a major risk of ABO incompatibility (</w:t>
      </w:r>
      <w:proofErr w:type="spellStart"/>
      <w:r w:rsidRPr="00BE350C">
        <w:rPr>
          <w:rFonts w:ascii="Segoe UI" w:eastAsia="Times New Roman" w:hAnsi="Segoe UI" w:cs="Segoe UI"/>
          <w:color w:val="0F1115"/>
          <w:kern w:val="0"/>
          <w14:ligatures w14:val="none"/>
        </w:rPr>
        <w:t>Lefrère</w:t>
      </w:r>
      <w:proofErr w:type="spellEnd"/>
      <w:r w:rsidRPr="00BE350C">
        <w:rPr>
          <w:rFonts w:ascii="Segoe UI" w:eastAsia="Times New Roman" w:hAnsi="Segoe UI" w:cs="Segoe UI"/>
          <w:color w:val="0F1115"/>
          <w:kern w:val="0"/>
          <w14:ligatures w14:val="none"/>
        </w:rPr>
        <w:t xml:space="preserve"> et al., 2009).</w:t>
      </w:r>
    </w:p>
    <w:p w14:paraId="3A52C96A"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color w:val="0F1115"/>
          <w:kern w:val="0"/>
          <w14:ligatures w14:val="none"/>
        </w:rPr>
        <w:t>The finding that 89.5% of providers stop the transfusion in case of an adverse event is encouraging, but the fact that only 21.1% call the responsible officer of the care unit reveals an insufficiency in the hierarchical management of transfusion emergencies.</w:t>
      </w:r>
    </w:p>
    <w:p w14:paraId="1505BFC7"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b/>
          <w:bCs/>
          <w:color w:val="0F1115"/>
          <w:kern w:val="0"/>
          <w14:ligatures w14:val="none"/>
        </w:rPr>
        <w:t>4.2. Absence of Association with Sociodemographic Factors</w:t>
      </w:r>
    </w:p>
    <w:p w14:paraId="189AE7B9"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color w:val="0F1115"/>
          <w:kern w:val="0"/>
          <w14:ligatures w14:val="none"/>
        </w:rPr>
        <w:t>Contrary to our second hypothesis, we found no significant relationship between age, sex, professional category, or length of service and applicability. Several explanations are possible. First, the small sample size (n=19) limits statistical power; the t-test may fail to detect a real difference (risk of Type II error). Second, the relative homogeneity of the group (94.7% graduates, mostly ≤5 years of service) may have reduced inter-group variance. Finally, as suggested by the WHO (2017), transfusion safety depends more on systemic factors (organization, standardized training, availability of consumables) than on individual characteristics.</w:t>
      </w:r>
    </w:p>
    <w:p w14:paraId="09B8610D"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b/>
          <w:bCs/>
          <w:color w:val="0F1115"/>
          <w:kern w:val="0"/>
          <w14:ligatures w14:val="none"/>
        </w:rPr>
        <w:t>4.3. Limitations of the Study</w:t>
      </w:r>
    </w:p>
    <w:p w14:paraId="016FF616"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color w:val="0F1115"/>
          <w:kern w:val="0"/>
          <w14:ligatures w14:val="none"/>
        </w:rPr>
        <w:t>This study has several limitations. The sample size is small and non-probabilistic, limiting the generalizability of the results. Self-report data collection may introduce social desirability bias. The study did not include direct observation of practices nor evaluate clinical outcomes (actual incidence of transfusion reactions). Finally, the data collection period (2021) and the bibliographic references in the thesis mentioning the year 2025 reflect a temporal inconsistency, but we have chosen the factual period of study completion.</w:t>
      </w:r>
    </w:p>
    <w:p w14:paraId="3F404C9C"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b/>
          <w:bCs/>
          <w:color w:val="0F1115"/>
          <w:kern w:val="0"/>
          <w14:ligatures w14:val="none"/>
        </w:rPr>
        <w:lastRenderedPageBreak/>
        <w:t>4.4. Implications for Practice and Research</w:t>
      </w:r>
    </w:p>
    <w:p w14:paraId="20C7D35E"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color w:val="0F1115"/>
          <w:kern w:val="0"/>
          <w14:ligatures w14:val="none"/>
        </w:rPr>
        <w:t>Despite these limitations, our results call for concrete actions: organization of refresher seminars on good transfusion practices (specifically transport, final bedside verification, and management of adverse events), provision of refrigerated coolers and control cards, and implementation of a local hemovigilance system. Multicenter studies with larger samples and quasi-experimental designs (pre-post training) are needed to evaluate the impact of these improvements.</w:t>
      </w:r>
    </w:p>
    <w:p w14:paraId="21021D89"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b/>
          <w:bCs/>
          <w:color w:val="0F1115"/>
          <w:kern w:val="0"/>
          <w14:ligatures w14:val="none"/>
        </w:rPr>
        <w:t>5. Conclusion</w:t>
      </w:r>
    </w:p>
    <w:p w14:paraId="6933E4E9"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color w:val="0F1115"/>
          <w:kern w:val="0"/>
          <w14:ligatures w14:val="none"/>
        </w:rPr>
        <w:t xml:space="preserve">The applicability of blood transfusion safety rules at the </w:t>
      </w:r>
      <w:proofErr w:type="spellStart"/>
      <w:r w:rsidRPr="00BE350C">
        <w:rPr>
          <w:rFonts w:ascii="Segoe UI" w:eastAsia="Times New Roman" w:hAnsi="Segoe UI" w:cs="Segoe UI"/>
          <w:color w:val="0F1115"/>
          <w:kern w:val="0"/>
          <w14:ligatures w14:val="none"/>
        </w:rPr>
        <w:t>Wangata</w:t>
      </w:r>
      <w:proofErr w:type="spellEnd"/>
      <w:r w:rsidRPr="00BE350C">
        <w:rPr>
          <w:rFonts w:ascii="Segoe UI" w:eastAsia="Times New Roman" w:hAnsi="Segoe UI" w:cs="Segoe UI"/>
          <w:color w:val="0F1115"/>
          <w:kern w:val="0"/>
          <w14:ligatures w14:val="none"/>
        </w:rPr>
        <w:t xml:space="preserve"> General Referral Hospital is low, with an overall score of 50.9%. While the post-transfusion phase is relatively well mastered, the pre- and per-transfusion phases present critical gaps that expose patients to avoidable risks. Age, sex, education level, and length of service were not associated with applicability in our sample. Efforts in continuous training, process improvement, and equipment provision are urgently needed to strengthen transfusion safety in the DRC.</w:t>
      </w:r>
    </w:p>
    <w:p w14:paraId="1D497DAC" w14:textId="1B552748"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b/>
          <w:bCs/>
          <w:color w:val="0F1115"/>
          <w:kern w:val="0"/>
          <w14:ligatures w14:val="none"/>
        </w:rPr>
        <w:t xml:space="preserve">References </w:t>
      </w:r>
    </w:p>
    <w:p w14:paraId="2766E13D"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color w:val="0F1115"/>
          <w:kern w:val="0"/>
          <w14:ligatures w14:val="none"/>
        </w:rPr>
        <w:t>Aigner, M. (2008). </w:t>
      </w:r>
      <w:r w:rsidRPr="00BE350C">
        <w:rPr>
          <w:rFonts w:ascii="Segoe UI" w:eastAsia="Times New Roman" w:hAnsi="Segoe UI" w:cs="Segoe UI"/>
          <w:i/>
          <w:iCs/>
          <w:color w:val="0F1115"/>
          <w:kern w:val="0"/>
          <w14:ligatures w14:val="none"/>
        </w:rPr>
        <w:t>Discrete mathematics</w:t>
      </w:r>
      <w:r w:rsidRPr="00BE350C">
        <w:rPr>
          <w:rFonts w:ascii="Segoe UI" w:eastAsia="Times New Roman" w:hAnsi="Segoe UI" w:cs="Segoe UI"/>
          <w:color w:val="0F1115"/>
          <w:kern w:val="0"/>
          <w14:ligatures w14:val="none"/>
        </w:rPr>
        <w:t>. American Mathematical Society.</w:t>
      </w:r>
    </w:p>
    <w:p w14:paraId="30DBAC04"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color w:val="0F1115"/>
          <w:kern w:val="0"/>
          <w14:ligatures w14:val="none"/>
        </w:rPr>
        <w:t>Angelini, T. (2018). </w:t>
      </w:r>
      <w:r w:rsidRPr="00BE350C">
        <w:rPr>
          <w:rFonts w:ascii="Segoe UI" w:eastAsia="Times New Roman" w:hAnsi="Segoe UI" w:cs="Segoe UI"/>
          <w:i/>
          <w:iCs/>
          <w:color w:val="0F1115"/>
          <w:kern w:val="0"/>
          <w14:ligatures w14:val="none"/>
        </w:rPr>
        <w:t xml:space="preserve">Sécurité </w:t>
      </w:r>
      <w:proofErr w:type="spellStart"/>
      <w:r w:rsidRPr="00BE350C">
        <w:rPr>
          <w:rFonts w:ascii="Segoe UI" w:eastAsia="Times New Roman" w:hAnsi="Segoe UI" w:cs="Segoe UI"/>
          <w:i/>
          <w:iCs/>
          <w:color w:val="0F1115"/>
          <w:kern w:val="0"/>
          <w14:ligatures w14:val="none"/>
        </w:rPr>
        <w:t>transfusionnelle</w:t>
      </w:r>
      <w:proofErr w:type="spellEnd"/>
      <w:r w:rsidRPr="00BE350C">
        <w:rPr>
          <w:rFonts w:ascii="Segoe UI" w:eastAsia="Times New Roman" w:hAnsi="Segoe UI" w:cs="Segoe UI"/>
          <w:i/>
          <w:iCs/>
          <w:color w:val="0F1115"/>
          <w:kern w:val="0"/>
          <w14:ligatures w14:val="none"/>
        </w:rPr>
        <w:t xml:space="preserve"> et </w:t>
      </w:r>
      <w:proofErr w:type="spellStart"/>
      <w:r w:rsidRPr="00BE350C">
        <w:rPr>
          <w:rFonts w:ascii="Segoe UI" w:eastAsia="Times New Roman" w:hAnsi="Segoe UI" w:cs="Segoe UI"/>
          <w:i/>
          <w:iCs/>
          <w:color w:val="0F1115"/>
          <w:kern w:val="0"/>
          <w14:ligatures w14:val="none"/>
        </w:rPr>
        <w:t>hémovigilance</w:t>
      </w:r>
      <w:proofErr w:type="spellEnd"/>
      <w:r w:rsidRPr="00BE350C">
        <w:rPr>
          <w:rFonts w:ascii="Segoe UI" w:eastAsia="Times New Roman" w:hAnsi="Segoe UI" w:cs="Segoe UI"/>
          <w:i/>
          <w:iCs/>
          <w:color w:val="0F1115"/>
          <w:kern w:val="0"/>
          <w14:ligatures w14:val="none"/>
        </w:rPr>
        <w:t xml:space="preserve"> </w:t>
      </w:r>
      <w:proofErr w:type="spellStart"/>
      <w:r w:rsidRPr="00BE350C">
        <w:rPr>
          <w:rFonts w:ascii="Segoe UI" w:eastAsia="Times New Roman" w:hAnsi="Segoe UI" w:cs="Segoe UI"/>
          <w:i/>
          <w:iCs/>
          <w:color w:val="0F1115"/>
          <w:kern w:val="0"/>
          <w14:ligatures w14:val="none"/>
        </w:rPr>
        <w:t>réglementation</w:t>
      </w:r>
      <w:proofErr w:type="spellEnd"/>
      <w:r w:rsidRPr="00BE350C">
        <w:rPr>
          <w:rFonts w:ascii="Segoe UI" w:eastAsia="Times New Roman" w:hAnsi="Segoe UI" w:cs="Segoe UI"/>
          <w:color w:val="0F1115"/>
          <w:kern w:val="0"/>
          <w14:ligatures w14:val="none"/>
        </w:rPr>
        <w:t> [Unpublished manuscript or technical document].</w:t>
      </w:r>
    </w:p>
    <w:p w14:paraId="7662DA89"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r w:rsidRPr="00BE350C">
        <w:rPr>
          <w:rFonts w:ascii="Segoe UI" w:eastAsia="Times New Roman" w:hAnsi="Segoe UI" w:cs="Segoe UI"/>
          <w:color w:val="0F1115"/>
          <w:kern w:val="0"/>
          <w14:ligatures w14:val="none"/>
        </w:rPr>
        <w:t>Bahi, S. (2016). </w:t>
      </w:r>
      <w:proofErr w:type="spellStart"/>
      <w:r w:rsidRPr="00BE350C">
        <w:rPr>
          <w:rFonts w:ascii="Segoe UI" w:eastAsia="Times New Roman" w:hAnsi="Segoe UI" w:cs="Segoe UI"/>
          <w:i/>
          <w:iCs/>
          <w:color w:val="0F1115"/>
          <w:kern w:val="0"/>
          <w14:ligatures w14:val="none"/>
        </w:rPr>
        <w:t>L'évaluation</w:t>
      </w:r>
      <w:proofErr w:type="spellEnd"/>
      <w:r w:rsidRPr="00BE350C">
        <w:rPr>
          <w:rFonts w:ascii="Segoe UI" w:eastAsia="Times New Roman" w:hAnsi="Segoe UI" w:cs="Segoe UI"/>
          <w:i/>
          <w:iCs/>
          <w:color w:val="0F1115"/>
          <w:kern w:val="0"/>
          <w14:ligatures w14:val="none"/>
        </w:rPr>
        <w:t xml:space="preserve"> des pratiques </w:t>
      </w:r>
      <w:proofErr w:type="spellStart"/>
      <w:r w:rsidRPr="00BE350C">
        <w:rPr>
          <w:rFonts w:ascii="Segoe UI" w:eastAsia="Times New Roman" w:hAnsi="Segoe UI" w:cs="Segoe UI"/>
          <w:i/>
          <w:iCs/>
          <w:color w:val="0F1115"/>
          <w:kern w:val="0"/>
          <w14:ligatures w14:val="none"/>
        </w:rPr>
        <w:t>transfusionnelles</w:t>
      </w:r>
      <w:proofErr w:type="spellEnd"/>
      <w:r w:rsidRPr="00BE350C">
        <w:rPr>
          <w:rFonts w:ascii="Segoe UI" w:eastAsia="Times New Roman" w:hAnsi="Segoe UI" w:cs="Segoe UI"/>
          <w:i/>
          <w:iCs/>
          <w:color w:val="0F1115"/>
          <w:kern w:val="0"/>
          <w14:ligatures w14:val="none"/>
        </w:rPr>
        <w:t xml:space="preserve"> à l'Hôpital </w:t>
      </w:r>
      <w:proofErr w:type="spellStart"/>
      <w:r w:rsidRPr="00BE350C">
        <w:rPr>
          <w:rFonts w:ascii="Segoe UI" w:eastAsia="Times New Roman" w:hAnsi="Segoe UI" w:cs="Segoe UI"/>
          <w:i/>
          <w:iCs/>
          <w:color w:val="0F1115"/>
          <w:kern w:val="0"/>
          <w14:ligatures w14:val="none"/>
        </w:rPr>
        <w:t>Militaire</w:t>
      </w:r>
      <w:proofErr w:type="spellEnd"/>
      <w:r w:rsidRPr="00BE350C">
        <w:rPr>
          <w:rFonts w:ascii="Segoe UI" w:eastAsia="Times New Roman" w:hAnsi="Segoe UI" w:cs="Segoe UI"/>
          <w:i/>
          <w:iCs/>
          <w:color w:val="0F1115"/>
          <w:kern w:val="0"/>
          <w14:ligatures w14:val="none"/>
        </w:rPr>
        <w:t xml:space="preserve"> </w:t>
      </w:r>
      <w:proofErr w:type="spellStart"/>
      <w:r w:rsidRPr="00BE350C">
        <w:rPr>
          <w:rFonts w:ascii="Segoe UI" w:eastAsia="Times New Roman" w:hAnsi="Segoe UI" w:cs="Segoe UI"/>
          <w:i/>
          <w:iCs/>
          <w:color w:val="0F1115"/>
          <w:kern w:val="0"/>
          <w14:ligatures w14:val="none"/>
        </w:rPr>
        <w:t>Avicenne</w:t>
      </w:r>
      <w:proofErr w:type="spellEnd"/>
      <w:r w:rsidRPr="00BE350C">
        <w:rPr>
          <w:rFonts w:ascii="Segoe UI" w:eastAsia="Times New Roman" w:hAnsi="Segoe UI" w:cs="Segoe UI"/>
          <w:i/>
          <w:iCs/>
          <w:color w:val="0F1115"/>
          <w:kern w:val="0"/>
          <w14:ligatures w14:val="none"/>
        </w:rPr>
        <w:t xml:space="preserve"> de Marrakech</w:t>
      </w:r>
      <w:r w:rsidRPr="00BE350C">
        <w:rPr>
          <w:rFonts w:ascii="Segoe UI" w:eastAsia="Times New Roman" w:hAnsi="Segoe UI" w:cs="Segoe UI"/>
          <w:color w:val="0F1115"/>
          <w:kern w:val="0"/>
          <w14:ligatures w14:val="none"/>
        </w:rPr>
        <w:t> [</w:t>
      </w:r>
      <w:proofErr w:type="gramStart"/>
      <w:r w:rsidRPr="00BE350C">
        <w:rPr>
          <w:rFonts w:ascii="Segoe UI" w:eastAsia="Times New Roman" w:hAnsi="Segoe UI" w:cs="Segoe UI"/>
          <w:color w:val="0F1115"/>
          <w:kern w:val="0"/>
          <w14:ligatures w14:val="none"/>
        </w:rPr>
        <w:t>Master's</w:t>
      </w:r>
      <w:proofErr w:type="gramEnd"/>
      <w:r w:rsidRPr="00BE350C">
        <w:rPr>
          <w:rFonts w:ascii="Segoe UI" w:eastAsia="Times New Roman" w:hAnsi="Segoe UI" w:cs="Segoe UI"/>
          <w:color w:val="0F1115"/>
          <w:kern w:val="0"/>
          <w14:ligatures w14:val="none"/>
        </w:rPr>
        <w:t xml:space="preserve"> thesis, Université Cadi Ayyad].</w:t>
      </w:r>
    </w:p>
    <w:p w14:paraId="4966A5BE"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proofErr w:type="spellStart"/>
      <w:r w:rsidRPr="00BE350C">
        <w:rPr>
          <w:rFonts w:ascii="Segoe UI" w:eastAsia="Times New Roman" w:hAnsi="Segoe UI" w:cs="Segoe UI"/>
          <w:color w:val="0F1115"/>
          <w:kern w:val="0"/>
          <w14:ligatures w14:val="none"/>
        </w:rPr>
        <w:t>Lefrère</w:t>
      </w:r>
      <w:proofErr w:type="spellEnd"/>
      <w:r w:rsidRPr="00BE350C">
        <w:rPr>
          <w:rFonts w:ascii="Segoe UI" w:eastAsia="Times New Roman" w:hAnsi="Segoe UI" w:cs="Segoe UI"/>
          <w:color w:val="0F1115"/>
          <w:kern w:val="0"/>
          <w14:ligatures w14:val="none"/>
        </w:rPr>
        <w:t xml:space="preserve">, J., Bierling, P., &amp; </w:t>
      </w:r>
      <w:proofErr w:type="spellStart"/>
      <w:r w:rsidRPr="00BE350C">
        <w:rPr>
          <w:rFonts w:ascii="Segoe UI" w:eastAsia="Times New Roman" w:hAnsi="Segoe UI" w:cs="Segoe UI"/>
          <w:color w:val="0F1115"/>
          <w:kern w:val="0"/>
          <w14:ligatures w14:val="none"/>
        </w:rPr>
        <w:t>Couroucé</w:t>
      </w:r>
      <w:proofErr w:type="spellEnd"/>
      <w:r w:rsidRPr="00BE350C">
        <w:rPr>
          <w:rFonts w:ascii="Segoe UI" w:eastAsia="Times New Roman" w:hAnsi="Segoe UI" w:cs="Segoe UI"/>
          <w:color w:val="0F1115"/>
          <w:kern w:val="0"/>
          <w14:ligatures w14:val="none"/>
        </w:rPr>
        <w:t>, A. M. (2009). </w:t>
      </w:r>
      <w:r w:rsidRPr="00BE350C">
        <w:rPr>
          <w:rFonts w:ascii="Segoe UI" w:eastAsia="Times New Roman" w:hAnsi="Segoe UI" w:cs="Segoe UI"/>
          <w:i/>
          <w:iCs/>
          <w:color w:val="0F1115"/>
          <w:kern w:val="0"/>
          <w14:ligatures w14:val="none"/>
        </w:rPr>
        <w:t xml:space="preserve">Pratiques </w:t>
      </w:r>
      <w:proofErr w:type="spellStart"/>
      <w:r w:rsidRPr="00BE350C">
        <w:rPr>
          <w:rFonts w:ascii="Segoe UI" w:eastAsia="Times New Roman" w:hAnsi="Segoe UI" w:cs="Segoe UI"/>
          <w:i/>
          <w:iCs/>
          <w:color w:val="0F1115"/>
          <w:kern w:val="0"/>
          <w14:ligatures w14:val="none"/>
        </w:rPr>
        <w:t>nouvelles</w:t>
      </w:r>
      <w:proofErr w:type="spellEnd"/>
      <w:r w:rsidRPr="00BE350C">
        <w:rPr>
          <w:rFonts w:ascii="Segoe UI" w:eastAsia="Times New Roman" w:hAnsi="Segoe UI" w:cs="Segoe UI"/>
          <w:i/>
          <w:iCs/>
          <w:color w:val="0F1115"/>
          <w:kern w:val="0"/>
          <w14:ligatures w14:val="none"/>
        </w:rPr>
        <w:t xml:space="preserve"> de la transfusion sanguine</w:t>
      </w:r>
      <w:r w:rsidRPr="00BE350C">
        <w:rPr>
          <w:rFonts w:ascii="Segoe UI" w:eastAsia="Times New Roman" w:hAnsi="Segoe UI" w:cs="Segoe UI"/>
          <w:color w:val="0F1115"/>
          <w:kern w:val="0"/>
          <w14:ligatures w14:val="none"/>
        </w:rPr>
        <w:t>. Elsevier Masson.</w:t>
      </w:r>
    </w:p>
    <w:p w14:paraId="01F13A20"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proofErr w:type="spellStart"/>
      <w:r w:rsidRPr="00BE350C">
        <w:rPr>
          <w:rFonts w:ascii="Segoe UI" w:eastAsia="Times New Roman" w:hAnsi="Segoe UI" w:cs="Segoe UI"/>
          <w:color w:val="0F1115"/>
          <w:kern w:val="0"/>
          <w14:ligatures w14:val="none"/>
        </w:rPr>
        <w:t>Omanyondo</w:t>
      </w:r>
      <w:proofErr w:type="spellEnd"/>
      <w:r w:rsidRPr="00BE350C">
        <w:rPr>
          <w:rFonts w:ascii="Segoe UI" w:eastAsia="Times New Roman" w:hAnsi="Segoe UI" w:cs="Segoe UI"/>
          <w:color w:val="0F1115"/>
          <w:kern w:val="0"/>
          <w14:ligatures w14:val="none"/>
        </w:rPr>
        <w:t>, M. (2020). </w:t>
      </w:r>
      <w:proofErr w:type="spellStart"/>
      <w:r w:rsidRPr="00BE350C">
        <w:rPr>
          <w:rFonts w:ascii="Segoe UI" w:eastAsia="Times New Roman" w:hAnsi="Segoe UI" w:cs="Segoe UI"/>
          <w:i/>
          <w:iCs/>
          <w:color w:val="0F1115"/>
          <w:kern w:val="0"/>
          <w14:ligatures w14:val="none"/>
        </w:rPr>
        <w:t>Méthodologie</w:t>
      </w:r>
      <w:proofErr w:type="spellEnd"/>
      <w:r w:rsidRPr="00BE350C">
        <w:rPr>
          <w:rFonts w:ascii="Segoe UI" w:eastAsia="Times New Roman" w:hAnsi="Segoe UI" w:cs="Segoe UI"/>
          <w:i/>
          <w:iCs/>
          <w:color w:val="0F1115"/>
          <w:kern w:val="0"/>
          <w14:ligatures w14:val="none"/>
        </w:rPr>
        <w:t xml:space="preserve"> de la recherche </w:t>
      </w:r>
      <w:proofErr w:type="spellStart"/>
      <w:r w:rsidRPr="00BE350C">
        <w:rPr>
          <w:rFonts w:ascii="Segoe UI" w:eastAsia="Times New Roman" w:hAnsi="Segoe UI" w:cs="Segoe UI"/>
          <w:i/>
          <w:iCs/>
          <w:color w:val="0F1115"/>
          <w:kern w:val="0"/>
          <w14:ligatures w14:val="none"/>
        </w:rPr>
        <w:t>scientifique</w:t>
      </w:r>
      <w:proofErr w:type="spellEnd"/>
      <w:r w:rsidRPr="00BE350C">
        <w:rPr>
          <w:rFonts w:ascii="Segoe UI" w:eastAsia="Times New Roman" w:hAnsi="Segoe UI" w:cs="Segoe UI"/>
          <w:i/>
          <w:iCs/>
          <w:color w:val="0F1115"/>
          <w:kern w:val="0"/>
          <w14:ligatures w14:val="none"/>
        </w:rPr>
        <w:t xml:space="preserve"> </w:t>
      </w:r>
      <w:proofErr w:type="spellStart"/>
      <w:r w:rsidRPr="00BE350C">
        <w:rPr>
          <w:rFonts w:ascii="Segoe UI" w:eastAsia="Times New Roman" w:hAnsi="Segoe UI" w:cs="Segoe UI"/>
          <w:i/>
          <w:iCs/>
          <w:color w:val="0F1115"/>
          <w:kern w:val="0"/>
          <w14:ligatures w14:val="none"/>
        </w:rPr>
        <w:t>en</w:t>
      </w:r>
      <w:proofErr w:type="spellEnd"/>
      <w:r w:rsidRPr="00BE350C">
        <w:rPr>
          <w:rFonts w:ascii="Segoe UI" w:eastAsia="Times New Roman" w:hAnsi="Segoe UI" w:cs="Segoe UI"/>
          <w:i/>
          <w:iCs/>
          <w:color w:val="0F1115"/>
          <w:kern w:val="0"/>
          <w14:ligatures w14:val="none"/>
        </w:rPr>
        <w:t xml:space="preserve"> </w:t>
      </w:r>
      <w:proofErr w:type="spellStart"/>
      <w:r w:rsidRPr="00BE350C">
        <w:rPr>
          <w:rFonts w:ascii="Segoe UI" w:eastAsia="Times New Roman" w:hAnsi="Segoe UI" w:cs="Segoe UI"/>
          <w:i/>
          <w:iCs/>
          <w:color w:val="0F1115"/>
          <w:kern w:val="0"/>
          <w14:ligatures w14:val="none"/>
        </w:rPr>
        <w:t>soins</w:t>
      </w:r>
      <w:proofErr w:type="spellEnd"/>
      <w:r w:rsidRPr="00BE350C">
        <w:rPr>
          <w:rFonts w:ascii="Segoe UI" w:eastAsia="Times New Roman" w:hAnsi="Segoe UI" w:cs="Segoe UI"/>
          <w:i/>
          <w:iCs/>
          <w:color w:val="0F1115"/>
          <w:kern w:val="0"/>
          <w14:ligatures w14:val="none"/>
        </w:rPr>
        <w:t xml:space="preserve"> et santé</w:t>
      </w:r>
      <w:r w:rsidRPr="00BE350C">
        <w:rPr>
          <w:rFonts w:ascii="Segoe UI" w:eastAsia="Times New Roman" w:hAnsi="Segoe UI" w:cs="Segoe UI"/>
          <w:color w:val="0F1115"/>
          <w:kern w:val="0"/>
          <w14:ligatures w14:val="none"/>
        </w:rPr>
        <w:t> (Vol. 1). Medias Paul.</w:t>
      </w:r>
    </w:p>
    <w:p w14:paraId="1E4F97C6" w14:textId="77777777"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proofErr w:type="spellStart"/>
      <w:r w:rsidRPr="00BE350C">
        <w:rPr>
          <w:rFonts w:ascii="Segoe UI" w:eastAsia="Times New Roman" w:hAnsi="Segoe UI" w:cs="Segoe UI"/>
          <w:color w:val="0F1115"/>
          <w:kern w:val="0"/>
          <w14:ligatures w14:val="none"/>
        </w:rPr>
        <w:lastRenderedPageBreak/>
        <w:t>Organisation</w:t>
      </w:r>
      <w:proofErr w:type="spellEnd"/>
      <w:r w:rsidRPr="00BE350C">
        <w:rPr>
          <w:rFonts w:ascii="Segoe UI" w:eastAsia="Times New Roman" w:hAnsi="Segoe UI" w:cs="Segoe UI"/>
          <w:color w:val="0F1115"/>
          <w:kern w:val="0"/>
          <w14:ligatures w14:val="none"/>
        </w:rPr>
        <w:t xml:space="preserve"> Mondiale de la Santé. (2017). </w:t>
      </w:r>
      <w:r w:rsidRPr="00BE350C">
        <w:rPr>
          <w:rFonts w:ascii="Segoe UI" w:eastAsia="Times New Roman" w:hAnsi="Segoe UI" w:cs="Segoe UI"/>
          <w:i/>
          <w:iCs/>
          <w:color w:val="0F1115"/>
          <w:kern w:val="0"/>
          <w14:ligatures w14:val="none"/>
        </w:rPr>
        <w:t xml:space="preserve">Sécurité </w:t>
      </w:r>
      <w:proofErr w:type="spellStart"/>
      <w:r w:rsidRPr="00BE350C">
        <w:rPr>
          <w:rFonts w:ascii="Segoe UI" w:eastAsia="Times New Roman" w:hAnsi="Segoe UI" w:cs="Segoe UI"/>
          <w:i/>
          <w:iCs/>
          <w:color w:val="0F1115"/>
          <w:kern w:val="0"/>
          <w14:ligatures w14:val="none"/>
        </w:rPr>
        <w:t>transfusionnelle</w:t>
      </w:r>
      <w:proofErr w:type="spellEnd"/>
      <w:r w:rsidRPr="00BE350C">
        <w:rPr>
          <w:rFonts w:ascii="Segoe UI" w:eastAsia="Times New Roman" w:hAnsi="Segoe UI" w:cs="Segoe UI"/>
          <w:i/>
          <w:iCs/>
          <w:color w:val="0F1115"/>
          <w:kern w:val="0"/>
          <w14:ligatures w14:val="none"/>
        </w:rPr>
        <w:t xml:space="preserve"> et </w:t>
      </w:r>
      <w:proofErr w:type="spellStart"/>
      <w:r w:rsidRPr="00BE350C">
        <w:rPr>
          <w:rFonts w:ascii="Segoe UI" w:eastAsia="Times New Roman" w:hAnsi="Segoe UI" w:cs="Segoe UI"/>
          <w:i/>
          <w:iCs/>
          <w:color w:val="0F1115"/>
          <w:kern w:val="0"/>
          <w14:ligatures w14:val="none"/>
        </w:rPr>
        <w:t>approvisionnement</w:t>
      </w:r>
      <w:proofErr w:type="spellEnd"/>
      <w:r w:rsidRPr="00BE350C">
        <w:rPr>
          <w:rFonts w:ascii="Segoe UI" w:eastAsia="Times New Roman" w:hAnsi="Segoe UI" w:cs="Segoe UI"/>
          <w:i/>
          <w:iCs/>
          <w:color w:val="0F1115"/>
          <w:kern w:val="0"/>
          <w14:ligatures w14:val="none"/>
        </w:rPr>
        <w:t xml:space="preserve"> </w:t>
      </w:r>
      <w:proofErr w:type="spellStart"/>
      <w:r w:rsidRPr="00BE350C">
        <w:rPr>
          <w:rFonts w:ascii="Segoe UI" w:eastAsia="Times New Roman" w:hAnsi="Segoe UI" w:cs="Segoe UI"/>
          <w:i/>
          <w:iCs/>
          <w:color w:val="0F1115"/>
          <w:kern w:val="0"/>
          <w14:ligatures w14:val="none"/>
        </w:rPr>
        <w:t>en</w:t>
      </w:r>
      <w:proofErr w:type="spellEnd"/>
      <w:r w:rsidRPr="00BE350C">
        <w:rPr>
          <w:rFonts w:ascii="Segoe UI" w:eastAsia="Times New Roman" w:hAnsi="Segoe UI" w:cs="Segoe UI"/>
          <w:i/>
          <w:iCs/>
          <w:color w:val="0F1115"/>
          <w:kern w:val="0"/>
          <w14:ligatures w14:val="none"/>
        </w:rPr>
        <w:t xml:space="preserve"> sang</w:t>
      </w:r>
      <w:r w:rsidRPr="00BE350C">
        <w:rPr>
          <w:rFonts w:ascii="Segoe UI" w:eastAsia="Times New Roman" w:hAnsi="Segoe UI" w:cs="Segoe UI"/>
          <w:color w:val="0F1115"/>
          <w:kern w:val="0"/>
          <w14:ligatures w14:val="none"/>
        </w:rPr>
        <w:t>. World Health Organization. </w:t>
      </w:r>
      <w:hyperlink r:id="rId5" w:tgtFrame="_blank" w:history="1">
        <w:r w:rsidRPr="00BE350C">
          <w:rPr>
            <w:rFonts w:ascii="Segoe UI" w:eastAsia="Times New Roman" w:hAnsi="Segoe UI" w:cs="Segoe UI"/>
            <w:color w:val="3964FE"/>
            <w:kern w:val="0"/>
            <w:bdr w:val="single" w:sz="12" w:space="0" w:color="auto" w:frame="1"/>
            <w14:ligatures w14:val="none"/>
          </w:rPr>
          <w:t>https://www.who.int/fr/news-room/fact-sheets/detail/blood-safety-and-availability</w:t>
        </w:r>
      </w:hyperlink>
    </w:p>
    <w:p w14:paraId="107FBB87" w14:textId="58E74BE9" w:rsidR="00BE350C" w:rsidRPr="00BE350C" w:rsidRDefault="00BE350C" w:rsidP="00BE350C">
      <w:pPr>
        <w:shd w:val="clear" w:color="auto" w:fill="FFFFFF"/>
        <w:spacing w:before="240" w:after="240" w:line="420" w:lineRule="atLeast"/>
        <w:rPr>
          <w:rFonts w:ascii="Segoe UI" w:eastAsia="Times New Roman" w:hAnsi="Segoe UI" w:cs="Segoe UI"/>
          <w:color w:val="0F1115"/>
          <w:kern w:val="0"/>
          <w14:ligatures w14:val="none"/>
        </w:rPr>
      </w:pPr>
      <w:proofErr w:type="spellStart"/>
      <w:r w:rsidRPr="00BE350C">
        <w:rPr>
          <w:rFonts w:ascii="Segoe UI" w:eastAsia="Times New Roman" w:hAnsi="Segoe UI" w:cs="Segoe UI"/>
          <w:color w:val="0F1115"/>
          <w:kern w:val="0"/>
          <w14:ligatures w14:val="none"/>
        </w:rPr>
        <w:t>Ucama</w:t>
      </w:r>
      <w:proofErr w:type="spellEnd"/>
      <w:r w:rsidRPr="00BE350C">
        <w:rPr>
          <w:rFonts w:ascii="Segoe UI" w:eastAsia="Times New Roman" w:hAnsi="Segoe UI" w:cs="Segoe UI"/>
          <w:color w:val="0F1115"/>
          <w:kern w:val="0"/>
          <w14:ligatures w14:val="none"/>
        </w:rPr>
        <w:t>, P. (2013). </w:t>
      </w:r>
      <w:proofErr w:type="spellStart"/>
      <w:r w:rsidRPr="00BE350C">
        <w:rPr>
          <w:rFonts w:ascii="Segoe UI" w:eastAsia="Times New Roman" w:hAnsi="Segoe UI" w:cs="Segoe UI"/>
          <w:i/>
          <w:iCs/>
          <w:color w:val="0F1115"/>
          <w:kern w:val="0"/>
          <w14:ligatures w14:val="none"/>
        </w:rPr>
        <w:t>Évaluation</w:t>
      </w:r>
      <w:proofErr w:type="spellEnd"/>
      <w:r w:rsidRPr="00BE350C">
        <w:rPr>
          <w:rFonts w:ascii="Segoe UI" w:eastAsia="Times New Roman" w:hAnsi="Segoe UI" w:cs="Segoe UI"/>
          <w:i/>
          <w:iCs/>
          <w:color w:val="0F1115"/>
          <w:kern w:val="0"/>
          <w14:ligatures w14:val="none"/>
        </w:rPr>
        <w:t xml:space="preserve"> du </w:t>
      </w:r>
      <w:proofErr w:type="spellStart"/>
      <w:r w:rsidRPr="00BE350C">
        <w:rPr>
          <w:rFonts w:ascii="Segoe UI" w:eastAsia="Times New Roman" w:hAnsi="Segoe UI" w:cs="Segoe UI"/>
          <w:i/>
          <w:iCs/>
          <w:color w:val="0F1115"/>
          <w:kern w:val="0"/>
          <w14:ligatures w14:val="none"/>
        </w:rPr>
        <w:t>niveau</w:t>
      </w:r>
      <w:proofErr w:type="spellEnd"/>
      <w:r w:rsidRPr="00BE350C">
        <w:rPr>
          <w:rFonts w:ascii="Segoe UI" w:eastAsia="Times New Roman" w:hAnsi="Segoe UI" w:cs="Segoe UI"/>
          <w:i/>
          <w:iCs/>
          <w:color w:val="0F1115"/>
          <w:kern w:val="0"/>
          <w14:ligatures w14:val="none"/>
        </w:rPr>
        <w:t xml:space="preserve"> de </w:t>
      </w:r>
      <w:proofErr w:type="spellStart"/>
      <w:r w:rsidRPr="00BE350C">
        <w:rPr>
          <w:rFonts w:ascii="Segoe UI" w:eastAsia="Times New Roman" w:hAnsi="Segoe UI" w:cs="Segoe UI"/>
          <w:i/>
          <w:iCs/>
          <w:color w:val="0F1115"/>
          <w:kern w:val="0"/>
          <w14:ligatures w14:val="none"/>
        </w:rPr>
        <w:t>connaissance</w:t>
      </w:r>
      <w:proofErr w:type="spellEnd"/>
      <w:r w:rsidRPr="00BE350C">
        <w:rPr>
          <w:rFonts w:ascii="Segoe UI" w:eastAsia="Times New Roman" w:hAnsi="Segoe UI" w:cs="Segoe UI"/>
          <w:i/>
          <w:iCs/>
          <w:color w:val="0F1115"/>
          <w:kern w:val="0"/>
          <w14:ligatures w14:val="none"/>
        </w:rPr>
        <w:t xml:space="preserve"> du personnel </w:t>
      </w:r>
      <w:proofErr w:type="spellStart"/>
      <w:r w:rsidRPr="00BE350C">
        <w:rPr>
          <w:rFonts w:ascii="Segoe UI" w:eastAsia="Times New Roman" w:hAnsi="Segoe UI" w:cs="Segoe UI"/>
          <w:i/>
          <w:iCs/>
          <w:color w:val="0F1115"/>
          <w:kern w:val="0"/>
          <w14:ligatures w14:val="none"/>
        </w:rPr>
        <w:t>médical</w:t>
      </w:r>
      <w:proofErr w:type="spellEnd"/>
      <w:r w:rsidRPr="00BE350C">
        <w:rPr>
          <w:rFonts w:ascii="Segoe UI" w:eastAsia="Times New Roman" w:hAnsi="Segoe UI" w:cs="Segoe UI"/>
          <w:i/>
          <w:iCs/>
          <w:color w:val="0F1115"/>
          <w:kern w:val="0"/>
          <w14:ligatures w14:val="none"/>
        </w:rPr>
        <w:t xml:space="preserve"> et </w:t>
      </w:r>
      <w:proofErr w:type="spellStart"/>
      <w:r w:rsidRPr="00BE350C">
        <w:rPr>
          <w:rFonts w:ascii="Segoe UI" w:eastAsia="Times New Roman" w:hAnsi="Segoe UI" w:cs="Segoe UI"/>
          <w:i/>
          <w:iCs/>
          <w:color w:val="0F1115"/>
          <w:kern w:val="0"/>
          <w14:ligatures w14:val="none"/>
        </w:rPr>
        <w:t>paramédical</w:t>
      </w:r>
      <w:proofErr w:type="spellEnd"/>
      <w:r w:rsidRPr="00BE350C">
        <w:rPr>
          <w:rFonts w:ascii="Segoe UI" w:eastAsia="Times New Roman" w:hAnsi="Segoe UI" w:cs="Segoe UI"/>
          <w:i/>
          <w:iCs/>
          <w:color w:val="0F1115"/>
          <w:kern w:val="0"/>
          <w14:ligatures w14:val="none"/>
        </w:rPr>
        <w:t xml:space="preserve"> sur la transfusion sanguine à Kisangani </w:t>
      </w:r>
      <w:proofErr w:type="spellStart"/>
      <w:r w:rsidRPr="00BE350C">
        <w:rPr>
          <w:rFonts w:ascii="Segoe UI" w:eastAsia="Times New Roman" w:hAnsi="Segoe UI" w:cs="Segoe UI"/>
          <w:i/>
          <w:iCs/>
          <w:color w:val="0F1115"/>
          <w:kern w:val="0"/>
          <w14:ligatures w14:val="none"/>
        </w:rPr>
        <w:t>en</w:t>
      </w:r>
      <w:proofErr w:type="spellEnd"/>
      <w:r w:rsidRPr="00BE350C">
        <w:rPr>
          <w:rFonts w:ascii="Segoe UI" w:eastAsia="Times New Roman" w:hAnsi="Segoe UI" w:cs="Segoe UI"/>
          <w:i/>
          <w:iCs/>
          <w:color w:val="0F1115"/>
          <w:kern w:val="0"/>
          <w14:ligatures w14:val="none"/>
        </w:rPr>
        <w:t xml:space="preserve"> RDC</w:t>
      </w:r>
      <w:r w:rsidRPr="00BE350C">
        <w:rPr>
          <w:rFonts w:ascii="Segoe UI" w:eastAsia="Times New Roman" w:hAnsi="Segoe UI" w:cs="Segoe UI"/>
          <w:color w:val="0F1115"/>
          <w:kern w:val="0"/>
          <w14:ligatures w14:val="none"/>
        </w:rPr>
        <w:t> [Unpublished master's thesis]. Université de Kisangani.</w:t>
      </w:r>
    </w:p>
    <w:p w14:paraId="5B900150" w14:textId="77777777" w:rsidR="00B41904" w:rsidRDefault="00B41904"/>
    <w:sectPr w:rsidR="00B419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4F3B2E"/>
    <w:multiLevelType w:val="multilevel"/>
    <w:tmpl w:val="2B282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3116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50C"/>
    <w:rsid w:val="002C4B73"/>
    <w:rsid w:val="003F70DD"/>
    <w:rsid w:val="008F6EA0"/>
    <w:rsid w:val="009E34A6"/>
    <w:rsid w:val="00A5135D"/>
    <w:rsid w:val="00AC0C13"/>
    <w:rsid w:val="00B41904"/>
    <w:rsid w:val="00BE3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F7A73"/>
  <w15:chartTrackingRefBased/>
  <w15:docId w15:val="{FE3951A4-8436-FA4A-BB6D-F7E68EE24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35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35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35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35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35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35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35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35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35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35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35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35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35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35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35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35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35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350C"/>
    <w:rPr>
      <w:rFonts w:eastAsiaTheme="majorEastAsia" w:cstheme="majorBidi"/>
      <w:color w:val="272727" w:themeColor="text1" w:themeTint="D8"/>
    </w:rPr>
  </w:style>
  <w:style w:type="paragraph" w:styleId="Title">
    <w:name w:val="Title"/>
    <w:basedOn w:val="Normal"/>
    <w:next w:val="Normal"/>
    <w:link w:val="TitleChar"/>
    <w:uiPriority w:val="10"/>
    <w:qFormat/>
    <w:rsid w:val="00BE35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35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35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35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350C"/>
    <w:pPr>
      <w:spacing w:before="160"/>
      <w:jc w:val="center"/>
    </w:pPr>
    <w:rPr>
      <w:i/>
      <w:iCs/>
      <w:color w:val="404040" w:themeColor="text1" w:themeTint="BF"/>
    </w:rPr>
  </w:style>
  <w:style w:type="character" w:customStyle="1" w:styleId="QuoteChar">
    <w:name w:val="Quote Char"/>
    <w:basedOn w:val="DefaultParagraphFont"/>
    <w:link w:val="Quote"/>
    <w:uiPriority w:val="29"/>
    <w:rsid w:val="00BE350C"/>
    <w:rPr>
      <w:i/>
      <w:iCs/>
      <w:color w:val="404040" w:themeColor="text1" w:themeTint="BF"/>
    </w:rPr>
  </w:style>
  <w:style w:type="paragraph" w:styleId="ListParagraph">
    <w:name w:val="List Paragraph"/>
    <w:basedOn w:val="Normal"/>
    <w:uiPriority w:val="34"/>
    <w:qFormat/>
    <w:rsid w:val="00BE350C"/>
    <w:pPr>
      <w:ind w:left="720"/>
      <w:contextualSpacing/>
    </w:pPr>
  </w:style>
  <w:style w:type="character" w:styleId="IntenseEmphasis">
    <w:name w:val="Intense Emphasis"/>
    <w:basedOn w:val="DefaultParagraphFont"/>
    <w:uiPriority w:val="21"/>
    <w:qFormat/>
    <w:rsid w:val="00BE350C"/>
    <w:rPr>
      <w:i/>
      <w:iCs/>
      <w:color w:val="0F4761" w:themeColor="accent1" w:themeShade="BF"/>
    </w:rPr>
  </w:style>
  <w:style w:type="paragraph" w:styleId="IntenseQuote">
    <w:name w:val="Intense Quote"/>
    <w:basedOn w:val="Normal"/>
    <w:next w:val="Normal"/>
    <w:link w:val="IntenseQuoteChar"/>
    <w:uiPriority w:val="30"/>
    <w:qFormat/>
    <w:rsid w:val="00BE35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350C"/>
    <w:rPr>
      <w:i/>
      <w:iCs/>
      <w:color w:val="0F4761" w:themeColor="accent1" w:themeShade="BF"/>
    </w:rPr>
  </w:style>
  <w:style w:type="character" w:styleId="IntenseReference">
    <w:name w:val="Intense Reference"/>
    <w:basedOn w:val="DefaultParagraphFont"/>
    <w:uiPriority w:val="32"/>
    <w:qFormat/>
    <w:rsid w:val="00BE350C"/>
    <w:rPr>
      <w:b/>
      <w:bCs/>
      <w:smallCaps/>
      <w:color w:val="0F4761" w:themeColor="accent1" w:themeShade="BF"/>
      <w:spacing w:val="5"/>
    </w:rPr>
  </w:style>
  <w:style w:type="paragraph" w:customStyle="1" w:styleId="ds-markdown-paragraph">
    <w:name w:val="ds-markdown-paragraph"/>
    <w:basedOn w:val="Normal"/>
    <w:rsid w:val="00BE350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BE350C"/>
    <w:rPr>
      <w:b/>
      <w:bCs/>
    </w:rPr>
  </w:style>
  <w:style w:type="character" w:styleId="Emphasis">
    <w:name w:val="Emphasis"/>
    <w:basedOn w:val="DefaultParagraphFont"/>
    <w:uiPriority w:val="20"/>
    <w:qFormat/>
    <w:rsid w:val="00BE350C"/>
    <w:rPr>
      <w:i/>
      <w:iCs/>
    </w:rPr>
  </w:style>
  <w:style w:type="character" w:styleId="Hyperlink">
    <w:name w:val="Hyperlink"/>
    <w:basedOn w:val="DefaultParagraphFont"/>
    <w:uiPriority w:val="99"/>
    <w:semiHidden/>
    <w:unhideWhenUsed/>
    <w:rsid w:val="00BE35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who.int/fr/news-room/fact-sheets/detail/blood-safety-and-availabilit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1887</Words>
  <Characters>10758</Characters>
  <Application>Microsoft Office Word</Application>
  <DocSecurity>0</DocSecurity>
  <Lines>89</Lines>
  <Paragraphs>25</Paragraphs>
  <ScaleCrop>false</ScaleCrop>
  <Company/>
  <LinksUpToDate>false</LinksUpToDate>
  <CharactersWithSpaces>12620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Ebengho Bokelo</dc:creator>
  <cp:keywords/>
  <dc:description/>
  <cp:lastModifiedBy>Max Ebengho Bokelo</cp:lastModifiedBy>
  <cp:revision>2</cp:revision>
  <dcterms:created xsi:type="dcterms:W3CDTF">2026-05-15T05:46:00Z</dcterms:created>
  <dcterms:modified xsi:type="dcterms:W3CDTF">2026-05-15T05:50:00Z</dcterms:modified>
</cp:coreProperties>
</file>