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4CA4F"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 xml:space="preserve">Lack of Implementation of the WHO Surgical Safety Checklist in General Hospitals of </w:t>
      </w:r>
      <w:proofErr w:type="spellStart"/>
      <w:r w:rsidRPr="00426E8C">
        <w:rPr>
          <w:rFonts w:ascii="Times New Roman" w:eastAsia="Times New Roman" w:hAnsi="Times New Roman" w:cs="Times New Roman"/>
          <w:b/>
          <w:bCs/>
          <w:color w:val="0F1115"/>
          <w:kern w:val="0"/>
          <w14:ligatures w14:val="none"/>
        </w:rPr>
        <w:t>Mbandaka</w:t>
      </w:r>
      <w:proofErr w:type="spellEnd"/>
      <w:r w:rsidRPr="00426E8C">
        <w:rPr>
          <w:rFonts w:ascii="Times New Roman" w:eastAsia="Times New Roman" w:hAnsi="Times New Roman" w:cs="Times New Roman"/>
          <w:b/>
          <w:bCs/>
          <w:color w:val="0F1115"/>
          <w:kern w:val="0"/>
          <w14:ligatures w14:val="none"/>
        </w:rPr>
        <w:t xml:space="preserve"> (DRC): A Cross-Sectional Study of Organizational and Professional Determinants</w:t>
      </w:r>
    </w:p>
    <w:p w14:paraId="4741F6BD"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Authors:</w:t>
      </w:r>
      <w:r w:rsidRPr="00426E8C">
        <w:rPr>
          <w:rFonts w:ascii="Times New Roman" w:eastAsia="Times New Roman" w:hAnsi="Times New Roman" w:cs="Times New Roman"/>
          <w:color w:val="0F1115"/>
          <w:kern w:val="0"/>
          <w14:ligatures w14:val="none"/>
        </w:rPr>
        <w:br/>
        <w:t xml:space="preserve">Désiré </w:t>
      </w:r>
      <w:proofErr w:type="spellStart"/>
      <w:r w:rsidRPr="00426E8C">
        <w:rPr>
          <w:rFonts w:ascii="Times New Roman" w:eastAsia="Times New Roman" w:hAnsi="Times New Roman" w:cs="Times New Roman"/>
          <w:color w:val="0F1115"/>
          <w:kern w:val="0"/>
          <w14:ligatures w14:val="none"/>
        </w:rPr>
        <w:t>Ikole</w:t>
      </w:r>
      <w:proofErr w:type="spellEnd"/>
      <w:r w:rsidRPr="00426E8C">
        <w:rPr>
          <w:rFonts w:ascii="Times New Roman" w:eastAsia="Times New Roman" w:hAnsi="Times New Roman" w:cs="Times New Roman"/>
          <w:color w:val="0F1115"/>
          <w:kern w:val="0"/>
          <w14:ligatures w14:val="none"/>
        </w:rPr>
        <w:t xml:space="preserve"> Lokwa¹, Jacques Lofandjola Masumbuku², Thom's Konga Bakombo², Max Ebengho-Bokelo³*</w:t>
      </w:r>
    </w:p>
    <w:p w14:paraId="48A399C9"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Affiliations:</w:t>
      </w:r>
      <w:r w:rsidRPr="00426E8C">
        <w:rPr>
          <w:rFonts w:ascii="Times New Roman" w:eastAsia="Times New Roman" w:hAnsi="Times New Roman" w:cs="Times New Roman"/>
          <w:color w:val="0F1115"/>
          <w:kern w:val="0"/>
          <w14:ligatures w14:val="none"/>
        </w:rPr>
        <w:br/>
        <w:t xml:space="preserve">¹ </w:t>
      </w:r>
      <w:proofErr w:type="gramStart"/>
      <w:r w:rsidRPr="00426E8C">
        <w:rPr>
          <w:rFonts w:ascii="Times New Roman" w:eastAsia="Times New Roman" w:hAnsi="Times New Roman" w:cs="Times New Roman"/>
          <w:color w:val="0F1115"/>
          <w:kern w:val="0"/>
          <w14:ligatures w14:val="none"/>
        </w:rPr>
        <w:t>Master in Nursing Sciences</w:t>
      </w:r>
      <w:proofErr w:type="gramEnd"/>
      <w:r w:rsidRPr="00426E8C">
        <w:rPr>
          <w:rFonts w:ascii="Times New Roman" w:eastAsia="Times New Roman" w:hAnsi="Times New Roman" w:cs="Times New Roman"/>
          <w:color w:val="0F1115"/>
          <w:kern w:val="0"/>
          <w14:ligatures w14:val="none"/>
        </w:rPr>
        <w:t xml:space="preserve">, Higher Institute of Medical Techniques (ISTM),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DRC</w:t>
      </w:r>
      <w:r w:rsidRPr="00426E8C">
        <w:rPr>
          <w:rFonts w:ascii="Times New Roman" w:eastAsia="Times New Roman" w:hAnsi="Times New Roman" w:cs="Times New Roman"/>
          <w:color w:val="0F1115"/>
          <w:kern w:val="0"/>
          <w14:ligatures w14:val="none"/>
        </w:rPr>
        <w:br/>
        <w:t>² Thesis Director and Supervisor, ISTM-</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DRC</w:t>
      </w:r>
      <w:r w:rsidRPr="00426E8C">
        <w:rPr>
          <w:rFonts w:ascii="Times New Roman" w:eastAsia="Times New Roman" w:hAnsi="Times New Roman" w:cs="Times New Roman"/>
          <w:color w:val="0F1115"/>
          <w:kern w:val="0"/>
          <w14:ligatures w14:val="none"/>
        </w:rPr>
        <w:br/>
        <w:t>³ Professor, Thesis Director, ISTM-</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DRC</w:t>
      </w:r>
    </w:p>
    <w:p w14:paraId="474F87CA"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w:t>
      </w:r>
      <w:r w:rsidRPr="00426E8C">
        <w:rPr>
          <w:rFonts w:ascii="Times New Roman" w:eastAsia="Times New Roman" w:hAnsi="Times New Roman" w:cs="Times New Roman"/>
          <w:b/>
          <w:bCs/>
          <w:color w:val="0F1115"/>
          <w:kern w:val="0"/>
          <w14:ligatures w14:val="none"/>
        </w:rPr>
        <w:t>Corresponding Author:</w:t>
      </w:r>
      <w:r w:rsidRPr="00426E8C">
        <w:rPr>
          <w:rFonts w:ascii="Times New Roman" w:eastAsia="Times New Roman" w:hAnsi="Times New Roman" w:cs="Times New Roman"/>
          <w:color w:val="0F1115"/>
          <w:kern w:val="0"/>
          <w14:ligatures w14:val="none"/>
        </w:rPr>
        <w:br/>
        <w:t>Prof. Dr. Max Ebengho-Bokelo</w:t>
      </w:r>
      <w:r w:rsidRPr="00426E8C">
        <w:rPr>
          <w:rFonts w:ascii="Times New Roman" w:eastAsia="Times New Roman" w:hAnsi="Times New Roman" w:cs="Times New Roman"/>
          <w:color w:val="0F1115"/>
          <w:kern w:val="0"/>
          <w14:ligatures w14:val="none"/>
        </w:rPr>
        <w:br/>
        <w:t>Email: maxebg@yahoo.fr</w:t>
      </w:r>
    </w:p>
    <w:p w14:paraId="51192D12"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Conflicts of Interest:</w:t>
      </w:r>
      <w:r w:rsidRPr="00426E8C">
        <w:rPr>
          <w:rFonts w:ascii="Times New Roman" w:eastAsia="Times New Roman" w:hAnsi="Times New Roman" w:cs="Times New Roman"/>
          <w:color w:val="0F1115"/>
          <w:kern w:val="0"/>
          <w14:ligatures w14:val="none"/>
        </w:rPr>
        <w:t> None declared</w:t>
      </w:r>
      <w:r w:rsidRPr="00426E8C">
        <w:rPr>
          <w:rFonts w:ascii="Times New Roman" w:eastAsia="Times New Roman" w:hAnsi="Times New Roman" w:cs="Times New Roman"/>
          <w:color w:val="0F1115"/>
          <w:kern w:val="0"/>
          <w14:ligatures w14:val="none"/>
        </w:rPr>
        <w:br/>
      </w:r>
      <w:r w:rsidRPr="00426E8C">
        <w:rPr>
          <w:rFonts w:ascii="Times New Roman" w:eastAsia="Times New Roman" w:hAnsi="Times New Roman" w:cs="Times New Roman"/>
          <w:b/>
          <w:bCs/>
          <w:color w:val="0F1115"/>
          <w:kern w:val="0"/>
          <w14:ligatures w14:val="none"/>
        </w:rPr>
        <w:t>Funding:</w:t>
      </w:r>
      <w:r w:rsidRPr="00426E8C">
        <w:rPr>
          <w:rFonts w:ascii="Times New Roman" w:eastAsia="Times New Roman" w:hAnsi="Times New Roman" w:cs="Times New Roman"/>
          <w:color w:val="0F1115"/>
          <w:kern w:val="0"/>
          <w14:ligatures w14:val="none"/>
        </w:rPr>
        <w:t> Self-funded</w:t>
      </w:r>
    </w:p>
    <w:p w14:paraId="12BD807A"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Abstract</w:t>
      </w:r>
    </w:p>
    <w:p w14:paraId="0AF67E6C"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Introduction:</w:t>
      </w:r>
      <w:r w:rsidRPr="00426E8C">
        <w:rPr>
          <w:rFonts w:ascii="Times New Roman" w:eastAsia="Times New Roman" w:hAnsi="Times New Roman" w:cs="Times New Roman"/>
          <w:color w:val="0F1115"/>
          <w:kern w:val="0"/>
          <w14:ligatures w14:val="none"/>
        </w:rPr>
        <w:t xml:space="preserve"> The WHO Surgical Safety Checklist (SSC) significantly reduces perioperative morbidity and mortality, but its implementation remains uneven in resource-limited settings. No data existed on its applicability in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the capital of Équateur Province (Democratic Republic of the Congo).</w:t>
      </w:r>
    </w:p>
    <w:p w14:paraId="2D5CAE42"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Objective:</w:t>
      </w:r>
      <w:r w:rsidRPr="00426E8C">
        <w:rPr>
          <w:rFonts w:ascii="Times New Roman" w:eastAsia="Times New Roman" w:hAnsi="Times New Roman" w:cs="Times New Roman"/>
          <w:color w:val="0F1115"/>
          <w:kern w:val="0"/>
          <w14:ligatures w14:val="none"/>
        </w:rPr>
        <w:t xml:space="preserve"> To assess the applicability of WHO surgical safety recommendations in the three general hospitals of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by analyzing knowledge, availability, use, training, barriers, and perceived resources.</w:t>
      </w:r>
    </w:p>
    <w:p w14:paraId="5795D638"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Methods:</w:t>
      </w:r>
      <w:r w:rsidRPr="00426E8C">
        <w:rPr>
          <w:rFonts w:ascii="Times New Roman" w:eastAsia="Times New Roman" w:hAnsi="Times New Roman" w:cs="Times New Roman"/>
          <w:color w:val="0F1115"/>
          <w:kern w:val="0"/>
          <w14:ligatures w14:val="none"/>
        </w:rPr>
        <w:t xml:space="preserve"> A descriptive and analytical cross-sectional study was conducted among 108 operating room professionals (surgeons, anesthetists, scrub nurses) from </w:t>
      </w:r>
      <w:proofErr w:type="spellStart"/>
      <w:r w:rsidRPr="00426E8C">
        <w:rPr>
          <w:rFonts w:ascii="Times New Roman" w:eastAsia="Times New Roman" w:hAnsi="Times New Roman" w:cs="Times New Roman"/>
          <w:color w:val="0F1115"/>
          <w:kern w:val="0"/>
          <w14:ligatures w14:val="none"/>
        </w:rPr>
        <w:t>Bolenge</w:t>
      </w:r>
      <w:proofErr w:type="spellEnd"/>
      <w:r w:rsidRPr="00426E8C">
        <w:rPr>
          <w:rFonts w:ascii="Times New Roman" w:eastAsia="Times New Roman" w:hAnsi="Times New Roman" w:cs="Times New Roman"/>
          <w:color w:val="0F1115"/>
          <w:kern w:val="0"/>
          <w14:ligatures w14:val="none"/>
        </w:rPr>
        <w:t xml:space="preserve">,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xml:space="preserve">, </w:t>
      </w:r>
      <w:r w:rsidRPr="00426E8C">
        <w:rPr>
          <w:rFonts w:ascii="Times New Roman" w:eastAsia="Times New Roman" w:hAnsi="Times New Roman" w:cs="Times New Roman"/>
          <w:color w:val="0F1115"/>
          <w:kern w:val="0"/>
          <w14:ligatures w14:val="none"/>
        </w:rPr>
        <w:lastRenderedPageBreak/>
        <w:t xml:space="preserve">and </w:t>
      </w:r>
      <w:proofErr w:type="spellStart"/>
      <w:r w:rsidRPr="00426E8C">
        <w:rPr>
          <w:rFonts w:ascii="Times New Roman" w:eastAsia="Times New Roman" w:hAnsi="Times New Roman" w:cs="Times New Roman"/>
          <w:color w:val="0F1115"/>
          <w:kern w:val="0"/>
          <w14:ligatures w14:val="none"/>
        </w:rPr>
        <w:t>Wangata</w:t>
      </w:r>
      <w:proofErr w:type="spellEnd"/>
      <w:r w:rsidRPr="00426E8C">
        <w:rPr>
          <w:rFonts w:ascii="Times New Roman" w:eastAsia="Times New Roman" w:hAnsi="Times New Roman" w:cs="Times New Roman"/>
          <w:color w:val="0F1115"/>
          <w:kern w:val="0"/>
          <w14:ligatures w14:val="none"/>
        </w:rPr>
        <w:t xml:space="preserve"> health zones. A validated self-administered questionnaire was used for data collection. Descriptive analyses (frequencies, percentages) and bivariate analyses (χ²) were performed using Epi Info 7 and Excel.</w:t>
      </w:r>
    </w:p>
    <w:p w14:paraId="2A47FDAF"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Results:</w:t>
      </w:r>
      <w:r w:rsidRPr="00426E8C">
        <w:rPr>
          <w:rFonts w:ascii="Times New Roman" w:eastAsia="Times New Roman" w:hAnsi="Times New Roman" w:cs="Times New Roman"/>
          <w:color w:val="0F1115"/>
          <w:kern w:val="0"/>
          <w14:ligatures w14:val="none"/>
        </w:rPr>
        <w:t> No professional knew the SSC (n=108, 100%); the checklist was absent from all operating rooms (100%); and no one had received specific training (100%). Lack of information was cited as the main barrier (100%). Staff was considered numerically sufficient (100%), but workload was perceived as high or very high (72.2%), with significant differences across health zones (χ² = 53.6, p &lt; 0.05) and professional profiles (χ² = 39.2, p &lt; 0.05). All respondents expressed a need for additional training (100%). Local recommendations emphasized strengthening information (55.6%), supervision (16.7%), equipment (16.7%), and hierarchical involvement (11.1%).</w:t>
      </w:r>
    </w:p>
    <w:p w14:paraId="26DBE629"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Conclusion:</w:t>
      </w:r>
      <w:r w:rsidRPr="00426E8C">
        <w:rPr>
          <w:rFonts w:ascii="Times New Roman" w:eastAsia="Times New Roman" w:hAnsi="Times New Roman" w:cs="Times New Roman"/>
          <w:color w:val="0F1115"/>
          <w:kern w:val="0"/>
          <w14:ligatures w14:val="none"/>
        </w:rPr>
        <w:t xml:space="preserve"> The study reveals a systemic absence of SSC implementation in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exposing patients to an increased risk of avoidable complications. Priority actions in awareness, continuous training, equipment provision, and institutional commitment are required.</w:t>
      </w:r>
    </w:p>
    <w:p w14:paraId="5D198697"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Keywords:</w:t>
      </w:r>
      <w:r w:rsidRPr="00426E8C">
        <w:rPr>
          <w:rFonts w:ascii="Times New Roman" w:eastAsia="Times New Roman" w:hAnsi="Times New Roman" w:cs="Times New Roman"/>
          <w:color w:val="0F1115"/>
          <w:kern w:val="0"/>
          <w14:ligatures w14:val="none"/>
        </w:rPr>
        <w:t xml:space="preserve"> Surgical safety, WHO checklist, general hospitals,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DRC, quality of care</w:t>
      </w:r>
    </w:p>
    <w:p w14:paraId="2580ED73"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1. Introduction</w:t>
      </w:r>
    </w:p>
    <w:p w14:paraId="5E222AA5"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Surgical safety is a fundamental component of hospital care quality. In 2008, the World Health Organization (WHO) launched the second global patient safety challenge, "Safe Surgery Saves Lives," and introduced the </w:t>
      </w:r>
      <w:r w:rsidRPr="00426E8C">
        <w:rPr>
          <w:rFonts w:ascii="Times New Roman" w:eastAsia="Times New Roman" w:hAnsi="Times New Roman" w:cs="Times New Roman"/>
          <w:b/>
          <w:bCs/>
          <w:color w:val="0F1115"/>
          <w:kern w:val="0"/>
          <w14:ligatures w14:val="none"/>
        </w:rPr>
        <w:t>WHO Surgical Safety Checklist (SSC)</w:t>
      </w:r>
      <w:r w:rsidRPr="00426E8C">
        <w:rPr>
          <w:rFonts w:ascii="Times New Roman" w:eastAsia="Times New Roman" w:hAnsi="Times New Roman" w:cs="Times New Roman"/>
          <w:color w:val="0F1115"/>
          <w:kern w:val="0"/>
          <w14:ligatures w14:val="none"/>
        </w:rPr>
        <w:t xml:space="preserve"> (WHO, 2009). </w:t>
      </w:r>
      <w:proofErr w:type="gramStart"/>
      <w:r w:rsidRPr="00426E8C">
        <w:rPr>
          <w:rFonts w:ascii="Times New Roman" w:eastAsia="Times New Roman" w:hAnsi="Times New Roman" w:cs="Times New Roman"/>
          <w:color w:val="0F1115"/>
          <w:kern w:val="0"/>
          <w14:ligatures w14:val="none"/>
        </w:rPr>
        <w:t>This checklist,</w:t>
      </w:r>
      <w:proofErr w:type="gramEnd"/>
      <w:r w:rsidRPr="00426E8C">
        <w:rPr>
          <w:rFonts w:ascii="Times New Roman" w:eastAsia="Times New Roman" w:hAnsi="Times New Roman" w:cs="Times New Roman"/>
          <w:color w:val="0F1115"/>
          <w:kern w:val="0"/>
          <w14:ligatures w14:val="none"/>
        </w:rPr>
        <w:t xml:space="preserve"> structured around three phases (before anesthesia, before incision, before leaving the operating room), has been shown to reduce postoperative complications by 36% and surgical mortality by 47% in a multicenter study conducted across eight countries (Haynes et al., 2009).</w:t>
      </w:r>
    </w:p>
    <w:p w14:paraId="5FCADBEC"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In high-income countries, implementation of the SSC has become standard practice, often integrated into accreditation programs. In low- and middle-income countries (LMICs), including the Democratic Republic of the Congo (DRC), adoption remains highly uneven. Reported barriers include lack of training, insufficient material resources, organizational failures, and an absence of a safety culture (</w:t>
      </w:r>
      <w:proofErr w:type="spellStart"/>
      <w:r w:rsidRPr="00426E8C">
        <w:rPr>
          <w:rFonts w:ascii="Times New Roman" w:eastAsia="Times New Roman" w:hAnsi="Times New Roman" w:cs="Times New Roman"/>
          <w:color w:val="0F1115"/>
          <w:kern w:val="0"/>
          <w14:ligatures w14:val="none"/>
        </w:rPr>
        <w:t>Biccard</w:t>
      </w:r>
      <w:proofErr w:type="spellEnd"/>
      <w:r w:rsidRPr="00426E8C">
        <w:rPr>
          <w:rFonts w:ascii="Times New Roman" w:eastAsia="Times New Roman" w:hAnsi="Times New Roman" w:cs="Times New Roman"/>
          <w:color w:val="0F1115"/>
          <w:kern w:val="0"/>
          <w14:ligatures w14:val="none"/>
        </w:rPr>
        <w:t xml:space="preserve"> et al., 2018; WHO, 2016).</w:t>
      </w:r>
    </w:p>
    <w:p w14:paraId="0463E0BA"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lastRenderedPageBreak/>
        <w:t xml:space="preserve">In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xml:space="preserve">, the capital of Équateur Province, the general referral hospitals (HGRs) provide </w:t>
      </w:r>
      <w:proofErr w:type="gramStart"/>
      <w:r w:rsidRPr="00426E8C">
        <w:rPr>
          <w:rFonts w:ascii="Times New Roman" w:eastAsia="Times New Roman" w:hAnsi="Times New Roman" w:cs="Times New Roman"/>
          <w:color w:val="0F1115"/>
          <w:kern w:val="0"/>
          <w14:ligatures w14:val="none"/>
        </w:rPr>
        <w:t>the majority of</w:t>
      </w:r>
      <w:proofErr w:type="gramEnd"/>
      <w:r w:rsidRPr="00426E8C">
        <w:rPr>
          <w:rFonts w:ascii="Times New Roman" w:eastAsia="Times New Roman" w:hAnsi="Times New Roman" w:cs="Times New Roman"/>
          <w:color w:val="0F1115"/>
          <w:kern w:val="0"/>
          <w14:ligatures w14:val="none"/>
        </w:rPr>
        <w:t xml:space="preserve"> surgical care. Yet no data existed on the knowledge, availability, or use of the SSC. This study aimed to fill that gap by assessing the applicability of WHO recommendations in these facilities.</w:t>
      </w:r>
    </w:p>
    <w:p w14:paraId="06B0F9F1"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Main objective:</w:t>
      </w:r>
      <w:r w:rsidRPr="00426E8C">
        <w:rPr>
          <w:rFonts w:ascii="Times New Roman" w:eastAsia="Times New Roman" w:hAnsi="Times New Roman" w:cs="Times New Roman"/>
          <w:color w:val="0F1115"/>
          <w:kern w:val="0"/>
          <w14:ligatures w14:val="none"/>
        </w:rPr>
        <w:t xml:space="preserve"> To assess the applicability of WHO surgical safety recommendations in the three general hospitals of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w:t>
      </w:r>
    </w:p>
    <w:p w14:paraId="4E715922"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Specific objectives:</w:t>
      </w:r>
    </w:p>
    <w:p w14:paraId="6D754B3C" w14:textId="77777777" w:rsidR="00426E8C" w:rsidRPr="00426E8C" w:rsidRDefault="00426E8C" w:rsidP="00426E8C">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To measure the level of knowledge and use of the SSC.</w:t>
      </w:r>
    </w:p>
    <w:p w14:paraId="47D42D7D" w14:textId="77777777" w:rsidR="00426E8C" w:rsidRPr="00426E8C" w:rsidRDefault="00426E8C" w:rsidP="00426E8C">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To assess the availability of equipment and resources.</w:t>
      </w:r>
    </w:p>
    <w:p w14:paraId="31E1F572" w14:textId="77777777" w:rsidR="00426E8C" w:rsidRPr="00426E8C" w:rsidRDefault="00426E8C" w:rsidP="00426E8C">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To analyze training received and expressed needs.</w:t>
      </w:r>
    </w:p>
    <w:p w14:paraId="4491D282" w14:textId="77777777" w:rsidR="00426E8C" w:rsidRPr="00426E8C" w:rsidRDefault="00426E8C" w:rsidP="00426E8C">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To identify perceived barriers and expected benefits.</w:t>
      </w:r>
    </w:p>
    <w:p w14:paraId="294592A1" w14:textId="77777777" w:rsidR="00426E8C" w:rsidRPr="00426E8C" w:rsidRDefault="00426E8C" w:rsidP="00426E8C">
      <w:pPr>
        <w:numPr>
          <w:ilvl w:val="0"/>
          <w:numId w:val="10"/>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To gather local recommendations for improving implementation.</w:t>
      </w:r>
    </w:p>
    <w:p w14:paraId="24F45460"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2. Methods</w:t>
      </w:r>
    </w:p>
    <w:p w14:paraId="4C559D59"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2.1 Study Design and Setting</w:t>
      </w:r>
    </w:p>
    <w:p w14:paraId="0B823B33"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This was a </w:t>
      </w:r>
      <w:r w:rsidRPr="00426E8C">
        <w:rPr>
          <w:rFonts w:ascii="Times New Roman" w:eastAsia="Times New Roman" w:hAnsi="Times New Roman" w:cs="Times New Roman"/>
          <w:b/>
          <w:bCs/>
          <w:color w:val="0F1115"/>
          <w:kern w:val="0"/>
          <w14:ligatures w14:val="none"/>
        </w:rPr>
        <w:t>descriptive and analytical cross-sectional study</w:t>
      </w:r>
      <w:r w:rsidRPr="00426E8C">
        <w:rPr>
          <w:rFonts w:ascii="Times New Roman" w:eastAsia="Times New Roman" w:hAnsi="Times New Roman" w:cs="Times New Roman"/>
          <w:color w:val="0F1115"/>
          <w:kern w:val="0"/>
          <w14:ligatures w14:val="none"/>
        </w:rPr>
        <w:t xml:space="preserve">, conducted in the three general referral hospitals of the </w:t>
      </w:r>
      <w:proofErr w:type="spellStart"/>
      <w:r w:rsidRPr="00426E8C">
        <w:rPr>
          <w:rFonts w:ascii="Times New Roman" w:eastAsia="Times New Roman" w:hAnsi="Times New Roman" w:cs="Times New Roman"/>
          <w:color w:val="0F1115"/>
          <w:kern w:val="0"/>
          <w14:ligatures w14:val="none"/>
        </w:rPr>
        <w:t>Bolenge</w:t>
      </w:r>
      <w:proofErr w:type="spellEnd"/>
      <w:r w:rsidRPr="00426E8C">
        <w:rPr>
          <w:rFonts w:ascii="Times New Roman" w:eastAsia="Times New Roman" w:hAnsi="Times New Roman" w:cs="Times New Roman"/>
          <w:color w:val="0F1115"/>
          <w:kern w:val="0"/>
          <w14:ligatures w14:val="none"/>
        </w:rPr>
        <w:t xml:space="preserve">,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xml:space="preserve">, and </w:t>
      </w:r>
      <w:proofErr w:type="spellStart"/>
      <w:r w:rsidRPr="00426E8C">
        <w:rPr>
          <w:rFonts w:ascii="Times New Roman" w:eastAsia="Times New Roman" w:hAnsi="Times New Roman" w:cs="Times New Roman"/>
          <w:color w:val="0F1115"/>
          <w:kern w:val="0"/>
          <w14:ligatures w14:val="none"/>
        </w:rPr>
        <w:t>Wangata</w:t>
      </w:r>
      <w:proofErr w:type="spellEnd"/>
      <w:r w:rsidRPr="00426E8C">
        <w:rPr>
          <w:rFonts w:ascii="Times New Roman" w:eastAsia="Times New Roman" w:hAnsi="Times New Roman" w:cs="Times New Roman"/>
          <w:color w:val="0F1115"/>
          <w:kern w:val="0"/>
          <w14:ligatures w14:val="none"/>
        </w:rPr>
        <w:t xml:space="preserve"> health zones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xml:space="preserve"> city, Équateur Province, DRC) between February and July 2024.</w:t>
      </w:r>
    </w:p>
    <w:p w14:paraId="1E25BB2B"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2.2 Population and Sampling</w:t>
      </w:r>
    </w:p>
    <w:p w14:paraId="288A1778"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The target population consisted of all healthcare professionals working in the operating rooms: surgeons, anesthetists, operating room nurses, technicians, and hygiene-quality staff. The total population was 108 individuals. A complete census was conducted (n=108), without sampling, to avoid any selection bias.</w:t>
      </w:r>
    </w:p>
    <w:p w14:paraId="54B32EEF"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Inclusion criteria:</w:t>
      </w:r>
    </w:p>
    <w:p w14:paraId="791C6694" w14:textId="77777777" w:rsidR="00426E8C" w:rsidRPr="00426E8C" w:rsidRDefault="00426E8C" w:rsidP="00426E8C">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Medical or paramedical staff working in an operating room.</w:t>
      </w:r>
    </w:p>
    <w:p w14:paraId="51984136" w14:textId="77777777" w:rsidR="00426E8C" w:rsidRPr="00426E8C" w:rsidRDefault="00426E8C" w:rsidP="00426E8C">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At least 6 months of experience.</w:t>
      </w:r>
    </w:p>
    <w:p w14:paraId="590AA1C9" w14:textId="77777777" w:rsidR="00426E8C" w:rsidRPr="00426E8C" w:rsidRDefault="00426E8C" w:rsidP="00426E8C">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lastRenderedPageBreak/>
        <w:t>Age 25–65 years.</w:t>
      </w:r>
    </w:p>
    <w:p w14:paraId="07ED8ED0" w14:textId="77777777" w:rsidR="00426E8C" w:rsidRPr="00426E8C" w:rsidRDefault="00426E8C" w:rsidP="00426E8C">
      <w:pPr>
        <w:numPr>
          <w:ilvl w:val="0"/>
          <w:numId w:val="11"/>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Voluntary consent.</w:t>
      </w:r>
    </w:p>
    <w:p w14:paraId="3F8C7F87"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Exclusion criteria:</w:t>
      </w:r>
    </w:p>
    <w:p w14:paraId="0C054034" w14:textId="77777777" w:rsidR="00426E8C" w:rsidRPr="00426E8C" w:rsidRDefault="00426E8C" w:rsidP="00426E8C">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Refusal to participate.</w:t>
      </w:r>
    </w:p>
    <w:p w14:paraId="407CBC6B" w14:textId="77777777" w:rsidR="00426E8C" w:rsidRPr="00426E8C" w:rsidRDefault="00426E8C" w:rsidP="00426E8C">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Absent on the day of data collection.</w:t>
      </w:r>
    </w:p>
    <w:p w14:paraId="0C553130" w14:textId="77777777" w:rsidR="00426E8C" w:rsidRPr="00426E8C" w:rsidRDefault="00426E8C" w:rsidP="00426E8C">
      <w:pPr>
        <w:numPr>
          <w:ilvl w:val="0"/>
          <w:numId w:val="12"/>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Less than 6 months of experience.</w:t>
      </w:r>
    </w:p>
    <w:p w14:paraId="3B4CA986"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2.3 Data Collection Tool and Variables</w:t>
      </w:r>
    </w:p>
    <w:p w14:paraId="07103E2B"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A structured </w:t>
      </w:r>
      <w:r w:rsidRPr="00426E8C">
        <w:rPr>
          <w:rFonts w:ascii="Times New Roman" w:eastAsia="Times New Roman" w:hAnsi="Times New Roman" w:cs="Times New Roman"/>
          <w:b/>
          <w:bCs/>
          <w:color w:val="0F1115"/>
          <w:kern w:val="0"/>
          <w14:ligatures w14:val="none"/>
        </w:rPr>
        <w:t>self-administered questionnaire</w:t>
      </w:r>
      <w:r w:rsidRPr="00426E8C">
        <w:rPr>
          <w:rFonts w:ascii="Times New Roman" w:eastAsia="Times New Roman" w:hAnsi="Times New Roman" w:cs="Times New Roman"/>
          <w:color w:val="0F1115"/>
          <w:kern w:val="0"/>
          <w14:ligatures w14:val="none"/>
        </w:rPr>
        <w:t> was used, pretested to ensure clarity and relevance. The sections included:</w:t>
      </w:r>
    </w:p>
    <w:p w14:paraId="152DABD9" w14:textId="77777777" w:rsidR="00426E8C" w:rsidRPr="00426E8C" w:rsidRDefault="00426E8C" w:rsidP="00426E8C">
      <w:pPr>
        <w:numPr>
          <w:ilvl w:val="0"/>
          <w:numId w:val="13"/>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Sociodemographic and professional data (health zone, professional profile).</w:t>
      </w:r>
    </w:p>
    <w:p w14:paraId="14266E77" w14:textId="77777777" w:rsidR="00426E8C" w:rsidRPr="00426E8C" w:rsidRDefault="00426E8C" w:rsidP="00426E8C">
      <w:pPr>
        <w:numPr>
          <w:ilvl w:val="0"/>
          <w:numId w:val="13"/>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Knowledge, availability, and use of the SSC.</w:t>
      </w:r>
    </w:p>
    <w:p w14:paraId="21687B69" w14:textId="77777777" w:rsidR="00426E8C" w:rsidRPr="00426E8C" w:rsidRDefault="00426E8C" w:rsidP="00426E8C">
      <w:pPr>
        <w:numPr>
          <w:ilvl w:val="0"/>
          <w:numId w:val="13"/>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Resources (equipment, staff adequacy).</w:t>
      </w:r>
    </w:p>
    <w:p w14:paraId="40533D1E" w14:textId="77777777" w:rsidR="00426E8C" w:rsidRPr="00426E8C" w:rsidRDefault="00426E8C" w:rsidP="00426E8C">
      <w:pPr>
        <w:numPr>
          <w:ilvl w:val="0"/>
          <w:numId w:val="13"/>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Perceived workload.</w:t>
      </w:r>
    </w:p>
    <w:p w14:paraId="545C76CC" w14:textId="77777777" w:rsidR="00426E8C" w:rsidRPr="00426E8C" w:rsidRDefault="00426E8C" w:rsidP="00426E8C">
      <w:pPr>
        <w:numPr>
          <w:ilvl w:val="0"/>
          <w:numId w:val="13"/>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Training received and needs.</w:t>
      </w:r>
    </w:p>
    <w:p w14:paraId="7A465436" w14:textId="77777777" w:rsidR="00426E8C" w:rsidRPr="00426E8C" w:rsidRDefault="00426E8C" w:rsidP="00426E8C">
      <w:pPr>
        <w:numPr>
          <w:ilvl w:val="0"/>
          <w:numId w:val="13"/>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Perceived barriers and benefits.</w:t>
      </w:r>
    </w:p>
    <w:p w14:paraId="77198F3A" w14:textId="77777777" w:rsidR="00426E8C" w:rsidRPr="00426E8C" w:rsidRDefault="00426E8C" w:rsidP="00426E8C">
      <w:pPr>
        <w:numPr>
          <w:ilvl w:val="0"/>
          <w:numId w:val="13"/>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Expected impact and recommendations.</w:t>
      </w:r>
    </w:p>
    <w:p w14:paraId="2A98AEC4"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Dependent variable:</w:t>
      </w:r>
      <w:r w:rsidRPr="00426E8C">
        <w:rPr>
          <w:rFonts w:ascii="Times New Roman" w:eastAsia="Times New Roman" w:hAnsi="Times New Roman" w:cs="Times New Roman"/>
          <w:color w:val="0F1115"/>
          <w:kern w:val="0"/>
          <w14:ligatures w14:val="none"/>
        </w:rPr>
        <w:t> Applicability of WHO recommendations (knowledge, availability, use).</w:t>
      </w:r>
      <w:r w:rsidRPr="00426E8C">
        <w:rPr>
          <w:rFonts w:ascii="Times New Roman" w:eastAsia="Times New Roman" w:hAnsi="Times New Roman" w:cs="Times New Roman"/>
          <w:color w:val="0F1115"/>
          <w:kern w:val="0"/>
          <w14:ligatures w14:val="none"/>
        </w:rPr>
        <w:br/>
      </w:r>
      <w:r w:rsidRPr="00426E8C">
        <w:rPr>
          <w:rFonts w:ascii="Times New Roman" w:eastAsia="Times New Roman" w:hAnsi="Times New Roman" w:cs="Times New Roman"/>
          <w:b/>
          <w:bCs/>
          <w:color w:val="0F1115"/>
          <w:kern w:val="0"/>
          <w14:ligatures w14:val="none"/>
        </w:rPr>
        <w:t>Independent variables:</w:t>
      </w:r>
      <w:r w:rsidRPr="00426E8C">
        <w:rPr>
          <w:rFonts w:ascii="Times New Roman" w:eastAsia="Times New Roman" w:hAnsi="Times New Roman" w:cs="Times New Roman"/>
          <w:color w:val="0F1115"/>
          <w:kern w:val="0"/>
          <w14:ligatures w14:val="none"/>
        </w:rPr>
        <w:t> Health zone, professional profile, workload, training, resources.</w:t>
      </w:r>
    </w:p>
    <w:p w14:paraId="3E755112"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2.4 Statistical Analysis</w:t>
      </w:r>
    </w:p>
    <w:p w14:paraId="35B3FE66"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Data were entered into Epi Info 7 and Excel.</w:t>
      </w:r>
    </w:p>
    <w:p w14:paraId="5533673F" w14:textId="77777777" w:rsidR="00426E8C" w:rsidRPr="00426E8C" w:rsidRDefault="00426E8C" w:rsidP="00426E8C">
      <w:pPr>
        <w:numPr>
          <w:ilvl w:val="0"/>
          <w:numId w:val="14"/>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Descriptive:</w:t>
      </w:r>
      <w:r w:rsidRPr="00426E8C">
        <w:rPr>
          <w:rFonts w:ascii="Times New Roman" w:eastAsia="Times New Roman" w:hAnsi="Times New Roman" w:cs="Times New Roman"/>
          <w:color w:val="0F1115"/>
          <w:kern w:val="0"/>
          <w14:ligatures w14:val="none"/>
        </w:rPr>
        <w:t> frequencies, percentages.</w:t>
      </w:r>
    </w:p>
    <w:p w14:paraId="300CADB6" w14:textId="77777777" w:rsidR="00426E8C" w:rsidRPr="00426E8C" w:rsidRDefault="00426E8C" w:rsidP="00426E8C">
      <w:pPr>
        <w:numPr>
          <w:ilvl w:val="0"/>
          <w:numId w:val="14"/>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Bivariate:</w:t>
      </w:r>
      <w:r w:rsidRPr="00426E8C">
        <w:rPr>
          <w:rFonts w:ascii="Times New Roman" w:eastAsia="Times New Roman" w:hAnsi="Times New Roman" w:cs="Times New Roman"/>
          <w:color w:val="0F1115"/>
          <w:kern w:val="0"/>
          <w14:ligatures w14:val="none"/>
        </w:rPr>
        <w:t> chi-square test to compare proportions across health zones and professional profiles.</w:t>
      </w:r>
    </w:p>
    <w:p w14:paraId="7170E014" w14:textId="77777777" w:rsidR="00426E8C" w:rsidRPr="00426E8C" w:rsidRDefault="00426E8C" w:rsidP="00426E8C">
      <w:pPr>
        <w:numPr>
          <w:ilvl w:val="0"/>
          <w:numId w:val="14"/>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Significance level:</w:t>
      </w:r>
      <w:r w:rsidRPr="00426E8C">
        <w:rPr>
          <w:rFonts w:ascii="Times New Roman" w:eastAsia="Times New Roman" w:hAnsi="Times New Roman" w:cs="Times New Roman"/>
          <w:color w:val="0F1115"/>
          <w:kern w:val="0"/>
          <w14:ligatures w14:val="none"/>
        </w:rPr>
        <w:t> p &lt; 0.05.</w:t>
      </w:r>
    </w:p>
    <w:p w14:paraId="12514B9D"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2.5 Ethical Considerations</w:t>
      </w:r>
    </w:p>
    <w:p w14:paraId="53CE9289"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lastRenderedPageBreak/>
        <w:t>The study received approval from the ethics committee of ISTM-</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Free and informed consent was obtained from each participant. Anonymity and confidentiality were strictly respected (no identifying information was collected).</w:t>
      </w:r>
    </w:p>
    <w:p w14:paraId="2A42D336"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3. Results</w:t>
      </w:r>
    </w:p>
    <w:p w14:paraId="60AD96E2"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3.1 Sample Characteristics</w:t>
      </w:r>
    </w:p>
    <w:p w14:paraId="7E8234E3"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The sample consisted of 108 professionals, evenly distributed across the three health zones (33.3% each). Surgeons (34.3%), anesthetists (33.3%), and operating room nurses (32.4%) were well represented.</w:t>
      </w:r>
    </w:p>
    <w:p w14:paraId="6433F208"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3.2 Knowledge, Availability, and Use of the SSC</w:t>
      </w:r>
    </w:p>
    <w:tbl>
      <w:tblPr>
        <w:tblW w:w="605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006"/>
        <w:gridCol w:w="1998"/>
        <w:gridCol w:w="1046"/>
      </w:tblGrid>
      <w:tr w:rsidR="00426E8C" w:rsidRPr="00426E8C" w14:paraId="00BB386F" w14:textId="77777777" w:rsidTr="00426E8C">
        <w:trPr>
          <w:tblHeader/>
        </w:trPr>
        <w:tc>
          <w:tcPr>
            <w:tcW w:w="3006" w:type="dxa"/>
            <w:tcBorders>
              <w:top w:val="single" w:sz="4" w:space="0" w:color="auto"/>
              <w:bottom w:val="single" w:sz="4" w:space="0" w:color="auto"/>
            </w:tcBorders>
            <w:tcMar>
              <w:top w:w="150" w:type="dxa"/>
              <w:left w:w="0" w:type="dxa"/>
              <w:bottom w:w="150" w:type="dxa"/>
              <w:right w:w="240" w:type="dxa"/>
            </w:tcMar>
            <w:vAlign w:val="center"/>
            <w:hideMark/>
          </w:tcPr>
          <w:p w14:paraId="37D909A1"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Variable</w:t>
            </w:r>
          </w:p>
        </w:tc>
        <w:tc>
          <w:tcPr>
            <w:tcW w:w="1998" w:type="dxa"/>
            <w:tcBorders>
              <w:top w:val="single" w:sz="4" w:space="0" w:color="auto"/>
              <w:bottom w:val="single" w:sz="4" w:space="0" w:color="auto"/>
            </w:tcBorders>
            <w:tcMar>
              <w:top w:w="150" w:type="dxa"/>
              <w:left w:w="240" w:type="dxa"/>
              <w:bottom w:w="150" w:type="dxa"/>
              <w:right w:w="240" w:type="dxa"/>
            </w:tcMar>
            <w:vAlign w:val="center"/>
            <w:hideMark/>
          </w:tcPr>
          <w:p w14:paraId="1C532E79"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Category</w:t>
            </w:r>
          </w:p>
        </w:tc>
        <w:tc>
          <w:tcPr>
            <w:tcW w:w="1046" w:type="dxa"/>
            <w:tcBorders>
              <w:top w:val="single" w:sz="4" w:space="0" w:color="auto"/>
              <w:bottom w:val="single" w:sz="4" w:space="0" w:color="auto"/>
            </w:tcBorders>
            <w:tcMar>
              <w:top w:w="150" w:type="dxa"/>
              <w:left w:w="240" w:type="dxa"/>
              <w:bottom w:w="150" w:type="dxa"/>
              <w:right w:w="240" w:type="dxa"/>
            </w:tcMar>
            <w:vAlign w:val="center"/>
            <w:hideMark/>
          </w:tcPr>
          <w:p w14:paraId="3E2A8849"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n (%)</w:t>
            </w:r>
          </w:p>
        </w:tc>
      </w:tr>
      <w:tr w:rsidR="00426E8C" w:rsidRPr="00426E8C" w14:paraId="3E88D0E2" w14:textId="77777777" w:rsidTr="00426E8C">
        <w:tc>
          <w:tcPr>
            <w:tcW w:w="3006" w:type="dxa"/>
            <w:tcBorders>
              <w:top w:val="single" w:sz="4" w:space="0" w:color="auto"/>
            </w:tcBorders>
            <w:tcMar>
              <w:top w:w="150" w:type="dxa"/>
              <w:left w:w="0" w:type="dxa"/>
              <w:bottom w:w="150" w:type="dxa"/>
              <w:right w:w="240" w:type="dxa"/>
            </w:tcMar>
            <w:vAlign w:val="center"/>
            <w:hideMark/>
          </w:tcPr>
          <w:p w14:paraId="29709A9F"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Knowledge of the SSC</w:t>
            </w:r>
          </w:p>
        </w:tc>
        <w:tc>
          <w:tcPr>
            <w:tcW w:w="1998" w:type="dxa"/>
            <w:tcBorders>
              <w:top w:val="single" w:sz="4" w:space="0" w:color="auto"/>
            </w:tcBorders>
            <w:tcMar>
              <w:top w:w="150" w:type="dxa"/>
              <w:left w:w="240" w:type="dxa"/>
              <w:bottom w:w="150" w:type="dxa"/>
              <w:right w:w="240" w:type="dxa"/>
            </w:tcMar>
            <w:vAlign w:val="center"/>
            <w:hideMark/>
          </w:tcPr>
          <w:p w14:paraId="5FE88440"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No</w:t>
            </w:r>
          </w:p>
        </w:tc>
        <w:tc>
          <w:tcPr>
            <w:tcW w:w="1046" w:type="dxa"/>
            <w:tcBorders>
              <w:top w:val="single" w:sz="4" w:space="0" w:color="auto"/>
            </w:tcBorders>
            <w:tcMar>
              <w:top w:w="150" w:type="dxa"/>
              <w:left w:w="240" w:type="dxa"/>
              <w:bottom w:w="150" w:type="dxa"/>
              <w:right w:w="0" w:type="dxa"/>
            </w:tcMar>
            <w:vAlign w:val="center"/>
            <w:hideMark/>
          </w:tcPr>
          <w:p w14:paraId="76268352"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108 (100)</w:t>
            </w:r>
          </w:p>
        </w:tc>
      </w:tr>
      <w:tr w:rsidR="00426E8C" w:rsidRPr="00426E8C" w14:paraId="1E454FBC" w14:textId="77777777" w:rsidTr="00426E8C">
        <w:tc>
          <w:tcPr>
            <w:tcW w:w="3006" w:type="dxa"/>
            <w:tcMar>
              <w:top w:w="150" w:type="dxa"/>
              <w:left w:w="0" w:type="dxa"/>
              <w:bottom w:w="150" w:type="dxa"/>
              <w:right w:w="240" w:type="dxa"/>
            </w:tcMar>
            <w:vAlign w:val="center"/>
            <w:hideMark/>
          </w:tcPr>
          <w:p w14:paraId="21C23DC1"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Availability of the SSC</w:t>
            </w:r>
          </w:p>
        </w:tc>
        <w:tc>
          <w:tcPr>
            <w:tcW w:w="1998" w:type="dxa"/>
            <w:tcMar>
              <w:top w:w="150" w:type="dxa"/>
              <w:left w:w="240" w:type="dxa"/>
              <w:bottom w:w="150" w:type="dxa"/>
              <w:right w:w="240" w:type="dxa"/>
            </w:tcMar>
            <w:vAlign w:val="center"/>
            <w:hideMark/>
          </w:tcPr>
          <w:p w14:paraId="33C7CBD0"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Absent</w:t>
            </w:r>
          </w:p>
        </w:tc>
        <w:tc>
          <w:tcPr>
            <w:tcW w:w="1046" w:type="dxa"/>
            <w:tcMar>
              <w:top w:w="150" w:type="dxa"/>
              <w:left w:w="240" w:type="dxa"/>
              <w:bottom w:w="150" w:type="dxa"/>
              <w:right w:w="0" w:type="dxa"/>
            </w:tcMar>
            <w:vAlign w:val="center"/>
            <w:hideMark/>
          </w:tcPr>
          <w:p w14:paraId="12E2B4F8"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108 (100)</w:t>
            </w:r>
          </w:p>
        </w:tc>
      </w:tr>
      <w:tr w:rsidR="00426E8C" w:rsidRPr="00426E8C" w14:paraId="443F95B5" w14:textId="77777777" w:rsidTr="00426E8C">
        <w:tc>
          <w:tcPr>
            <w:tcW w:w="3006" w:type="dxa"/>
            <w:tcMar>
              <w:top w:w="150" w:type="dxa"/>
              <w:left w:w="0" w:type="dxa"/>
              <w:bottom w:w="150" w:type="dxa"/>
              <w:right w:w="240" w:type="dxa"/>
            </w:tcMar>
            <w:vAlign w:val="center"/>
            <w:hideMark/>
          </w:tcPr>
          <w:p w14:paraId="64109744"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Use of the SSC</w:t>
            </w:r>
          </w:p>
        </w:tc>
        <w:tc>
          <w:tcPr>
            <w:tcW w:w="1998" w:type="dxa"/>
            <w:tcMar>
              <w:top w:w="150" w:type="dxa"/>
              <w:left w:w="240" w:type="dxa"/>
              <w:bottom w:w="150" w:type="dxa"/>
              <w:right w:w="240" w:type="dxa"/>
            </w:tcMar>
            <w:vAlign w:val="center"/>
            <w:hideMark/>
          </w:tcPr>
          <w:p w14:paraId="6B87FFD7"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Never</w:t>
            </w:r>
          </w:p>
        </w:tc>
        <w:tc>
          <w:tcPr>
            <w:tcW w:w="1046" w:type="dxa"/>
            <w:tcMar>
              <w:top w:w="150" w:type="dxa"/>
              <w:left w:w="240" w:type="dxa"/>
              <w:bottom w:w="150" w:type="dxa"/>
              <w:right w:w="0" w:type="dxa"/>
            </w:tcMar>
            <w:vAlign w:val="center"/>
            <w:hideMark/>
          </w:tcPr>
          <w:p w14:paraId="5B6EC9C6"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108 (100)</w:t>
            </w:r>
          </w:p>
        </w:tc>
      </w:tr>
      <w:tr w:rsidR="00426E8C" w:rsidRPr="00426E8C" w14:paraId="63E4B067" w14:textId="77777777" w:rsidTr="00426E8C">
        <w:tc>
          <w:tcPr>
            <w:tcW w:w="3006" w:type="dxa"/>
            <w:tcMar>
              <w:top w:w="150" w:type="dxa"/>
              <w:left w:w="0" w:type="dxa"/>
              <w:bottom w:w="150" w:type="dxa"/>
              <w:right w:w="240" w:type="dxa"/>
            </w:tcMar>
            <w:vAlign w:val="center"/>
            <w:hideMark/>
          </w:tcPr>
          <w:p w14:paraId="565F265B"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Necessary equipment available</w:t>
            </w:r>
          </w:p>
        </w:tc>
        <w:tc>
          <w:tcPr>
            <w:tcW w:w="1998" w:type="dxa"/>
            <w:tcMar>
              <w:top w:w="150" w:type="dxa"/>
              <w:left w:w="240" w:type="dxa"/>
              <w:bottom w:w="150" w:type="dxa"/>
              <w:right w:w="240" w:type="dxa"/>
            </w:tcMar>
            <w:vAlign w:val="center"/>
            <w:hideMark/>
          </w:tcPr>
          <w:p w14:paraId="1B4F5697"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Never</w:t>
            </w:r>
          </w:p>
        </w:tc>
        <w:tc>
          <w:tcPr>
            <w:tcW w:w="1046" w:type="dxa"/>
            <w:tcMar>
              <w:top w:w="150" w:type="dxa"/>
              <w:left w:w="240" w:type="dxa"/>
              <w:bottom w:w="150" w:type="dxa"/>
              <w:right w:w="0" w:type="dxa"/>
            </w:tcMar>
            <w:vAlign w:val="center"/>
            <w:hideMark/>
          </w:tcPr>
          <w:p w14:paraId="4DB9970D"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108 (100)</w:t>
            </w:r>
          </w:p>
        </w:tc>
      </w:tr>
      <w:tr w:rsidR="00426E8C" w:rsidRPr="00426E8C" w14:paraId="758F50CD" w14:textId="77777777" w:rsidTr="00426E8C">
        <w:tc>
          <w:tcPr>
            <w:tcW w:w="3006" w:type="dxa"/>
            <w:tcMar>
              <w:top w:w="150" w:type="dxa"/>
              <w:left w:w="0" w:type="dxa"/>
              <w:bottom w:w="150" w:type="dxa"/>
              <w:right w:w="240" w:type="dxa"/>
            </w:tcMar>
            <w:vAlign w:val="center"/>
            <w:hideMark/>
          </w:tcPr>
          <w:p w14:paraId="575041B9"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Specific training received</w:t>
            </w:r>
          </w:p>
        </w:tc>
        <w:tc>
          <w:tcPr>
            <w:tcW w:w="1998" w:type="dxa"/>
            <w:tcMar>
              <w:top w:w="150" w:type="dxa"/>
              <w:left w:w="240" w:type="dxa"/>
              <w:bottom w:w="150" w:type="dxa"/>
              <w:right w:w="240" w:type="dxa"/>
            </w:tcMar>
            <w:vAlign w:val="center"/>
            <w:hideMark/>
          </w:tcPr>
          <w:p w14:paraId="3CF63C09"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No</w:t>
            </w:r>
          </w:p>
        </w:tc>
        <w:tc>
          <w:tcPr>
            <w:tcW w:w="1046" w:type="dxa"/>
            <w:tcMar>
              <w:top w:w="150" w:type="dxa"/>
              <w:left w:w="240" w:type="dxa"/>
              <w:bottom w:w="150" w:type="dxa"/>
              <w:right w:w="0" w:type="dxa"/>
            </w:tcMar>
            <w:vAlign w:val="center"/>
            <w:hideMark/>
          </w:tcPr>
          <w:p w14:paraId="4D69F957"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108 (100)</w:t>
            </w:r>
          </w:p>
        </w:tc>
      </w:tr>
      <w:tr w:rsidR="00426E8C" w:rsidRPr="00426E8C" w14:paraId="1A1B9222" w14:textId="77777777" w:rsidTr="00426E8C">
        <w:tc>
          <w:tcPr>
            <w:tcW w:w="3006" w:type="dxa"/>
            <w:tcMar>
              <w:top w:w="150" w:type="dxa"/>
              <w:left w:w="0" w:type="dxa"/>
              <w:bottom w:w="150" w:type="dxa"/>
              <w:right w:w="240" w:type="dxa"/>
            </w:tcMar>
            <w:vAlign w:val="center"/>
            <w:hideMark/>
          </w:tcPr>
          <w:p w14:paraId="161BAC48"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Main barrier</w:t>
            </w:r>
          </w:p>
        </w:tc>
        <w:tc>
          <w:tcPr>
            <w:tcW w:w="1998" w:type="dxa"/>
            <w:tcMar>
              <w:top w:w="150" w:type="dxa"/>
              <w:left w:w="240" w:type="dxa"/>
              <w:bottom w:w="150" w:type="dxa"/>
              <w:right w:w="240" w:type="dxa"/>
            </w:tcMar>
            <w:vAlign w:val="center"/>
            <w:hideMark/>
          </w:tcPr>
          <w:p w14:paraId="3EACF789"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Lack of information</w:t>
            </w:r>
          </w:p>
        </w:tc>
        <w:tc>
          <w:tcPr>
            <w:tcW w:w="1046" w:type="dxa"/>
            <w:tcMar>
              <w:top w:w="150" w:type="dxa"/>
              <w:left w:w="240" w:type="dxa"/>
              <w:bottom w:w="150" w:type="dxa"/>
              <w:right w:w="0" w:type="dxa"/>
            </w:tcMar>
            <w:vAlign w:val="center"/>
            <w:hideMark/>
          </w:tcPr>
          <w:p w14:paraId="0CA11126"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108 (100)</w:t>
            </w:r>
          </w:p>
        </w:tc>
      </w:tr>
    </w:tbl>
    <w:p w14:paraId="2EC1E617"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All professionals surveyed were completely unaware of the existence of the SSC,</w:t>
      </w:r>
      <w:r w:rsidRPr="00426E8C">
        <w:rPr>
          <w:rFonts w:ascii="Times New Roman" w:eastAsia="Times New Roman" w:hAnsi="Times New Roman" w:cs="Times New Roman"/>
          <w:color w:val="0F1115"/>
          <w:kern w:val="0"/>
          <w14:ligatures w14:val="none"/>
        </w:rPr>
        <w:t> and the checklist was absent from all operating rooms.</w:t>
      </w:r>
    </w:p>
    <w:p w14:paraId="5FA4BB9F"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3.3 Human Resources and Workload</w:t>
      </w:r>
    </w:p>
    <w:tbl>
      <w:tblPr>
        <w:tblW w:w="4539"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51"/>
        <w:gridCol w:w="1323"/>
        <w:gridCol w:w="965"/>
      </w:tblGrid>
      <w:tr w:rsidR="00426E8C" w:rsidRPr="00426E8C" w14:paraId="089D50F9" w14:textId="77777777" w:rsidTr="00426E8C">
        <w:trPr>
          <w:tblHeader/>
        </w:trPr>
        <w:tc>
          <w:tcPr>
            <w:tcW w:w="2511" w:type="dxa"/>
            <w:tcBorders>
              <w:top w:val="single" w:sz="4" w:space="0" w:color="auto"/>
              <w:bottom w:val="single" w:sz="4" w:space="0" w:color="auto"/>
            </w:tcBorders>
            <w:tcMar>
              <w:top w:w="150" w:type="dxa"/>
              <w:left w:w="0" w:type="dxa"/>
              <w:bottom w:w="150" w:type="dxa"/>
              <w:right w:w="240" w:type="dxa"/>
            </w:tcMar>
            <w:vAlign w:val="center"/>
            <w:hideMark/>
          </w:tcPr>
          <w:p w14:paraId="4DBEB69A"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lastRenderedPageBreak/>
              <w:t>Variable</w:t>
            </w:r>
          </w:p>
        </w:tc>
        <w:tc>
          <w:tcPr>
            <w:tcW w:w="1026" w:type="dxa"/>
            <w:tcBorders>
              <w:top w:val="single" w:sz="4" w:space="0" w:color="auto"/>
              <w:bottom w:val="single" w:sz="4" w:space="0" w:color="auto"/>
            </w:tcBorders>
            <w:tcMar>
              <w:top w:w="150" w:type="dxa"/>
              <w:left w:w="240" w:type="dxa"/>
              <w:bottom w:w="150" w:type="dxa"/>
              <w:right w:w="240" w:type="dxa"/>
            </w:tcMar>
            <w:vAlign w:val="center"/>
            <w:hideMark/>
          </w:tcPr>
          <w:p w14:paraId="287004BE"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Category</w:t>
            </w:r>
          </w:p>
        </w:tc>
        <w:tc>
          <w:tcPr>
            <w:tcW w:w="1002" w:type="dxa"/>
            <w:tcBorders>
              <w:top w:val="single" w:sz="4" w:space="0" w:color="auto"/>
              <w:bottom w:val="single" w:sz="4" w:space="0" w:color="auto"/>
            </w:tcBorders>
            <w:tcMar>
              <w:top w:w="150" w:type="dxa"/>
              <w:left w:w="240" w:type="dxa"/>
              <w:bottom w:w="150" w:type="dxa"/>
              <w:right w:w="240" w:type="dxa"/>
            </w:tcMar>
            <w:vAlign w:val="center"/>
            <w:hideMark/>
          </w:tcPr>
          <w:p w14:paraId="6C72BBD8"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n (%)</w:t>
            </w:r>
          </w:p>
        </w:tc>
      </w:tr>
      <w:tr w:rsidR="00426E8C" w:rsidRPr="00426E8C" w14:paraId="457240A2" w14:textId="77777777" w:rsidTr="00426E8C">
        <w:tc>
          <w:tcPr>
            <w:tcW w:w="2511" w:type="dxa"/>
            <w:tcBorders>
              <w:top w:val="single" w:sz="4" w:space="0" w:color="auto"/>
            </w:tcBorders>
            <w:tcMar>
              <w:top w:w="150" w:type="dxa"/>
              <w:left w:w="0" w:type="dxa"/>
              <w:bottom w:w="150" w:type="dxa"/>
              <w:right w:w="240" w:type="dxa"/>
            </w:tcMar>
            <w:vAlign w:val="center"/>
            <w:hideMark/>
          </w:tcPr>
          <w:p w14:paraId="16380B8B"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Staff adequacy</w:t>
            </w:r>
          </w:p>
        </w:tc>
        <w:tc>
          <w:tcPr>
            <w:tcW w:w="1026" w:type="dxa"/>
            <w:tcBorders>
              <w:top w:val="single" w:sz="4" w:space="0" w:color="auto"/>
            </w:tcBorders>
            <w:tcMar>
              <w:top w:w="150" w:type="dxa"/>
              <w:left w:w="240" w:type="dxa"/>
              <w:bottom w:w="150" w:type="dxa"/>
              <w:right w:w="240" w:type="dxa"/>
            </w:tcMar>
            <w:vAlign w:val="center"/>
            <w:hideMark/>
          </w:tcPr>
          <w:p w14:paraId="7F1F97FA"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Yes</w:t>
            </w:r>
          </w:p>
        </w:tc>
        <w:tc>
          <w:tcPr>
            <w:tcW w:w="1002" w:type="dxa"/>
            <w:tcBorders>
              <w:top w:val="single" w:sz="4" w:space="0" w:color="auto"/>
            </w:tcBorders>
            <w:tcMar>
              <w:top w:w="150" w:type="dxa"/>
              <w:left w:w="240" w:type="dxa"/>
              <w:bottom w:w="150" w:type="dxa"/>
              <w:right w:w="0" w:type="dxa"/>
            </w:tcMar>
            <w:vAlign w:val="center"/>
            <w:hideMark/>
          </w:tcPr>
          <w:p w14:paraId="7A1652C5"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108 (100)</w:t>
            </w:r>
          </w:p>
        </w:tc>
      </w:tr>
      <w:tr w:rsidR="00426E8C" w:rsidRPr="00426E8C" w14:paraId="6C421131" w14:textId="77777777" w:rsidTr="00426E8C">
        <w:tc>
          <w:tcPr>
            <w:tcW w:w="2511" w:type="dxa"/>
            <w:tcMar>
              <w:top w:w="150" w:type="dxa"/>
              <w:left w:w="0" w:type="dxa"/>
              <w:bottom w:w="150" w:type="dxa"/>
              <w:right w:w="240" w:type="dxa"/>
            </w:tcMar>
            <w:vAlign w:val="center"/>
            <w:hideMark/>
          </w:tcPr>
          <w:p w14:paraId="4B266470"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Additional training desired</w:t>
            </w:r>
          </w:p>
        </w:tc>
        <w:tc>
          <w:tcPr>
            <w:tcW w:w="1026" w:type="dxa"/>
            <w:tcMar>
              <w:top w:w="150" w:type="dxa"/>
              <w:left w:w="240" w:type="dxa"/>
              <w:bottom w:w="150" w:type="dxa"/>
              <w:right w:w="240" w:type="dxa"/>
            </w:tcMar>
            <w:vAlign w:val="center"/>
            <w:hideMark/>
          </w:tcPr>
          <w:p w14:paraId="1AE7F182"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Yes</w:t>
            </w:r>
          </w:p>
        </w:tc>
        <w:tc>
          <w:tcPr>
            <w:tcW w:w="1002" w:type="dxa"/>
            <w:tcMar>
              <w:top w:w="150" w:type="dxa"/>
              <w:left w:w="240" w:type="dxa"/>
              <w:bottom w:w="150" w:type="dxa"/>
              <w:right w:w="0" w:type="dxa"/>
            </w:tcMar>
            <w:vAlign w:val="center"/>
            <w:hideMark/>
          </w:tcPr>
          <w:p w14:paraId="4F28D361"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108 (100)</w:t>
            </w:r>
          </w:p>
        </w:tc>
      </w:tr>
      <w:tr w:rsidR="00426E8C" w:rsidRPr="00426E8C" w14:paraId="24C2EAF9" w14:textId="77777777" w:rsidTr="00426E8C">
        <w:tc>
          <w:tcPr>
            <w:tcW w:w="2511" w:type="dxa"/>
            <w:tcMar>
              <w:top w:w="150" w:type="dxa"/>
              <w:left w:w="0" w:type="dxa"/>
              <w:bottom w:w="150" w:type="dxa"/>
              <w:right w:w="240" w:type="dxa"/>
            </w:tcMar>
            <w:vAlign w:val="center"/>
            <w:hideMark/>
          </w:tcPr>
          <w:p w14:paraId="3D9A86A7"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Workload</w:t>
            </w:r>
          </w:p>
        </w:tc>
        <w:tc>
          <w:tcPr>
            <w:tcW w:w="1026" w:type="dxa"/>
            <w:tcMar>
              <w:top w:w="150" w:type="dxa"/>
              <w:left w:w="240" w:type="dxa"/>
              <w:bottom w:w="150" w:type="dxa"/>
              <w:right w:w="240" w:type="dxa"/>
            </w:tcMar>
            <w:vAlign w:val="center"/>
            <w:hideMark/>
          </w:tcPr>
          <w:p w14:paraId="6C2C8643"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Very high</w:t>
            </w:r>
          </w:p>
        </w:tc>
        <w:tc>
          <w:tcPr>
            <w:tcW w:w="1002" w:type="dxa"/>
            <w:tcMar>
              <w:top w:w="150" w:type="dxa"/>
              <w:left w:w="240" w:type="dxa"/>
              <w:bottom w:w="150" w:type="dxa"/>
              <w:right w:w="0" w:type="dxa"/>
            </w:tcMar>
            <w:vAlign w:val="center"/>
            <w:hideMark/>
          </w:tcPr>
          <w:p w14:paraId="0327B121"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42 (38.9)</w:t>
            </w:r>
          </w:p>
        </w:tc>
      </w:tr>
      <w:tr w:rsidR="00426E8C" w:rsidRPr="00426E8C" w14:paraId="6D06FE62" w14:textId="77777777" w:rsidTr="00426E8C">
        <w:tc>
          <w:tcPr>
            <w:tcW w:w="2511" w:type="dxa"/>
            <w:tcMar>
              <w:top w:w="150" w:type="dxa"/>
              <w:left w:w="0" w:type="dxa"/>
              <w:bottom w:w="150" w:type="dxa"/>
              <w:right w:w="240" w:type="dxa"/>
            </w:tcMar>
            <w:vAlign w:val="center"/>
            <w:hideMark/>
          </w:tcPr>
          <w:p w14:paraId="64BD1DD6"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
        </w:tc>
        <w:tc>
          <w:tcPr>
            <w:tcW w:w="1026" w:type="dxa"/>
            <w:tcMar>
              <w:top w:w="150" w:type="dxa"/>
              <w:left w:w="240" w:type="dxa"/>
              <w:bottom w:w="150" w:type="dxa"/>
              <w:right w:w="240" w:type="dxa"/>
            </w:tcMar>
            <w:vAlign w:val="center"/>
            <w:hideMark/>
          </w:tcPr>
          <w:p w14:paraId="462E813E"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High</w:t>
            </w:r>
          </w:p>
        </w:tc>
        <w:tc>
          <w:tcPr>
            <w:tcW w:w="1002" w:type="dxa"/>
            <w:tcMar>
              <w:top w:w="150" w:type="dxa"/>
              <w:left w:w="240" w:type="dxa"/>
              <w:bottom w:w="150" w:type="dxa"/>
              <w:right w:w="0" w:type="dxa"/>
            </w:tcMar>
            <w:vAlign w:val="center"/>
            <w:hideMark/>
          </w:tcPr>
          <w:p w14:paraId="012113F3"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36 (33.3)</w:t>
            </w:r>
          </w:p>
        </w:tc>
      </w:tr>
      <w:tr w:rsidR="00426E8C" w:rsidRPr="00426E8C" w14:paraId="3B469E2C" w14:textId="77777777" w:rsidTr="00426E8C">
        <w:tc>
          <w:tcPr>
            <w:tcW w:w="2511" w:type="dxa"/>
            <w:tcMar>
              <w:top w:w="150" w:type="dxa"/>
              <w:left w:w="0" w:type="dxa"/>
              <w:bottom w:w="150" w:type="dxa"/>
              <w:right w:w="240" w:type="dxa"/>
            </w:tcMar>
            <w:vAlign w:val="center"/>
            <w:hideMark/>
          </w:tcPr>
          <w:p w14:paraId="4059DCC7"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
        </w:tc>
        <w:tc>
          <w:tcPr>
            <w:tcW w:w="1026" w:type="dxa"/>
            <w:tcMar>
              <w:top w:w="150" w:type="dxa"/>
              <w:left w:w="240" w:type="dxa"/>
              <w:bottom w:w="150" w:type="dxa"/>
              <w:right w:w="240" w:type="dxa"/>
            </w:tcMar>
            <w:vAlign w:val="center"/>
            <w:hideMark/>
          </w:tcPr>
          <w:p w14:paraId="5277A82A"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Moderate</w:t>
            </w:r>
          </w:p>
        </w:tc>
        <w:tc>
          <w:tcPr>
            <w:tcW w:w="1002" w:type="dxa"/>
            <w:tcMar>
              <w:top w:w="150" w:type="dxa"/>
              <w:left w:w="240" w:type="dxa"/>
              <w:bottom w:w="150" w:type="dxa"/>
              <w:right w:w="0" w:type="dxa"/>
            </w:tcMar>
            <w:vAlign w:val="center"/>
            <w:hideMark/>
          </w:tcPr>
          <w:p w14:paraId="537B4659"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30 (27.8)</w:t>
            </w:r>
          </w:p>
        </w:tc>
      </w:tr>
    </w:tbl>
    <w:p w14:paraId="1F2ECFA9"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72.2% of respondents rated the workload in the operating room as high or very high.</w:t>
      </w:r>
      <w:r w:rsidRPr="00426E8C">
        <w:rPr>
          <w:rFonts w:ascii="Times New Roman" w:eastAsia="Times New Roman" w:hAnsi="Times New Roman" w:cs="Times New Roman"/>
          <w:color w:val="0F1115"/>
          <w:kern w:val="0"/>
          <w14:ligatures w14:val="none"/>
        </w:rPr>
        <w:t> All desired additional training.</w:t>
      </w:r>
    </w:p>
    <w:p w14:paraId="61E1396B"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3.4 Perceived Impact and Barriers</w:t>
      </w:r>
    </w:p>
    <w:p w14:paraId="1864B276" w14:textId="77777777" w:rsidR="00426E8C" w:rsidRPr="00426E8C" w:rsidRDefault="00426E8C" w:rsidP="00426E8C">
      <w:pPr>
        <w:numPr>
          <w:ilvl w:val="0"/>
          <w:numId w:val="15"/>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Perceived impact on surgical outcomes:</w:t>
      </w:r>
      <w:r w:rsidRPr="00426E8C">
        <w:rPr>
          <w:rFonts w:ascii="Times New Roman" w:eastAsia="Times New Roman" w:hAnsi="Times New Roman" w:cs="Times New Roman"/>
          <w:color w:val="0F1115"/>
          <w:kern w:val="0"/>
          <w14:ligatures w14:val="none"/>
        </w:rPr>
        <w:t> 100% "don't know."</w:t>
      </w:r>
    </w:p>
    <w:p w14:paraId="6A1F249E" w14:textId="77777777" w:rsidR="00426E8C" w:rsidRPr="00426E8C" w:rsidRDefault="00426E8C" w:rsidP="00426E8C">
      <w:pPr>
        <w:numPr>
          <w:ilvl w:val="0"/>
          <w:numId w:val="15"/>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Main barrier:</w:t>
      </w:r>
      <w:r w:rsidRPr="00426E8C">
        <w:rPr>
          <w:rFonts w:ascii="Times New Roman" w:eastAsia="Times New Roman" w:hAnsi="Times New Roman" w:cs="Times New Roman"/>
          <w:color w:val="0F1115"/>
          <w:kern w:val="0"/>
          <w14:ligatures w14:val="none"/>
        </w:rPr>
        <w:t> lack of information (100%).</w:t>
      </w:r>
    </w:p>
    <w:p w14:paraId="47CCB3BD" w14:textId="77777777" w:rsidR="00426E8C" w:rsidRPr="00426E8C" w:rsidRDefault="00426E8C" w:rsidP="00426E8C">
      <w:pPr>
        <w:numPr>
          <w:ilvl w:val="0"/>
          <w:numId w:val="15"/>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Perceived benefits of the SSC:</w:t>
      </w:r>
      <w:r w:rsidRPr="00426E8C">
        <w:rPr>
          <w:rFonts w:ascii="Times New Roman" w:eastAsia="Times New Roman" w:hAnsi="Times New Roman" w:cs="Times New Roman"/>
          <w:color w:val="0F1115"/>
          <w:kern w:val="0"/>
          <w14:ligatures w14:val="none"/>
        </w:rPr>
        <w:t> not assessable (unknown to respondents).</w:t>
      </w:r>
    </w:p>
    <w:p w14:paraId="13183A8C"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3.5 Recommendations for Improving Implementation</w:t>
      </w:r>
    </w:p>
    <w:tbl>
      <w:tblPr>
        <w:tblW w:w="3702"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13"/>
        <w:gridCol w:w="989"/>
      </w:tblGrid>
      <w:tr w:rsidR="00426E8C" w:rsidRPr="00426E8C" w14:paraId="4667B029" w14:textId="77777777" w:rsidTr="00426E8C">
        <w:trPr>
          <w:tblHeader/>
        </w:trPr>
        <w:tc>
          <w:tcPr>
            <w:tcW w:w="2713" w:type="dxa"/>
            <w:tcBorders>
              <w:top w:val="single" w:sz="4" w:space="0" w:color="auto"/>
              <w:bottom w:val="single" w:sz="4" w:space="0" w:color="auto"/>
            </w:tcBorders>
            <w:tcMar>
              <w:top w:w="150" w:type="dxa"/>
              <w:left w:w="0" w:type="dxa"/>
              <w:bottom w:w="150" w:type="dxa"/>
              <w:right w:w="240" w:type="dxa"/>
            </w:tcMar>
            <w:vAlign w:val="center"/>
            <w:hideMark/>
          </w:tcPr>
          <w:p w14:paraId="238ABB04"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Recommendation</w:t>
            </w:r>
          </w:p>
        </w:tc>
        <w:tc>
          <w:tcPr>
            <w:tcW w:w="989" w:type="dxa"/>
            <w:tcBorders>
              <w:top w:val="single" w:sz="4" w:space="0" w:color="auto"/>
              <w:bottom w:val="single" w:sz="4" w:space="0" w:color="auto"/>
            </w:tcBorders>
            <w:tcMar>
              <w:top w:w="150" w:type="dxa"/>
              <w:left w:w="240" w:type="dxa"/>
              <w:bottom w:w="150" w:type="dxa"/>
              <w:right w:w="240" w:type="dxa"/>
            </w:tcMar>
            <w:vAlign w:val="center"/>
            <w:hideMark/>
          </w:tcPr>
          <w:p w14:paraId="1C355E19"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n (%)</w:t>
            </w:r>
          </w:p>
        </w:tc>
      </w:tr>
      <w:tr w:rsidR="00426E8C" w:rsidRPr="00426E8C" w14:paraId="26269E44" w14:textId="77777777" w:rsidTr="00426E8C">
        <w:tc>
          <w:tcPr>
            <w:tcW w:w="2713" w:type="dxa"/>
            <w:tcBorders>
              <w:top w:val="single" w:sz="4" w:space="0" w:color="auto"/>
            </w:tcBorders>
            <w:tcMar>
              <w:top w:w="150" w:type="dxa"/>
              <w:left w:w="0" w:type="dxa"/>
              <w:bottom w:w="150" w:type="dxa"/>
              <w:right w:w="240" w:type="dxa"/>
            </w:tcMar>
            <w:vAlign w:val="center"/>
            <w:hideMark/>
          </w:tcPr>
          <w:p w14:paraId="12DDEEE3"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More information</w:t>
            </w:r>
          </w:p>
        </w:tc>
        <w:tc>
          <w:tcPr>
            <w:tcW w:w="989" w:type="dxa"/>
            <w:tcBorders>
              <w:top w:val="single" w:sz="4" w:space="0" w:color="auto"/>
            </w:tcBorders>
            <w:tcMar>
              <w:top w:w="150" w:type="dxa"/>
              <w:left w:w="240" w:type="dxa"/>
              <w:bottom w:w="150" w:type="dxa"/>
              <w:right w:w="0" w:type="dxa"/>
            </w:tcMar>
            <w:vAlign w:val="center"/>
            <w:hideMark/>
          </w:tcPr>
          <w:p w14:paraId="672233B5"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60 (55.6)</w:t>
            </w:r>
          </w:p>
        </w:tc>
      </w:tr>
      <w:tr w:rsidR="00426E8C" w:rsidRPr="00426E8C" w14:paraId="60B88EDD" w14:textId="77777777" w:rsidTr="00426E8C">
        <w:tc>
          <w:tcPr>
            <w:tcW w:w="2713" w:type="dxa"/>
            <w:tcMar>
              <w:top w:w="150" w:type="dxa"/>
              <w:left w:w="0" w:type="dxa"/>
              <w:bottom w:w="150" w:type="dxa"/>
              <w:right w:w="240" w:type="dxa"/>
            </w:tcMar>
            <w:vAlign w:val="center"/>
            <w:hideMark/>
          </w:tcPr>
          <w:p w14:paraId="329265AE"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Motivation / supervision</w:t>
            </w:r>
          </w:p>
        </w:tc>
        <w:tc>
          <w:tcPr>
            <w:tcW w:w="989" w:type="dxa"/>
            <w:tcMar>
              <w:top w:w="150" w:type="dxa"/>
              <w:left w:w="240" w:type="dxa"/>
              <w:bottom w:w="150" w:type="dxa"/>
              <w:right w:w="0" w:type="dxa"/>
            </w:tcMar>
            <w:vAlign w:val="center"/>
            <w:hideMark/>
          </w:tcPr>
          <w:p w14:paraId="355388EC"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18 (16.7)</w:t>
            </w:r>
          </w:p>
        </w:tc>
      </w:tr>
      <w:tr w:rsidR="00426E8C" w:rsidRPr="00426E8C" w14:paraId="01225442" w14:textId="77777777" w:rsidTr="00426E8C">
        <w:tc>
          <w:tcPr>
            <w:tcW w:w="2713" w:type="dxa"/>
            <w:tcMar>
              <w:top w:w="150" w:type="dxa"/>
              <w:left w:w="0" w:type="dxa"/>
              <w:bottom w:w="150" w:type="dxa"/>
              <w:right w:w="240" w:type="dxa"/>
            </w:tcMar>
            <w:vAlign w:val="center"/>
            <w:hideMark/>
          </w:tcPr>
          <w:p w14:paraId="234D98EA"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Strengthening of equipment</w:t>
            </w:r>
          </w:p>
        </w:tc>
        <w:tc>
          <w:tcPr>
            <w:tcW w:w="989" w:type="dxa"/>
            <w:tcMar>
              <w:top w:w="150" w:type="dxa"/>
              <w:left w:w="240" w:type="dxa"/>
              <w:bottom w:w="150" w:type="dxa"/>
              <w:right w:w="0" w:type="dxa"/>
            </w:tcMar>
            <w:vAlign w:val="center"/>
            <w:hideMark/>
          </w:tcPr>
          <w:p w14:paraId="72F020AC"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18 (16.7)</w:t>
            </w:r>
          </w:p>
        </w:tc>
      </w:tr>
      <w:tr w:rsidR="00426E8C" w:rsidRPr="00426E8C" w14:paraId="6214208C" w14:textId="77777777" w:rsidTr="00426E8C">
        <w:tc>
          <w:tcPr>
            <w:tcW w:w="2713" w:type="dxa"/>
            <w:tcMar>
              <w:top w:w="150" w:type="dxa"/>
              <w:left w:w="0" w:type="dxa"/>
              <w:bottom w:w="150" w:type="dxa"/>
              <w:right w:w="240" w:type="dxa"/>
            </w:tcMar>
            <w:vAlign w:val="center"/>
            <w:hideMark/>
          </w:tcPr>
          <w:p w14:paraId="1D071F80"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Hierarchical involvement</w:t>
            </w:r>
          </w:p>
        </w:tc>
        <w:tc>
          <w:tcPr>
            <w:tcW w:w="989" w:type="dxa"/>
            <w:tcMar>
              <w:top w:w="150" w:type="dxa"/>
              <w:left w:w="240" w:type="dxa"/>
              <w:bottom w:w="150" w:type="dxa"/>
              <w:right w:w="0" w:type="dxa"/>
            </w:tcMar>
            <w:vAlign w:val="center"/>
            <w:hideMark/>
          </w:tcPr>
          <w:p w14:paraId="35503BD5"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12 (11.1)</w:t>
            </w:r>
          </w:p>
        </w:tc>
      </w:tr>
    </w:tbl>
    <w:p w14:paraId="39318BF7"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lastRenderedPageBreak/>
        <w:t>The expressed priority was to inform and train the teams (55.6%).</w:t>
      </w:r>
    </w:p>
    <w:p w14:paraId="3CD35095"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3.6 Bivariate Analysis</w:t>
      </w:r>
    </w:p>
    <w:p w14:paraId="11C73368"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Workload by health zone</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334"/>
        <w:gridCol w:w="920"/>
        <w:gridCol w:w="1323"/>
        <w:gridCol w:w="1415"/>
        <w:gridCol w:w="865"/>
        <w:gridCol w:w="750"/>
      </w:tblGrid>
      <w:tr w:rsidR="00426E8C" w:rsidRPr="00426E8C" w14:paraId="27C58C98" w14:textId="77777777" w:rsidTr="00426E8C">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220BD701"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Health Zone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B43FA02"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High</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9DB04DB"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Moderate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2560F24"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Very High</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A8F99CA"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χ²</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20BBFAF"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p</w:t>
            </w:r>
          </w:p>
        </w:tc>
      </w:tr>
      <w:tr w:rsidR="00426E8C" w:rsidRPr="00426E8C" w14:paraId="05CD8B58" w14:textId="77777777" w:rsidTr="00426E8C">
        <w:tc>
          <w:tcPr>
            <w:tcW w:w="0" w:type="auto"/>
            <w:tcBorders>
              <w:top w:val="single" w:sz="4" w:space="0" w:color="auto"/>
            </w:tcBorders>
            <w:tcMar>
              <w:top w:w="150" w:type="dxa"/>
              <w:left w:w="0" w:type="dxa"/>
              <w:bottom w:w="150" w:type="dxa"/>
              <w:right w:w="240" w:type="dxa"/>
            </w:tcMar>
            <w:vAlign w:val="center"/>
            <w:hideMark/>
          </w:tcPr>
          <w:p w14:paraId="60AF6BE6"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roofErr w:type="spellStart"/>
            <w:r w:rsidRPr="00426E8C">
              <w:rPr>
                <w:rFonts w:ascii="Times New Roman" w:eastAsia="Times New Roman" w:hAnsi="Times New Roman" w:cs="Times New Roman"/>
                <w:kern w:val="0"/>
                <w:sz w:val="22"/>
                <w:szCs w:val="22"/>
                <w14:ligatures w14:val="none"/>
              </w:rPr>
              <w:t>Bolenge</w:t>
            </w:r>
            <w:proofErr w:type="spellEnd"/>
          </w:p>
        </w:tc>
        <w:tc>
          <w:tcPr>
            <w:tcW w:w="0" w:type="auto"/>
            <w:tcBorders>
              <w:top w:val="single" w:sz="4" w:space="0" w:color="auto"/>
            </w:tcBorders>
            <w:tcMar>
              <w:top w:w="150" w:type="dxa"/>
              <w:left w:w="240" w:type="dxa"/>
              <w:bottom w:w="150" w:type="dxa"/>
              <w:right w:w="240" w:type="dxa"/>
            </w:tcMar>
            <w:vAlign w:val="center"/>
            <w:hideMark/>
          </w:tcPr>
          <w:p w14:paraId="44CB37BD"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6</w:t>
            </w:r>
          </w:p>
        </w:tc>
        <w:tc>
          <w:tcPr>
            <w:tcW w:w="0" w:type="auto"/>
            <w:tcBorders>
              <w:top w:val="single" w:sz="4" w:space="0" w:color="auto"/>
            </w:tcBorders>
            <w:tcMar>
              <w:top w:w="150" w:type="dxa"/>
              <w:left w:w="240" w:type="dxa"/>
              <w:bottom w:w="150" w:type="dxa"/>
              <w:right w:w="240" w:type="dxa"/>
            </w:tcMar>
            <w:vAlign w:val="center"/>
            <w:hideMark/>
          </w:tcPr>
          <w:p w14:paraId="432617B0"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4</w:t>
            </w:r>
          </w:p>
        </w:tc>
        <w:tc>
          <w:tcPr>
            <w:tcW w:w="0" w:type="auto"/>
            <w:tcBorders>
              <w:top w:val="single" w:sz="4" w:space="0" w:color="auto"/>
            </w:tcBorders>
            <w:tcMar>
              <w:top w:w="150" w:type="dxa"/>
              <w:left w:w="240" w:type="dxa"/>
              <w:bottom w:w="150" w:type="dxa"/>
              <w:right w:w="240" w:type="dxa"/>
            </w:tcMar>
            <w:vAlign w:val="center"/>
            <w:hideMark/>
          </w:tcPr>
          <w:p w14:paraId="2767A676"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26</w:t>
            </w:r>
          </w:p>
        </w:tc>
        <w:tc>
          <w:tcPr>
            <w:tcW w:w="0" w:type="auto"/>
            <w:tcBorders>
              <w:top w:val="single" w:sz="4" w:space="0" w:color="auto"/>
            </w:tcBorders>
            <w:tcMar>
              <w:top w:w="150" w:type="dxa"/>
              <w:left w:w="240" w:type="dxa"/>
              <w:bottom w:w="150" w:type="dxa"/>
              <w:right w:w="240" w:type="dxa"/>
            </w:tcMar>
            <w:vAlign w:val="center"/>
            <w:hideMark/>
          </w:tcPr>
          <w:p w14:paraId="4E69C971"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53.6</w:t>
            </w:r>
          </w:p>
        </w:tc>
        <w:tc>
          <w:tcPr>
            <w:tcW w:w="0" w:type="auto"/>
            <w:tcBorders>
              <w:top w:val="single" w:sz="4" w:space="0" w:color="auto"/>
            </w:tcBorders>
            <w:tcMar>
              <w:top w:w="150" w:type="dxa"/>
              <w:left w:w="240" w:type="dxa"/>
              <w:bottom w:w="150" w:type="dxa"/>
              <w:right w:w="0" w:type="dxa"/>
            </w:tcMar>
            <w:vAlign w:val="center"/>
            <w:hideMark/>
          </w:tcPr>
          <w:p w14:paraId="4B61E651"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&lt;0.05</w:t>
            </w:r>
          </w:p>
        </w:tc>
      </w:tr>
      <w:tr w:rsidR="00426E8C" w:rsidRPr="00426E8C" w14:paraId="12D64E60" w14:textId="77777777" w:rsidTr="00426E8C">
        <w:tc>
          <w:tcPr>
            <w:tcW w:w="0" w:type="auto"/>
            <w:tcMar>
              <w:top w:w="150" w:type="dxa"/>
              <w:left w:w="0" w:type="dxa"/>
              <w:bottom w:w="150" w:type="dxa"/>
              <w:right w:w="240" w:type="dxa"/>
            </w:tcMar>
            <w:vAlign w:val="center"/>
            <w:hideMark/>
          </w:tcPr>
          <w:p w14:paraId="3967613F"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roofErr w:type="spellStart"/>
            <w:r w:rsidRPr="00426E8C">
              <w:rPr>
                <w:rFonts w:ascii="Times New Roman" w:eastAsia="Times New Roman" w:hAnsi="Times New Roman" w:cs="Times New Roman"/>
                <w:kern w:val="0"/>
                <w:sz w:val="22"/>
                <w:szCs w:val="22"/>
                <w14:ligatures w14:val="none"/>
              </w:rPr>
              <w:t>Mbandaka</w:t>
            </w:r>
            <w:proofErr w:type="spellEnd"/>
          </w:p>
        </w:tc>
        <w:tc>
          <w:tcPr>
            <w:tcW w:w="0" w:type="auto"/>
            <w:tcMar>
              <w:top w:w="150" w:type="dxa"/>
              <w:left w:w="240" w:type="dxa"/>
              <w:bottom w:w="150" w:type="dxa"/>
              <w:right w:w="240" w:type="dxa"/>
            </w:tcMar>
            <w:vAlign w:val="center"/>
            <w:hideMark/>
          </w:tcPr>
          <w:p w14:paraId="4E0A8328"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9</w:t>
            </w:r>
          </w:p>
        </w:tc>
        <w:tc>
          <w:tcPr>
            <w:tcW w:w="0" w:type="auto"/>
            <w:tcMar>
              <w:top w:w="150" w:type="dxa"/>
              <w:left w:w="240" w:type="dxa"/>
              <w:bottom w:w="150" w:type="dxa"/>
              <w:right w:w="240" w:type="dxa"/>
            </w:tcMar>
            <w:vAlign w:val="center"/>
            <w:hideMark/>
          </w:tcPr>
          <w:p w14:paraId="04566423"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23</w:t>
            </w:r>
          </w:p>
        </w:tc>
        <w:tc>
          <w:tcPr>
            <w:tcW w:w="0" w:type="auto"/>
            <w:tcMar>
              <w:top w:w="150" w:type="dxa"/>
              <w:left w:w="240" w:type="dxa"/>
              <w:bottom w:w="150" w:type="dxa"/>
              <w:right w:w="240" w:type="dxa"/>
            </w:tcMar>
            <w:vAlign w:val="center"/>
            <w:hideMark/>
          </w:tcPr>
          <w:p w14:paraId="014C3496"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4</w:t>
            </w:r>
          </w:p>
        </w:tc>
        <w:tc>
          <w:tcPr>
            <w:tcW w:w="0" w:type="auto"/>
            <w:tcMar>
              <w:top w:w="150" w:type="dxa"/>
              <w:left w:w="240" w:type="dxa"/>
              <w:bottom w:w="150" w:type="dxa"/>
              <w:right w:w="240" w:type="dxa"/>
            </w:tcMar>
            <w:vAlign w:val="center"/>
            <w:hideMark/>
          </w:tcPr>
          <w:p w14:paraId="638A15DD"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4375A20B"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
        </w:tc>
      </w:tr>
      <w:tr w:rsidR="00426E8C" w:rsidRPr="00426E8C" w14:paraId="5FE31C98" w14:textId="77777777" w:rsidTr="00426E8C">
        <w:tc>
          <w:tcPr>
            <w:tcW w:w="0" w:type="auto"/>
            <w:tcMar>
              <w:top w:w="150" w:type="dxa"/>
              <w:left w:w="0" w:type="dxa"/>
              <w:bottom w:w="150" w:type="dxa"/>
              <w:right w:w="240" w:type="dxa"/>
            </w:tcMar>
            <w:vAlign w:val="center"/>
            <w:hideMark/>
          </w:tcPr>
          <w:p w14:paraId="42896C33"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roofErr w:type="spellStart"/>
            <w:r w:rsidRPr="00426E8C">
              <w:rPr>
                <w:rFonts w:ascii="Times New Roman" w:eastAsia="Times New Roman" w:hAnsi="Times New Roman" w:cs="Times New Roman"/>
                <w:kern w:val="0"/>
                <w:sz w:val="22"/>
                <w:szCs w:val="22"/>
                <w14:ligatures w14:val="none"/>
              </w:rPr>
              <w:t>Wangata</w:t>
            </w:r>
            <w:proofErr w:type="spellEnd"/>
          </w:p>
        </w:tc>
        <w:tc>
          <w:tcPr>
            <w:tcW w:w="0" w:type="auto"/>
            <w:tcMar>
              <w:top w:w="150" w:type="dxa"/>
              <w:left w:w="240" w:type="dxa"/>
              <w:bottom w:w="150" w:type="dxa"/>
              <w:right w:w="240" w:type="dxa"/>
            </w:tcMar>
            <w:vAlign w:val="center"/>
            <w:hideMark/>
          </w:tcPr>
          <w:p w14:paraId="2D08CAA1"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21</w:t>
            </w:r>
          </w:p>
        </w:tc>
        <w:tc>
          <w:tcPr>
            <w:tcW w:w="0" w:type="auto"/>
            <w:tcMar>
              <w:top w:w="150" w:type="dxa"/>
              <w:left w:w="240" w:type="dxa"/>
              <w:bottom w:w="150" w:type="dxa"/>
              <w:right w:w="240" w:type="dxa"/>
            </w:tcMar>
            <w:vAlign w:val="center"/>
            <w:hideMark/>
          </w:tcPr>
          <w:p w14:paraId="45523DC2"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3</w:t>
            </w:r>
          </w:p>
        </w:tc>
        <w:tc>
          <w:tcPr>
            <w:tcW w:w="0" w:type="auto"/>
            <w:tcMar>
              <w:top w:w="150" w:type="dxa"/>
              <w:left w:w="240" w:type="dxa"/>
              <w:bottom w:w="150" w:type="dxa"/>
              <w:right w:w="240" w:type="dxa"/>
            </w:tcMar>
            <w:vAlign w:val="center"/>
            <w:hideMark/>
          </w:tcPr>
          <w:p w14:paraId="7F1808F3"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12</w:t>
            </w:r>
          </w:p>
        </w:tc>
        <w:tc>
          <w:tcPr>
            <w:tcW w:w="0" w:type="auto"/>
            <w:tcMar>
              <w:top w:w="150" w:type="dxa"/>
              <w:left w:w="240" w:type="dxa"/>
              <w:bottom w:w="150" w:type="dxa"/>
              <w:right w:w="240" w:type="dxa"/>
            </w:tcMar>
            <w:vAlign w:val="center"/>
            <w:hideMark/>
          </w:tcPr>
          <w:p w14:paraId="581C4B6F"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5086D696"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
        </w:tc>
      </w:tr>
    </w:tbl>
    <w:p w14:paraId="26CCE6D6"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Significant difference:</w:t>
      </w:r>
      <w:r w:rsidRPr="00426E8C">
        <w:rPr>
          <w:rFonts w:ascii="Times New Roman" w:eastAsia="Times New Roman" w:hAnsi="Times New Roman" w:cs="Times New Roman"/>
          <w:color w:val="0F1115"/>
          <w:kern w:val="0"/>
          <w14:ligatures w14:val="none"/>
        </w:rPr>
        <w:t> </w:t>
      </w:r>
      <w:proofErr w:type="spellStart"/>
      <w:r w:rsidRPr="00426E8C">
        <w:rPr>
          <w:rFonts w:ascii="Times New Roman" w:eastAsia="Times New Roman" w:hAnsi="Times New Roman" w:cs="Times New Roman"/>
          <w:color w:val="0F1115"/>
          <w:kern w:val="0"/>
          <w14:ligatures w14:val="none"/>
        </w:rPr>
        <w:t>Bolenge</w:t>
      </w:r>
      <w:proofErr w:type="spellEnd"/>
      <w:r w:rsidRPr="00426E8C">
        <w:rPr>
          <w:rFonts w:ascii="Times New Roman" w:eastAsia="Times New Roman" w:hAnsi="Times New Roman" w:cs="Times New Roman"/>
          <w:color w:val="0F1115"/>
          <w:kern w:val="0"/>
          <w14:ligatures w14:val="none"/>
        </w:rPr>
        <w:t xml:space="preserve"> mostly very high;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xml:space="preserve"> moderate; </w:t>
      </w:r>
      <w:proofErr w:type="spellStart"/>
      <w:r w:rsidRPr="00426E8C">
        <w:rPr>
          <w:rFonts w:ascii="Times New Roman" w:eastAsia="Times New Roman" w:hAnsi="Times New Roman" w:cs="Times New Roman"/>
          <w:color w:val="0F1115"/>
          <w:kern w:val="0"/>
          <w14:ligatures w14:val="none"/>
        </w:rPr>
        <w:t>Wangata</w:t>
      </w:r>
      <w:proofErr w:type="spellEnd"/>
      <w:r w:rsidRPr="00426E8C">
        <w:rPr>
          <w:rFonts w:ascii="Times New Roman" w:eastAsia="Times New Roman" w:hAnsi="Times New Roman" w:cs="Times New Roman"/>
          <w:color w:val="0F1115"/>
          <w:kern w:val="0"/>
          <w14:ligatures w14:val="none"/>
        </w:rPr>
        <w:t xml:space="preserve"> high.</w:t>
      </w:r>
    </w:p>
    <w:p w14:paraId="1DC05DA3"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Workload by professional profile</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71"/>
        <w:gridCol w:w="920"/>
        <w:gridCol w:w="1323"/>
        <w:gridCol w:w="1415"/>
        <w:gridCol w:w="865"/>
        <w:gridCol w:w="750"/>
      </w:tblGrid>
      <w:tr w:rsidR="00426E8C" w:rsidRPr="00426E8C" w14:paraId="79E82D4F" w14:textId="77777777" w:rsidTr="00426E8C">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77D4EB09"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Profile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E49BAA5"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High</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D8A27E1"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Moderate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828B7B5"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Very High</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D1C73D8"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χ²</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794FE30"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p</w:t>
            </w:r>
          </w:p>
        </w:tc>
      </w:tr>
      <w:tr w:rsidR="00426E8C" w:rsidRPr="00426E8C" w14:paraId="502F8624" w14:textId="77777777" w:rsidTr="00426E8C">
        <w:tc>
          <w:tcPr>
            <w:tcW w:w="0" w:type="auto"/>
            <w:tcBorders>
              <w:top w:val="single" w:sz="4" w:space="0" w:color="auto"/>
            </w:tcBorders>
            <w:tcMar>
              <w:top w:w="150" w:type="dxa"/>
              <w:left w:w="0" w:type="dxa"/>
              <w:bottom w:w="150" w:type="dxa"/>
              <w:right w:w="240" w:type="dxa"/>
            </w:tcMar>
            <w:vAlign w:val="center"/>
            <w:hideMark/>
          </w:tcPr>
          <w:p w14:paraId="5B1F208A"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Anesthetist</w:t>
            </w:r>
          </w:p>
        </w:tc>
        <w:tc>
          <w:tcPr>
            <w:tcW w:w="0" w:type="auto"/>
            <w:tcBorders>
              <w:top w:val="single" w:sz="4" w:space="0" w:color="auto"/>
            </w:tcBorders>
            <w:tcMar>
              <w:top w:w="150" w:type="dxa"/>
              <w:left w:w="240" w:type="dxa"/>
              <w:bottom w:w="150" w:type="dxa"/>
              <w:right w:w="240" w:type="dxa"/>
            </w:tcMar>
            <w:vAlign w:val="center"/>
            <w:hideMark/>
          </w:tcPr>
          <w:p w14:paraId="54303D1A"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13</w:t>
            </w:r>
          </w:p>
        </w:tc>
        <w:tc>
          <w:tcPr>
            <w:tcW w:w="0" w:type="auto"/>
            <w:tcBorders>
              <w:top w:val="single" w:sz="4" w:space="0" w:color="auto"/>
            </w:tcBorders>
            <w:tcMar>
              <w:top w:w="150" w:type="dxa"/>
              <w:left w:w="240" w:type="dxa"/>
              <w:bottom w:w="150" w:type="dxa"/>
              <w:right w:w="240" w:type="dxa"/>
            </w:tcMar>
            <w:vAlign w:val="center"/>
            <w:hideMark/>
          </w:tcPr>
          <w:p w14:paraId="59A4E8A8"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16</w:t>
            </w:r>
          </w:p>
        </w:tc>
        <w:tc>
          <w:tcPr>
            <w:tcW w:w="0" w:type="auto"/>
            <w:tcBorders>
              <w:top w:val="single" w:sz="4" w:space="0" w:color="auto"/>
            </w:tcBorders>
            <w:tcMar>
              <w:top w:w="150" w:type="dxa"/>
              <w:left w:w="240" w:type="dxa"/>
              <w:bottom w:w="150" w:type="dxa"/>
              <w:right w:w="240" w:type="dxa"/>
            </w:tcMar>
            <w:vAlign w:val="center"/>
            <w:hideMark/>
          </w:tcPr>
          <w:p w14:paraId="267E698C"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7</w:t>
            </w:r>
          </w:p>
        </w:tc>
        <w:tc>
          <w:tcPr>
            <w:tcW w:w="0" w:type="auto"/>
            <w:tcBorders>
              <w:top w:val="single" w:sz="4" w:space="0" w:color="auto"/>
            </w:tcBorders>
            <w:tcMar>
              <w:top w:w="150" w:type="dxa"/>
              <w:left w:w="240" w:type="dxa"/>
              <w:bottom w:w="150" w:type="dxa"/>
              <w:right w:w="240" w:type="dxa"/>
            </w:tcMar>
            <w:vAlign w:val="center"/>
            <w:hideMark/>
          </w:tcPr>
          <w:p w14:paraId="5AA3E4A4"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39.2</w:t>
            </w:r>
          </w:p>
        </w:tc>
        <w:tc>
          <w:tcPr>
            <w:tcW w:w="0" w:type="auto"/>
            <w:tcBorders>
              <w:top w:val="single" w:sz="4" w:space="0" w:color="auto"/>
            </w:tcBorders>
            <w:tcMar>
              <w:top w:w="150" w:type="dxa"/>
              <w:left w:w="240" w:type="dxa"/>
              <w:bottom w:w="150" w:type="dxa"/>
              <w:right w:w="0" w:type="dxa"/>
            </w:tcMar>
            <w:vAlign w:val="center"/>
            <w:hideMark/>
          </w:tcPr>
          <w:p w14:paraId="5C875E0A"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&lt;0.05</w:t>
            </w:r>
          </w:p>
        </w:tc>
      </w:tr>
      <w:tr w:rsidR="00426E8C" w:rsidRPr="00426E8C" w14:paraId="4C1F177D" w14:textId="77777777" w:rsidTr="00426E8C">
        <w:tc>
          <w:tcPr>
            <w:tcW w:w="0" w:type="auto"/>
            <w:tcMar>
              <w:top w:w="150" w:type="dxa"/>
              <w:left w:w="0" w:type="dxa"/>
              <w:bottom w:w="150" w:type="dxa"/>
              <w:right w:w="240" w:type="dxa"/>
            </w:tcMar>
            <w:vAlign w:val="center"/>
            <w:hideMark/>
          </w:tcPr>
          <w:p w14:paraId="4A39EB1E"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Surgeon</w:t>
            </w:r>
          </w:p>
        </w:tc>
        <w:tc>
          <w:tcPr>
            <w:tcW w:w="0" w:type="auto"/>
            <w:tcMar>
              <w:top w:w="150" w:type="dxa"/>
              <w:left w:w="240" w:type="dxa"/>
              <w:bottom w:w="150" w:type="dxa"/>
              <w:right w:w="240" w:type="dxa"/>
            </w:tcMar>
            <w:vAlign w:val="center"/>
            <w:hideMark/>
          </w:tcPr>
          <w:p w14:paraId="2AFDC826"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21</w:t>
            </w:r>
          </w:p>
        </w:tc>
        <w:tc>
          <w:tcPr>
            <w:tcW w:w="0" w:type="auto"/>
            <w:tcMar>
              <w:top w:w="150" w:type="dxa"/>
              <w:left w:w="240" w:type="dxa"/>
              <w:bottom w:w="150" w:type="dxa"/>
              <w:right w:w="240" w:type="dxa"/>
            </w:tcMar>
            <w:vAlign w:val="center"/>
            <w:hideMark/>
          </w:tcPr>
          <w:p w14:paraId="64F42302"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8</w:t>
            </w:r>
          </w:p>
        </w:tc>
        <w:tc>
          <w:tcPr>
            <w:tcW w:w="0" w:type="auto"/>
            <w:tcMar>
              <w:top w:w="150" w:type="dxa"/>
              <w:left w:w="240" w:type="dxa"/>
              <w:bottom w:w="150" w:type="dxa"/>
              <w:right w:w="240" w:type="dxa"/>
            </w:tcMar>
            <w:vAlign w:val="center"/>
            <w:hideMark/>
          </w:tcPr>
          <w:p w14:paraId="04EFEF54"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8</w:t>
            </w:r>
          </w:p>
        </w:tc>
        <w:tc>
          <w:tcPr>
            <w:tcW w:w="0" w:type="auto"/>
            <w:tcMar>
              <w:top w:w="150" w:type="dxa"/>
              <w:left w:w="240" w:type="dxa"/>
              <w:bottom w:w="150" w:type="dxa"/>
              <w:right w:w="240" w:type="dxa"/>
            </w:tcMar>
            <w:vAlign w:val="center"/>
            <w:hideMark/>
          </w:tcPr>
          <w:p w14:paraId="03BD16B4"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081C98D0"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
        </w:tc>
      </w:tr>
      <w:tr w:rsidR="00426E8C" w:rsidRPr="00426E8C" w14:paraId="11F734C5" w14:textId="77777777" w:rsidTr="00426E8C">
        <w:tc>
          <w:tcPr>
            <w:tcW w:w="0" w:type="auto"/>
            <w:tcMar>
              <w:top w:w="150" w:type="dxa"/>
              <w:left w:w="0" w:type="dxa"/>
              <w:bottom w:w="150" w:type="dxa"/>
              <w:right w:w="240" w:type="dxa"/>
            </w:tcMar>
            <w:vAlign w:val="center"/>
            <w:hideMark/>
          </w:tcPr>
          <w:p w14:paraId="5FD4EB87"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Operating room nurse</w:t>
            </w:r>
          </w:p>
        </w:tc>
        <w:tc>
          <w:tcPr>
            <w:tcW w:w="0" w:type="auto"/>
            <w:tcMar>
              <w:top w:w="150" w:type="dxa"/>
              <w:left w:w="240" w:type="dxa"/>
              <w:bottom w:w="150" w:type="dxa"/>
              <w:right w:w="240" w:type="dxa"/>
            </w:tcMar>
            <w:vAlign w:val="center"/>
            <w:hideMark/>
          </w:tcPr>
          <w:p w14:paraId="065C8113"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2</w:t>
            </w:r>
          </w:p>
        </w:tc>
        <w:tc>
          <w:tcPr>
            <w:tcW w:w="0" w:type="auto"/>
            <w:tcMar>
              <w:top w:w="150" w:type="dxa"/>
              <w:left w:w="240" w:type="dxa"/>
              <w:bottom w:w="150" w:type="dxa"/>
              <w:right w:w="240" w:type="dxa"/>
            </w:tcMar>
            <w:vAlign w:val="center"/>
            <w:hideMark/>
          </w:tcPr>
          <w:p w14:paraId="25D06004"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6</w:t>
            </w:r>
          </w:p>
        </w:tc>
        <w:tc>
          <w:tcPr>
            <w:tcW w:w="0" w:type="auto"/>
            <w:tcMar>
              <w:top w:w="150" w:type="dxa"/>
              <w:left w:w="240" w:type="dxa"/>
              <w:bottom w:w="150" w:type="dxa"/>
              <w:right w:w="240" w:type="dxa"/>
            </w:tcMar>
            <w:vAlign w:val="center"/>
            <w:hideMark/>
          </w:tcPr>
          <w:p w14:paraId="46003013"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r w:rsidRPr="00426E8C">
              <w:rPr>
                <w:rFonts w:ascii="Times New Roman" w:eastAsia="Times New Roman" w:hAnsi="Times New Roman" w:cs="Times New Roman"/>
                <w:kern w:val="0"/>
                <w:sz w:val="22"/>
                <w:szCs w:val="22"/>
                <w14:ligatures w14:val="none"/>
              </w:rPr>
              <w:t>27</w:t>
            </w:r>
          </w:p>
        </w:tc>
        <w:tc>
          <w:tcPr>
            <w:tcW w:w="0" w:type="auto"/>
            <w:tcMar>
              <w:top w:w="150" w:type="dxa"/>
              <w:left w:w="240" w:type="dxa"/>
              <w:bottom w:w="150" w:type="dxa"/>
              <w:right w:w="240" w:type="dxa"/>
            </w:tcMar>
            <w:vAlign w:val="center"/>
            <w:hideMark/>
          </w:tcPr>
          <w:p w14:paraId="104132B4"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0" w:type="dxa"/>
            </w:tcMar>
            <w:vAlign w:val="center"/>
            <w:hideMark/>
          </w:tcPr>
          <w:p w14:paraId="3042E926" w14:textId="77777777" w:rsidR="00426E8C" w:rsidRPr="00426E8C" w:rsidRDefault="00426E8C" w:rsidP="00426E8C">
            <w:pPr>
              <w:spacing w:after="0" w:line="240" w:lineRule="auto"/>
              <w:rPr>
                <w:rFonts w:ascii="Times New Roman" w:eastAsia="Times New Roman" w:hAnsi="Times New Roman" w:cs="Times New Roman"/>
                <w:kern w:val="0"/>
                <w:sz w:val="22"/>
                <w:szCs w:val="22"/>
                <w14:ligatures w14:val="none"/>
              </w:rPr>
            </w:pPr>
          </w:p>
        </w:tc>
      </w:tr>
    </w:tbl>
    <w:p w14:paraId="53B01480"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Operating room nurses</w:t>
      </w:r>
      <w:r w:rsidRPr="00426E8C">
        <w:rPr>
          <w:rFonts w:ascii="Times New Roman" w:eastAsia="Times New Roman" w:hAnsi="Times New Roman" w:cs="Times New Roman"/>
          <w:color w:val="0F1115"/>
          <w:kern w:val="0"/>
          <w14:ligatures w14:val="none"/>
        </w:rPr>
        <w:t> reported the heaviest workload (27 out of 35 rated very high).</w:t>
      </w:r>
    </w:p>
    <w:p w14:paraId="250F4F6A"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Recommendations by health zone and profile</w:t>
      </w:r>
    </w:p>
    <w:p w14:paraId="576651F9"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 xml:space="preserve">Differences between zones (χ² = 29.5, p &lt; 0.05) and between profiles (χ² = 30.5, p &lt; 0.05) were also significant, with a marked priority for information in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xml:space="preserve"> and </w:t>
      </w:r>
      <w:proofErr w:type="spellStart"/>
      <w:r w:rsidRPr="00426E8C">
        <w:rPr>
          <w:rFonts w:ascii="Times New Roman" w:eastAsia="Times New Roman" w:hAnsi="Times New Roman" w:cs="Times New Roman"/>
          <w:color w:val="0F1115"/>
          <w:kern w:val="0"/>
          <w14:ligatures w14:val="none"/>
        </w:rPr>
        <w:t>Wangata</w:t>
      </w:r>
      <w:proofErr w:type="spellEnd"/>
      <w:r w:rsidRPr="00426E8C">
        <w:rPr>
          <w:rFonts w:ascii="Times New Roman" w:eastAsia="Times New Roman" w:hAnsi="Times New Roman" w:cs="Times New Roman"/>
          <w:color w:val="0F1115"/>
          <w:kern w:val="0"/>
          <w14:ligatures w14:val="none"/>
        </w:rPr>
        <w:t xml:space="preserve">, while in </w:t>
      </w:r>
      <w:proofErr w:type="spellStart"/>
      <w:r w:rsidRPr="00426E8C">
        <w:rPr>
          <w:rFonts w:ascii="Times New Roman" w:eastAsia="Times New Roman" w:hAnsi="Times New Roman" w:cs="Times New Roman"/>
          <w:color w:val="0F1115"/>
          <w:kern w:val="0"/>
          <w14:ligatures w14:val="none"/>
        </w:rPr>
        <w:t>Bolenge</w:t>
      </w:r>
      <w:proofErr w:type="spellEnd"/>
      <w:r w:rsidRPr="00426E8C">
        <w:rPr>
          <w:rFonts w:ascii="Times New Roman" w:eastAsia="Times New Roman" w:hAnsi="Times New Roman" w:cs="Times New Roman"/>
          <w:color w:val="0F1115"/>
          <w:kern w:val="0"/>
          <w14:ligatures w14:val="none"/>
        </w:rPr>
        <w:t xml:space="preserve"> and among operating room nurses, recommendations were more diverse.</w:t>
      </w:r>
    </w:p>
    <w:p w14:paraId="0A0B899E"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4. Discussion</w:t>
      </w:r>
    </w:p>
    <w:p w14:paraId="77AB20DA"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4.1 Summary of Key Findings</w:t>
      </w:r>
    </w:p>
    <w:p w14:paraId="7B183CB5"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lastRenderedPageBreak/>
        <w:t>This study reveals a </w:t>
      </w:r>
      <w:r w:rsidRPr="00426E8C">
        <w:rPr>
          <w:rFonts w:ascii="Times New Roman" w:eastAsia="Times New Roman" w:hAnsi="Times New Roman" w:cs="Times New Roman"/>
          <w:b/>
          <w:bCs/>
          <w:color w:val="0F1115"/>
          <w:kern w:val="0"/>
          <w14:ligatures w14:val="none"/>
        </w:rPr>
        <w:t>complete absence of SSC implementation</w:t>
      </w:r>
      <w:r w:rsidRPr="00426E8C">
        <w:rPr>
          <w:rFonts w:ascii="Times New Roman" w:eastAsia="Times New Roman" w:hAnsi="Times New Roman" w:cs="Times New Roman"/>
          <w:color w:val="0F1115"/>
          <w:kern w:val="0"/>
          <w14:ligatures w14:val="none"/>
        </w:rPr>
        <w:t xml:space="preserve"> in the three general hospitals of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No professional knew the checklist, it was available nowhere, and no equipment or training supported its use. This situation contrasts sharply with international recommendations (WHO, 2009) and with the proven effectiveness of the tool (Haynes et al., 2009; Weiser et al., 2016).</w:t>
      </w:r>
    </w:p>
    <w:p w14:paraId="6BDDF326"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However, staff was considered </w:t>
      </w:r>
      <w:r w:rsidRPr="00426E8C">
        <w:rPr>
          <w:rFonts w:ascii="Times New Roman" w:eastAsia="Times New Roman" w:hAnsi="Times New Roman" w:cs="Times New Roman"/>
          <w:b/>
          <w:bCs/>
          <w:color w:val="0F1115"/>
          <w:kern w:val="0"/>
          <w14:ligatures w14:val="none"/>
        </w:rPr>
        <w:t>numerically sufficient</w:t>
      </w:r>
      <w:r w:rsidRPr="00426E8C">
        <w:rPr>
          <w:rFonts w:ascii="Times New Roman" w:eastAsia="Times New Roman" w:hAnsi="Times New Roman" w:cs="Times New Roman"/>
          <w:color w:val="0F1115"/>
          <w:kern w:val="0"/>
          <w14:ligatures w14:val="none"/>
        </w:rPr>
        <w:t>, indicating that the problem is not a shortage of personnel but rather an organizational, informational, and logistical deficit. The high workload (72.2%) was unevenly distributed, with operating room nurses bearing the heaviest burden.</w:t>
      </w:r>
    </w:p>
    <w:p w14:paraId="3CC5DB56"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4.2 Comparison with the International Literature</w:t>
      </w:r>
    </w:p>
    <w:p w14:paraId="0D7C46B1"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 xml:space="preserve">Our findings are consistent with other studies conducted in sub-Saharan Africa. </w:t>
      </w:r>
      <w:proofErr w:type="spellStart"/>
      <w:r w:rsidRPr="00426E8C">
        <w:rPr>
          <w:rFonts w:ascii="Times New Roman" w:eastAsia="Times New Roman" w:hAnsi="Times New Roman" w:cs="Times New Roman"/>
          <w:color w:val="0F1115"/>
          <w:kern w:val="0"/>
          <w14:ligatures w14:val="none"/>
        </w:rPr>
        <w:t>Melekie</w:t>
      </w:r>
      <w:proofErr w:type="spellEnd"/>
      <w:r w:rsidRPr="00426E8C">
        <w:rPr>
          <w:rFonts w:ascii="Times New Roman" w:eastAsia="Times New Roman" w:hAnsi="Times New Roman" w:cs="Times New Roman"/>
          <w:color w:val="0F1115"/>
          <w:kern w:val="0"/>
          <w14:ligatures w14:val="none"/>
        </w:rPr>
        <w:t xml:space="preserve"> &amp; Getahun (2015) in Ethiopia found that only 61.6% of procedures used the SSC, with 45.1% citing lack of training as a barrier. In Burkina Faso, a 2023 study reported that 73% of professionals knew the checklist, but actual use was only 7% due to unavailability and resistance.</w:t>
      </w:r>
    </w:p>
    <w:p w14:paraId="73B09C9C"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In contrast, in industrialized settings, adherence exceeds 90% (</w:t>
      </w:r>
      <w:proofErr w:type="spellStart"/>
      <w:r w:rsidRPr="00426E8C">
        <w:rPr>
          <w:rFonts w:ascii="Times New Roman" w:eastAsia="Times New Roman" w:hAnsi="Times New Roman" w:cs="Times New Roman"/>
          <w:color w:val="0F1115"/>
          <w:kern w:val="0"/>
          <w14:ligatures w14:val="none"/>
        </w:rPr>
        <w:t>Caraud</w:t>
      </w:r>
      <w:proofErr w:type="spellEnd"/>
      <w:r w:rsidRPr="00426E8C">
        <w:rPr>
          <w:rFonts w:ascii="Times New Roman" w:eastAsia="Times New Roman" w:hAnsi="Times New Roman" w:cs="Times New Roman"/>
          <w:color w:val="0F1115"/>
          <w:kern w:val="0"/>
          <w14:ligatures w14:val="none"/>
        </w:rPr>
        <w:t xml:space="preserve">, 2013). The gap observed in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xml:space="preserve"> is therefore extreme, but it falls within the spectrum of </w:t>
      </w:r>
      <w:r w:rsidRPr="00426E8C">
        <w:rPr>
          <w:rFonts w:ascii="Times New Roman" w:eastAsia="Times New Roman" w:hAnsi="Times New Roman" w:cs="Times New Roman"/>
          <w:b/>
          <w:bCs/>
          <w:color w:val="0F1115"/>
          <w:kern w:val="0"/>
          <w14:ligatures w14:val="none"/>
        </w:rPr>
        <w:t>implementation challenges in LMICs</w:t>
      </w:r>
      <w:r w:rsidRPr="00426E8C">
        <w:rPr>
          <w:rFonts w:ascii="Times New Roman" w:eastAsia="Times New Roman" w:hAnsi="Times New Roman" w:cs="Times New Roman"/>
          <w:color w:val="0F1115"/>
          <w:kern w:val="0"/>
          <w14:ligatures w14:val="none"/>
        </w:rPr>
        <w:t> (</w:t>
      </w:r>
      <w:proofErr w:type="spellStart"/>
      <w:r w:rsidRPr="00426E8C">
        <w:rPr>
          <w:rFonts w:ascii="Times New Roman" w:eastAsia="Times New Roman" w:hAnsi="Times New Roman" w:cs="Times New Roman"/>
          <w:color w:val="0F1115"/>
          <w:kern w:val="0"/>
          <w14:ligatures w14:val="none"/>
        </w:rPr>
        <w:t>Biccard</w:t>
      </w:r>
      <w:proofErr w:type="spellEnd"/>
      <w:r w:rsidRPr="00426E8C">
        <w:rPr>
          <w:rFonts w:ascii="Times New Roman" w:eastAsia="Times New Roman" w:hAnsi="Times New Roman" w:cs="Times New Roman"/>
          <w:color w:val="0F1115"/>
          <w:kern w:val="0"/>
          <w14:ligatures w14:val="none"/>
        </w:rPr>
        <w:t xml:space="preserve"> et al., 2018; WHO, 2016).</w:t>
      </w:r>
    </w:p>
    <w:p w14:paraId="5975023C"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4.3 Interpretation of Systemic Barriers</w:t>
      </w:r>
    </w:p>
    <w:p w14:paraId="78E3917C"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The </w:t>
      </w:r>
      <w:r w:rsidRPr="00426E8C">
        <w:rPr>
          <w:rFonts w:ascii="Times New Roman" w:eastAsia="Times New Roman" w:hAnsi="Times New Roman" w:cs="Times New Roman"/>
          <w:b/>
          <w:bCs/>
          <w:color w:val="0F1115"/>
          <w:kern w:val="0"/>
          <w14:ligatures w14:val="none"/>
        </w:rPr>
        <w:t>lack of information (100%)</w:t>
      </w:r>
      <w:r w:rsidRPr="00426E8C">
        <w:rPr>
          <w:rFonts w:ascii="Times New Roman" w:eastAsia="Times New Roman" w:hAnsi="Times New Roman" w:cs="Times New Roman"/>
          <w:color w:val="0F1115"/>
          <w:kern w:val="0"/>
          <w14:ligatures w14:val="none"/>
        </w:rPr>
        <w:t> is both an immediate factor and a symptom of a health system that is failing in terms of continuing education and the dissemination of best practices. The absence of the SSC is not a deliberate refusal but a </w:t>
      </w:r>
      <w:r w:rsidRPr="00426E8C">
        <w:rPr>
          <w:rFonts w:ascii="Times New Roman" w:eastAsia="Times New Roman" w:hAnsi="Times New Roman" w:cs="Times New Roman"/>
          <w:b/>
          <w:bCs/>
          <w:color w:val="0F1115"/>
          <w:kern w:val="0"/>
          <w14:ligatures w14:val="none"/>
        </w:rPr>
        <w:t>total ignorance</w:t>
      </w:r>
      <w:r w:rsidRPr="00426E8C">
        <w:rPr>
          <w:rFonts w:ascii="Times New Roman" w:eastAsia="Times New Roman" w:hAnsi="Times New Roman" w:cs="Times New Roman"/>
          <w:color w:val="0F1115"/>
          <w:kern w:val="0"/>
          <w14:ligatures w14:val="none"/>
        </w:rPr>
        <w:t> of its existence, even among senior surgeons (who made up 34.3% of the sample).</w:t>
      </w:r>
    </w:p>
    <w:p w14:paraId="4D512C25"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The </w:t>
      </w:r>
      <w:r w:rsidRPr="00426E8C">
        <w:rPr>
          <w:rFonts w:ascii="Times New Roman" w:eastAsia="Times New Roman" w:hAnsi="Times New Roman" w:cs="Times New Roman"/>
          <w:b/>
          <w:bCs/>
          <w:color w:val="0F1115"/>
          <w:kern w:val="0"/>
          <w14:ligatures w14:val="none"/>
        </w:rPr>
        <w:t>inequitable workload</w:t>
      </w:r>
      <w:r w:rsidRPr="00426E8C">
        <w:rPr>
          <w:rFonts w:ascii="Times New Roman" w:eastAsia="Times New Roman" w:hAnsi="Times New Roman" w:cs="Times New Roman"/>
          <w:color w:val="0F1115"/>
          <w:kern w:val="0"/>
          <w14:ligatures w14:val="none"/>
        </w:rPr>
        <w:t> is a potential aggravating factor: in an overloaded operating room, introducing a new tool without training or leadership risks being perceived as an additional constraint. Yet the unanimous expression of a need for training (100%) is an encouraging signal—a </w:t>
      </w:r>
      <w:r w:rsidRPr="00426E8C">
        <w:rPr>
          <w:rFonts w:ascii="Times New Roman" w:eastAsia="Times New Roman" w:hAnsi="Times New Roman" w:cs="Times New Roman"/>
          <w:b/>
          <w:bCs/>
          <w:color w:val="0F1115"/>
          <w:kern w:val="0"/>
          <w14:ligatures w14:val="none"/>
        </w:rPr>
        <w:t>window of opportunity</w:t>
      </w:r>
      <w:r w:rsidRPr="00426E8C">
        <w:rPr>
          <w:rFonts w:ascii="Times New Roman" w:eastAsia="Times New Roman" w:hAnsi="Times New Roman" w:cs="Times New Roman"/>
          <w:color w:val="0F1115"/>
          <w:kern w:val="0"/>
          <w14:ligatures w14:val="none"/>
        </w:rPr>
        <w:t> for future interventions.</w:t>
      </w:r>
    </w:p>
    <w:p w14:paraId="3E176913"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lastRenderedPageBreak/>
        <w:t>4.4 Implications for Patient Safety</w:t>
      </w:r>
    </w:p>
    <w:p w14:paraId="2326CB61"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The absence of the SSC exposes patients to </w:t>
      </w:r>
      <w:r w:rsidRPr="00426E8C">
        <w:rPr>
          <w:rFonts w:ascii="Times New Roman" w:eastAsia="Times New Roman" w:hAnsi="Times New Roman" w:cs="Times New Roman"/>
          <w:b/>
          <w:bCs/>
          <w:color w:val="0F1115"/>
          <w:kern w:val="0"/>
          <w14:ligatures w14:val="none"/>
        </w:rPr>
        <w:t>avoidable risks</w:t>
      </w:r>
      <w:r w:rsidRPr="00426E8C">
        <w:rPr>
          <w:rFonts w:ascii="Times New Roman" w:eastAsia="Times New Roman" w:hAnsi="Times New Roman" w:cs="Times New Roman"/>
          <w:color w:val="0F1115"/>
          <w:kern w:val="0"/>
          <w14:ligatures w14:val="none"/>
        </w:rPr>
        <w:t>: wrong patient or wrong site surgery, unmarked incision, incorrect sponge count, unknown allergy, and so on. These adverse events are well documented in the literature but are not tracked locally. The lack of a safety culture (no incident reporting, no audits) further increases vulnerability.</w:t>
      </w:r>
    </w:p>
    <w:p w14:paraId="22551B09"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4.5 Strengths and Limitations</w:t>
      </w:r>
    </w:p>
    <w:p w14:paraId="35FAF718"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Strengths:</w:t>
      </w:r>
    </w:p>
    <w:p w14:paraId="77E630DA" w14:textId="77777777" w:rsidR="00426E8C" w:rsidRPr="00426E8C" w:rsidRDefault="00426E8C" w:rsidP="00426E8C">
      <w:pPr>
        <w:numPr>
          <w:ilvl w:val="0"/>
          <w:numId w:val="16"/>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 xml:space="preserve">First complete census on this topic in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w:t>
      </w:r>
    </w:p>
    <w:p w14:paraId="54ED12EE" w14:textId="77777777" w:rsidR="00426E8C" w:rsidRPr="00426E8C" w:rsidRDefault="00426E8C" w:rsidP="00426E8C">
      <w:pPr>
        <w:numPr>
          <w:ilvl w:val="0"/>
          <w:numId w:val="16"/>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Sample representative of all operating room professionals.</w:t>
      </w:r>
    </w:p>
    <w:p w14:paraId="25FC1858" w14:textId="77777777" w:rsidR="00426E8C" w:rsidRPr="00426E8C" w:rsidRDefault="00426E8C" w:rsidP="00426E8C">
      <w:pPr>
        <w:numPr>
          <w:ilvl w:val="0"/>
          <w:numId w:val="16"/>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Combined descriptive and bivariate analysis.</w:t>
      </w:r>
    </w:p>
    <w:p w14:paraId="533EA050"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Limitations:</w:t>
      </w:r>
    </w:p>
    <w:p w14:paraId="24990DAF" w14:textId="77777777" w:rsidR="00426E8C" w:rsidRPr="00426E8C" w:rsidRDefault="00426E8C" w:rsidP="00426E8C">
      <w:pPr>
        <w:numPr>
          <w:ilvl w:val="0"/>
          <w:numId w:val="17"/>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Self-reported data (possible social desirability bias, although anonymity reduces this risk).</w:t>
      </w:r>
    </w:p>
    <w:p w14:paraId="1EAEA647" w14:textId="77777777" w:rsidR="00426E8C" w:rsidRPr="00426E8C" w:rsidRDefault="00426E8C" w:rsidP="00426E8C">
      <w:pPr>
        <w:numPr>
          <w:ilvl w:val="0"/>
          <w:numId w:val="17"/>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Lack of direct observation of practices.</w:t>
      </w:r>
    </w:p>
    <w:p w14:paraId="2D2DB202" w14:textId="77777777" w:rsidR="00426E8C" w:rsidRPr="00426E8C" w:rsidRDefault="00426E8C" w:rsidP="00426E8C">
      <w:pPr>
        <w:numPr>
          <w:ilvl w:val="0"/>
          <w:numId w:val="17"/>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Cross-sectional design does not allow assessment of the clinical effectiveness of the SSC.</w:t>
      </w:r>
    </w:p>
    <w:p w14:paraId="4D12C3C1" w14:textId="77777777" w:rsidR="00426E8C" w:rsidRPr="00426E8C" w:rsidRDefault="00426E8C" w:rsidP="00426E8C">
      <w:pPr>
        <w:numPr>
          <w:ilvl w:val="0"/>
          <w:numId w:val="17"/>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Findings may not be generalizable to other hospitals in the province.</w:t>
      </w:r>
    </w:p>
    <w:p w14:paraId="05BBA06C"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5. Conclusion</w:t>
      </w:r>
    </w:p>
    <w:p w14:paraId="0A0603C3"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This study demonstrates that WHO surgical safety recommendations are </w:t>
      </w:r>
      <w:r w:rsidRPr="00426E8C">
        <w:rPr>
          <w:rFonts w:ascii="Times New Roman" w:eastAsia="Times New Roman" w:hAnsi="Times New Roman" w:cs="Times New Roman"/>
          <w:b/>
          <w:bCs/>
          <w:color w:val="0F1115"/>
          <w:kern w:val="0"/>
          <w14:ligatures w14:val="none"/>
        </w:rPr>
        <w:t>not being applied</w:t>
      </w:r>
      <w:r w:rsidRPr="00426E8C">
        <w:rPr>
          <w:rFonts w:ascii="Times New Roman" w:eastAsia="Times New Roman" w:hAnsi="Times New Roman" w:cs="Times New Roman"/>
          <w:color w:val="0F1115"/>
          <w:kern w:val="0"/>
          <w14:ligatures w14:val="none"/>
        </w:rPr>
        <w:t xml:space="preserve"> in the general hospitals of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xml:space="preserve">. The surgical safety checklist is nonexistent, unknown, and unused. Yet staff is numerically </w:t>
      </w:r>
      <w:proofErr w:type="gramStart"/>
      <w:r w:rsidRPr="00426E8C">
        <w:rPr>
          <w:rFonts w:ascii="Times New Roman" w:eastAsia="Times New Roman" w:hAnsi="Times New Roman" w:cs="Times New Roman"/>
          <w:color w:val="0F1115"/>
          <w:kern w:val="0"/>
          <w14:ligatures w14:val="none"/>
        </w:rPr>
        <w:t>sufficient, but</w:t>
      </w:r>
      <w:proofErr w:type="gramEnd"/>
      <w:r w:rsidRPr="00426E8C">
        <w:rPr>
          <w:rFonts w:ascii="Times New Roman" w:eastAsia="Times New Roman" w:hAnsi="Times New Roman" w:cs="Times New Roman"/>
          <w:color w:val="0F1115"/>
          <w:kern w:val="0"/>
          <w14:ligatures w14:val="none"/>
        </w:rPr>
        <w:t xml:space="preserve"> severely lacks information and training. Workload is high, especially for operating room nurses and in certain health zones.</w:t>
      </w:r>
    </w:p>
    <w:p w14:paraId="23CB0FFB"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The absence of the SSC constitutes a </w:t>
      </w:r>
      <w:r w:rsidRPr="00426E8C">
        <w:rPr>
          <w:rFonts w:ascii="Times New Roman" w:eastAsia="Times New Roman" w:hAnsi="Times New Roman" w:cs="Times New Roman"/>
          <w:b/>
          <w:bCs/>
          <w:color w:val="0F1115"/>
          <w:kern w:val="0"/>
          <w14:ligatures w14:val="none"/>
        </w:rPr>
        <w:t>systemic failure</w:t>
      </w:r>
      <w:r w:rsidRPr="00426E8C">
        <w:rPr>
          <w:rFonts w:ascii="Times New Roman" w:eastAsia="Times New Roman" w:hAnsi="Times New Roman" w:cs="Times New Roman"/>
          <w:color w:val="0F1115"/>
          <w:kern w:val="0"/>
          <w14:ligatures w14:val="none"/>
        </w:rPr>
        <w:t> that exposes patients to avoidable complications. Priority actions are needed:</w:t>
      </w:r>
    </w:p>
    <w:p w14:paraId="4030D63E" w14:textId="77777777" w:rsidR="00426E8C" w:rsidRPr="00426E8C" w:rsidRDefault="00426E8C" w:rsidP="00426E8C">
      <w:pPr>
        <w:numPr>
          <w:ilvl w:val="0"/>
          <w:numId w:val="18"/>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Awareness raising</w:t>
      </w:r>
      <w:r w:rsidRPr="00426E8C">
        <w:rPr>
          <w:rFonts w:ascii="Times New Roman" w:eastAsia="Times New Roman" w:hAnsi="Times New Roman" w:cs="Times New Roman"/>
          <w:color w:val="0F1115"/>
          <w:kern w:val="0"/>
          <w14:ligatures w14:val="none"/>
        </w:rPr>
        <w:t> and dissemination of the checklist.</w:t>
      </w:r>
    </w:p>
    <w:p w14:paraId="2C97DBFF" w14:textId="77777777" w:rsidR="00426E8C" w:rsidRPr="00426E8C" w:rsidRDefault="00426E8C" w:rsidP="00426E8C">
      <w:pPr>
        <w:numPr>
          <w:ilvl w:val="0"/>
          <w:numId w:val="18"/>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Practical training</w:t>
      </w:r>
      <w:r w:rsidRPr="00426E8C">
        <w:rPr>
          <w:rFonts w:ascii="Times New Roman" w:eastAsia="Times New Roman" w:hAnsi="Times New Roman" w:cs="Times New Roman"/>
          <w:color w:val="0F1115"/>
          <w:kern w:val="0"/>
          <w14:ligatures w14:val="none"/>
        </w:rPr>
        <w:t> for all operating room staff.</w:t>
      </w:r>
    </w:p>
    <w:p w14:paraId="58DF8673" w14:textId="77777777" w:rsidR="00426E8C" w:rsidRPr="00426E8C" w:rsidRDefault="00426E8C" w:rsidP="00426E8C">
      <w:pPr>
        <w:numPr>
          <w:ilvl w:val="0"/>
          <w:numId w:val="18"/>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lastRenderedPageBreak/>
        <w:t>Provision of basic equipment</w:t>
      </w:r>
      <w:r w:rsidRPr="00426E8C">
        <w:rPr>
          <w:rFonts w:ascii="Times New Roman" w:eastAsia="Times New Roman" w:hAnsi="Times New Roman" w:cs="Times New Roman"/>
          <w:color w:val="0F1115"/>
          <w:kern w:val="0"/>
          <w14:ligatures w14:val="none"/>
        </w:rPr>
        <w:t> (printed checklists, visual aids).</w:t>
      </w:r>
    </w:p>
    <w:p w14:paraId="1235C831" w14:textId="77777777" w:rsidR="00426E8C" w:rsidRPr="00426E8C" w:rsidRDefault="00426E8C" w:rsidP="00426E8C">
      <w:pPr>
        <w:numPr>
          <w:ilvl w:val="0"/>
          <w:numId w:val="18"/>
        </w:numPr>
        <w:shd w:val="clear" w:color="auto" w:fill="FFFFFF"/>
        <w:spacing w:after="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Hierarchical involvement</w:t>
      </w:r>
      <w:r w:rsidRPr="00426E8C">
        <w:rPr>
          <w:rFonts w:ascii="Times New Roman" w:eastAsia="Times New Roman" w:hAnsi="Times New Roman" w:cs="Times New Roman"/>
          <w:color w:val="0F1115"/>
          <w:kern w:val="0"/>
          <w14:ligatures w14:val="none"/>
        </w:rPr>
        <w:t> to establish a safety culture.</w:t>
      </w:r>
    </w:p>
    <w:p w14:paraId="344DAE2F"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The unanimous need for training expressed by professionals offers a </w:t>
      </w:r>
      <w:r w:rsidRPr="00426E8C">
        <w:rPr>
          <w:rFonts w:ascii="Times New Roman" w:eastAsia="Times New Roman" w:hAnsi="Times New Roman" w:cs="Times New Roman"/>
          <w:b/>
          <w:bCs/>
          <w:color w:val="0F1115"/>
          <w:kern w:val="0"/>
          <w14:ligatures w14:val="none"/>
        </w:rPr>
        <w:t>unique opportunity</w:t>
      </w:r>
      <w:r w:rsidRPr="00426E8C">
        <w:rPr>
          <w:rFonts w:ascii="Times New Roman" w:eastAsia="Times New Roman" w:hAnsi="Times New Roman" w:cs="Times New Roman"/>
          <w:color w:val="0F1115"/>
          <w:kern w:val="0"/>
          <w14:ligatures w14:val="none"/>
        </w:rPr>
        <w:t xml:space="preserve"> to implement the SSC and, ultimately, to improve surgical safety in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w:t>
      </w:r>
    </w:p>
    <w:p w14:paraId="1E769A0F" w14:textId="144B807E"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 xml:space="preserve">References </w:t>
      </w:r>
    </w:p>
    <w:p w14:paraId="4700E633"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426E8C">
        <w:rPr>
          <w:rFonts w:ascii="Times New Roman" w:eastAsia="Times New Roman" w:hAnsi="Times New Roman" w:cs="Times New Roman"/>
          <w:color w:val="0F1115"/>
          <w:kern w:val="0"/>
          <w14:ligatures w14:val="none"/>
        </w:rPr>
        <w:t>Biccard</w:t>
      </w:r>
      <w:proofErr w:type="spellEnd"/>
      <w:r w:rsidRPr="00426E8C">
        <w:rPr>
          <w:rFonts w:ascii="Times New Roman" w:eastAsia="Times New Roman" w:hAnsi="Times New Roman" w:cs="Times New Roman"/>
          <w:color w:val="0F1115"/>
          <w:kern w:val="0"/>
          <w14:ligatures w14:val="none"/>
        </w:rPr>
        <w:t xml:space="preserve">, B. M., Madiba, T. E., </w:t>
      </w:r>
      <w:proofErr w:type="spellStart"/>
      <w:r w:rsidRPr="00426E8C">
        <w:rPr>
          <w:rFonts w:ascii="Times New Roman" w:eastAsia="Times New Roman" w:hAnsi="Times New Roman" w:cs="Times New Roman"/>
          <w:color w:val="0F1115"/>
          <w:kern w:val="0"/>
          <w14:ligatures w14:val="none"/>
        </w:rPr>
        <w:t>Kluyts</w:t>
      </w:r>
      <w:proofErr w:type="spellEnd"/>
      <w:r w:rsidRPr="00426E8C">
        <w:rPr>
          <w:rFonts w:ascii="Times New Roman" w:eastAsia="Times New Roman" w:hAnsi="Times New Roman" w:cs="Times New Roman"/>
          <w:color w:val="0F1115"/>
          <w:kern w:val="0"/>
          <w14:ligatures w14:val="none"/>
        </w:rPr>
        <w:t>, H. L., et al. (2018). Perioperative patient outcomes in the African Surgical Outcomes Study: a 7-day prospective observational cohort study. </w:t>
      </w:r>
      <w:r w:rsidRPr="00426E8C">
        <w:rPr>
          <w:rFonts w:ascii="Times New Roman" w:eastAsia="Times New Roman" w:hAnsi="Times New Roman" w:cs="Times New Roman"/>
          <w:i/>
          <w:iCs/>
          <w:color w:val="0F1115"/>
          <w:kern w:val="0"/>
          <w14:ligatures w14:val="none"/>
        </w:rPr>
        <w:t>The Lancet</w:t>
      </w:r>
      <w:r w:rsidRPr="00426E8C">
        <w:rPr>
          <w:rFonts w:ascii="Times New Roman" w:eastAsia="Times New Roman" w:hAnsi="Times New Roman" w:cs="Times New Roman"/>
          <w:color w:val="0F1115"/>
          <w:kern w:val="0"/>
          <w14:ligatures w14:val="none"/>
        </w:rPr>
        <w:t>, 391(10130), 1589–1598.</w:t>
      </w:r>
    </w:p>
    <w:p w14:paraId="088C0793"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Haynes, A. B., Weiser, T. G., Berry, W. R., et al. (2009). A surgical safety checklist to reduce morbidity and mortality in a global population. </w:t>
      </w:r>
      <w:r w:rsidRPr="00426E8C">
        <w:rPr>
          <w:rFonts w:ascii="Times New Roman" w:eastAsia="Times New Roman" w:hAnsi="Times New Roman" w:cs="Times New Roman"/>
          <w:i/>
          <w:iCs/>
          <w:color w:val="0F1115"/>
          <w:kern w:val="0"/>
          <w14:ligatures w14:val="none"/>
        </w:rPr>
        <w:t>New England Journal of Medicine</w:t>
      </w:r>
      <w:r w:rsidRPr="00426E8C">
        <w:rPr>
          <w:rFonts w:ascii="Times New Roman" w:eastAsia="Times New Roman" w:hAnsi="Times New Roman" w:cs="Times New Roman"/>
          <w:color w:val="0F1115"/>
          <w:kern w:val="0"/>
          <w14:ligatures w14:val="none"/>
        </w:rPr>
        <w:t>, 360(5), 491–499.</w:t>
      </w:r>
    </w:p>
    <w:p w14:paraId="7F0B4C18"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426E8C">
        <w:rPr>
          <w:rFonts w:ascii="Times New Roman" w:eastAsia="Times New Roman" w:hAnsi="Times New Roman" w:cs="Times New Roman"/>
          <w:color w:val="0F1115"/>
          <w:kern w:val="0"/>
          <w14:ligatures w14:val="none"/>
        </w:rPr>
        <w:t>Melekie</w:t>
      </w:r>
      <w:proofErr w:type="spellEnd"/>
      <w:r w:rsidRPr="00426E8C">
        <w:rPr>
          <w:rFonts w:ascii="Times New Roman" w:eastAsia="Times New Roman" w:hAnsi="Times New Roman" w:cs="Times New Roman"/>
          <w:color w:val="0F1115"/>
          <w:kern w:val="0"/>
          <w14:ligatures w14:val="none"/>
        </w:rPr>
        <w:t>, T. B., &amp; Getahun, G. M. (2015). Compliance with surgical safety checklist completion in the operating room of University of Gondar Hospital, Ethiopia. </w:t>
      </w:r>
      <w:r w:rsidRPr="00426E8C">
        <w:rPr>
          <w:rFonts w:ascii="Times New Roman" w:eastAsia="Times New Roman" w:hAnsi="Times New Roman" w:cs="Times New Roman"/>
          <w:i/>
          <w:iCs/>
          <w:color w:val="0F1115"/>
          <w:kern w:val="0"/>
          <w14:ligatures w14:val="none"/>
        </w:rPr>
        <w:t>BMC Research Notes</w:t>
      </w:r>
      <w:r w:rsidRPr="00426E8C">
        <w:rPr>
          <w:rFonts w:ascii="Times New Roman" w:eastAsia="Times New Roman" w:hAnsi="Times New Roman" w:cs="Times New Roman"/>
          <w:color w:val="0F1115"/>
          <w:kern w:val="0"/>
          <w14:ligatures w14:val="none"/>
        </w:rPr>
        <w:t>, 8, 281.</w:t>
      </w:r>
    </w:p>
    <w:p w14:paraId="6F732FAC"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World Health Organization (WHO). (2009). </w:t>
      </w:r>
      <w:r w:rsidRPr="00426E8C">
        <w:rPr>
          <w:rFonts w:ascii="Times New Roman" w:eastAsia="Times New Roman" w:hAnsi="Times New Roman" w:cs="Times New Roman"/>
          <w:i/>
          <w:iCs/>
          <w:color w:val="0F1115"/>
          <w:kern w:val="0"/>
          <w14:ligatures w14:val="none"/>
        </w:rPr>
        <w:t>WHO Surgical Safety Checklist implementation manual</w:t>
      </w:r>
      <w:r w:rsidRPr="00426E8C">
        <w:rPr>
          <w:rFonts w:ascii="Times New Roman" w:eastAsia="Times New Roman" w:hAnsi="Times New Roman" w:cs="Times New Roman"/>
          <w:color w:val="0F1115"/>
          <w:kern w:val="0"/>
          <w14:ligatures w14:val="none"/>
        </w:rPr>
        <w:t>. Geneva: WHO.</w:t>
      </w:r>
    </w:p>
    <w:p w14:paraId="30F8DC89"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World Health Organization (WHO). (2016). </w:t>
      </w:r>
      <w:r w:rsidRPr="00426E8C">
        <w:rPr>
          <w:rFonts w:ascii="Times New Roman" w:eastAsia="Times New Roman" w:hAnsi="Times New Roman" w:cs="Times New Roman"/>
          <w:i/>
          <w:iCs/>
          <w:color w:val="0F1115"/>
          <w:kern w:val="0"/>
          <w14:ligatures w14:val="none"/>
        </w:rPr>
        <w:t>WHO surgical safety recommendations</w:t>
      </w:r>
      <w:r w:rsidRPr="00426E8C">
        <w:rPr>
          <w:rFonts w:ascii="Times New Roman" w:eastAsia="Times New Roman" w:hAnsi="Times New Roman" w:cs="Times New Roman"/>
          <w:color w:val="0F1115"/>
          <w:kern w:val="0"/>
          <w14:ligatures w14:val="none"/>
        </w:rPr>
        <w:t>. Geneva: WHO.</w:t>
      </w:r>
    </w:p>
    <w:p w14:paraId="563141C5"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color w:val="0F1115"/>
          <w:kern w:val="0"/>
          <w14:ligatures w14:val="none"/>
        </w:rPr>
        <w:t xml:space="preserve">Weiser, T. G., Haynes, A. B., </w:t>
      </w:r>
      <w:proofErr w:type="spellStart"/>
      <w:r w:rsidRPr="00426E8C">
        <w:rPr>
          <w:rFonts w:ascii="Times New Roman" w:eastAsia="Times New Roman" w:hAnsi="Times New Roman" w:cs="Times New Roman"/>
          <w:color w:val="0F1115"/>
          <w:kern w:val="0"/>
          <w14:ligatures w14:val="none"/>
        </w:rPr>
        <w:t>Lashoher</w:t>
      </w:r>
      <w:proofErr w:type="spellEnd"/>
      <w:r w:rsidRPr="00426E8C">
        <w:rPr>
          <w:rFonts w:ascii="Times New Roman" w:eastAsia="Times New Roman" w:hAnsi="Times New Roman" w:cs="Times New Roman"/>
          <w:color w:val="0F1115"/>
          <w:kern w:val="0"/>
          <w14:ligatures w14:val="none"/>
        </w:rPr>
        <w:t>, A., et al. (2016). Perspectives in quality: designing the WHO Surgical Safety Checklist. </w:t>
      </w:r>
      <w:r w:rsidRPr="00426E8C">
        <w:rPr>
          <w:rFonts w:ascii="Times New Roman" w:eastAsia="Times New Roman" w:hAnsi="Times New Roman" w:cs="Times New Roman"/>
          <w:i/>
          <w:iCs/>
          <w:color w:val="0F1115"/>
          <w:kern w:val="0"/>
          <w14:ligatures w14:val="none"/>
        </w:rPr>
        <w:t>The Lancet</w:t>
      </w:r>
      <w:r w:rsidRPr="00426E8C">
        <w:rPr>
          <w:rFonts w:ascii="Times New Roman" w:eastAsia="Times New Roman" w:hAnsi="Times New Roman" w:cs="Times New Roman"/>
          <w:color w:val="0F1115"/>
          <w:kern w:val="0"/>
          <w14:ligatures w14:val="none"/>
        </w:rPr>
        <w:t>, 387(10019), 127–135.</w:t>
      </w:r>
    </w:p>
    <w:p w14:paraId="4CC54DA2" w14:textId="77777777" w:rsidR="00426E8C"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Acknowledgments:</w:t>
      </w:r>
      <w:r w:rsidRPr="00426E8C">
        <w:rPr>
          <w:rFonts w:ascii="Times New Roman" w:eastAsia="Times New Roman" w:hAnsi="Times New Roman" w:cs="Times New Roman"/>
          <w:color w:val="0F1115"/>
          <w:kern w:val="0"/>
          <w14:ligatures w14:val="none"/>
        </w:rPr>
        <w:t xml:space="preserve"> The authors thank the directors of the general hospitals of </w:t>
      </w:r>
      <w:proofErr w:type="spellStart"/>
      <w:r w:rsidRPr="00426E8C">
        <w:rPr>
          <w:rFonts w:ascii="Times New Roman" w:eastAsia="Times New Roman" w:hAnsi="Times New Roman" w:cs="Times New Roman"/>
          <w:color w:val="0F1115"/>
          <w:kern w:val="0"/>
          <w14:ligatures w14:val="none"/>
        </w:rPr>
        <w:t>Bolenge</w:t>
      </w:r>
      <w:proofErr w:type="spellEnd"/>
      <w:r w:rsidRPr="00426E8C">
        <w:rPr>
          <w:rFonts w:ascii="Times New Roman" w:eastAsia="Times New Roman" w:hAnsi="Times New Roman" w:cs="Times New Roman"/>
          <w:color w:val="0F1115"/>
          <w:kern w:val="0"/>
          <w14:ligatures w14:val="none"/>
        </w:rPr>
        <w:t xml:space="preserve">, </w:t>
      </w:r>
      <w:proofErr w:type="spellStart"/>
      <w:r w:rsidRPr="00426E8C">
        <w:rPr>
          <w:rFonts w:ascii="Times New Roman" w:eastAsia="Times New Roman" w:hAnsi="Times New Roman" w:cs="Times New Roman"/>
          <w:color w:val="0F1115"/>
          <w:kern w:val="0"/>
          <w14:ligatures w14:val="none"/>
        </w:rPr>
        <w:t>Mbandaka</w:t>
      </w:r>
      <w:proofErr w:type="spellEnd"/>
      <w:r w:rsidRPr="00426E8C">
        <w:rPr>
          <w:rFonts w:ascii="Times New Roman" w:eastAsia="Times New Roman" w:hAnsi="Times New Roman" w:cs="Times New Roman"/>
          <w:color w:val="0F1115"/>
          <w:kern w:val="0"/>
          <w14:ligatures w14:val="none"/>
        </w:rPr>
        <w:t xml:space="preserve">, and </w:t>
      </w:r>
      <w:proofErr w:type="spellStart"/>
      <w:r w:rsidRPr="00426E8C">
        <w:rPr>
          <w:rFonts w:ascii="Times New Roman" w:eastAsia="Times New Roman" w:hAnsi="Times New Roman" w:cs="Times New Roman"/>
          <w:color w:val="0F1115"/>
          <w:kern w:val="0"/>
          <w14:ligatures w14:val="none"/>
        </w:rPr>
        <w:t>Wangata</w:t>
      </w:r>
      <w:proofErr w:type="spellEnd"/>
      <w:r w:rsidRPr="00426E8C">
        <w:rPr>
          <w:rFonts w:ascii="Times New Roman" w:eastAsia="Times New Roman" w:hAnsi="Times New Roman" w:cs="Times New Roman"/>
          <w:color w:val="0F1115"/>
          <w:kern w:val="0"/>
          <w14:ligatures w14:val="none"/>
        </w:rPr>
        <w:t>, as well as all operating room staff for their participation.</w:t>
      </w:r>
    </w:p>
    <w:p w14:paraId="31996761" w14:textId="2F8D2D14" w:rsidR="00B41904" w:rsidRPr="00426E8C" w:rsidRDefault="00426E8C" w:rsidP="00426E8C">
      <w:pPr>
        <w:shd w:val="clear" w:color="auto" w:fill="FFFFFF"/>
        <w:spacing w:before="240" w:after="240" w:line="420" w:lineRule="atLeast"/>
        <w:rPr>
          <w:rFonts w:ascii="Times New Roman" w:eastAsia="Times New Roman" w:hAnsi="Times New Roman" w:cs="Times New Roman"/>
          <w:color w:val="0F1115"/>
          <w:kern w:val="0"/>
          <w14:ligatures w14:val="none"/>
        </w:rPr>
      </w:pPr>
      <w:r w:rsidRPr="00426E8C">
        <w:rPr>
          <w:rFonts w:ascii="Times New Roman" w:eastAsia="Times New Roman" w:hAnsi="Times New Roman" w:cs="Times New Roman"/>
          <w:b/>
          <w:bCs/>
          <w:color w:val="0F1115"/>
          <w:kern w:val="0"/>
          <w14:ligatures w14:val="none"/>
        </w:rPr>
        <w:t>Author Contributions:</w:t>
      </w:r>
      <w:r w:rsidRPr="00426E8C">
        <w:rPr>
          <w:rFonts w:ascii="Times New Roman" w:eastAsia="Times New Roman" w:hAnsi="Times New Roman" w:cs="Times New Roman"/>
          <w:color w:val="0F1115"/>
          <w:kern w:val="0"/>
          <w14:ligatures w14:val="none"/>
        </w:rPr>
        <w:t xml:space="preserve"> Désiré </w:t>
      </w:r>
      <w:proofErr w:type="spellStart"/>
      <w:r w:rsidRPr="00426E8C">
        <w:rPr>
          <w:rFonts w:ascii="Times New Roman" w:eastAsia="Times New Roman" w:hAnsi="Times New Roman" w:cs="Times New Roman"/>
          <w:color w:val="0F1115"/>
          <w:kern w:val="0"/>
          <w14:ligatures w14:val="none"/>
        </w:rPr>
        <w:t>Ikole</w:t>
      </w:r>
      <w:proofErr w:type="spellEnd"/>
      <w:r w:rsidRPr="00426E8C">
        <w:rPr>
          <w:rFonts w:ascii="Times New Roman" w:eastAsia="Times New Roman" w:hAnsi="Times New Roman" w:cs="Times New Roman"/>
          <w:color w:val="0F1115"/>
          <w:kern w:val="0"/>
          <w14:ligatures w14:val="none"/>
        </w:rPr>
        <w:t xml:space="preserve"> Lokwa designed the study, collected and analyzed the data, and wrote the first draft. Prof. Max Ebengho-Bokelo supervised the work, validated the analysis, and contributed to the final revision. Profs. Jacques Lofandjola </w:t>
      </w:r>
      <w:proofErr w:type="spellStart"/>
      <w:r w:rsidRPr="00426E8C">
        <w:rPr>
          <w:rFonts w:ascii="Times New Roman" w:eastAsia="Times New Roman" w:hAnsi="Times New Roman" w:cs="Times New Roman"/>
          <w:color w:val="0F1115"/>
          <w:kern w:val="0"/>
          <w14:ligatures w14:val="none"/>
        </w:rPr>
        <w:t>Masumbuku</w:t>
      </w:r>
      <w:proofErr w:type="spellEnd"/>
      <w:r w:rsidRPr="00426E8C">
        <w:rPr>
          <w:rFonts w:ascii="Times New Roman" w:eastAsia="Times New Roman" w:hAnsi="Times New Roman" w:cs="Times New Roman"/>
          <w:color w:val="0F1115"/>
          <w:kern w:val="0"/>
          <w14:ligatures w14:val="none"/>
        </w:rPr>
        <w:t xml:space="preserve"> and Thom's Konga </w:t>
      </w:r>
      <w:proofErr w:type="spellStart"/>
      <w:r w:rsidRPr="00426E8C">
        <w:rPr>
          <w:rFonts w:ascii="Times New Roman" w:eastAsia="Times New Roman" w:hAnsi="Times New Roman" w:cs="Times New Roman"/>
          <w:color w:val="0F1115"/>
          <w:kern w:val="0"/>
          <w14:ligatures w14:val="none"/>
        </w:rPr>
        <w:t>Bakombo</w:t>
      </w:r>
      <w:proofErr w:type="spellEnd"/>
      <w:r w:rsidRPr="00426E8C">
        <w:rPr>
          <w:rFonts w:ascii="Times New Roman" w:eastAsia="Times New Roman" w:hAnsi="Times New Roman" w:cs="Times New Roman"/>
          <w:color w:val="0F1115"/>
          <w:kern w:val="0"/>
          <w14:ligatures w14:val="none"/>
        </w:rPr>
        <w:t xml:space="preserve"> provided methodological supervision.</w:t>
      </w:r>
    </w:p>
    <w:sectPr w:rsidR="00B41904" w:rsidRPr="00426E8C">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2CBB2" w14:textId="77777777" w:rsidR="00453849" w:rsidRDefault="00453849" w:rsidP="00426E8C">
      <w:pPr>
        <w:spacing w:after="0" w:line="240" w:lineRule="auto"/>
      </w:pPr>
      <w:r>
        <w:separator/>
      </w:r>
    </w:p>
  </w:endnote>
  <w:endnote w:type="continuationSeparator" w:id="0">
    <w:p w14:paraId="57D4F85E" w14:textId="77777777" w:rsidR="00453849" w:rsidRDefault="00453849" w:rsidP="00426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85013364"/>
      <w:docPartObj>
        <w:docPartGallery w:val="Page Numbers (Bottom of Page)"/>
        <w:docPartUnique/>
      </w:docPartObj>
    </w:sdtPr>
    <w:sdtContent>
      <w:p w14:paraId="02B936FC" w14:textId="2667410F" w:rsidR="00426E8C" w:rsidRDefault="00426E8C" w:rsidP="00E754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7F0FA25" w14:textId="77777777" w:rsidR="00426E8C" w:rsidRDefault="00426E8C" w:rsidP="00426E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7436610"/>
      <w:docPartObj>
        <w:docPartGallery w:val="Page Numbers (Bottom of Page)"/>
        <w:docPartUnique/>
      </w:docPartObj>
    </w:sdtPr>
    <w:sdtContent>
      <w:p w14:paraId="2D0F8DCC" w14:textId="57ADF173" w:rsidR="00426E8C" w:rsidRDefault="00426E8C" w:rsidP="00E754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68054406" w14:textId="77777777" w:rsidR="00426E8C" w:rsidRDefault="00426E8C" w:rsidP="00426E8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75E5C" w14:textId="77777777" w:rsidR="00453849" w:rsidRDefault="00453849" w:rsidP="00426E8C">
      <w:pPr>
        <w:spacing w:after="0" w:line="240" w:lineRule="auto"/>
      </w:pPr>
      <w:r>
        <w:separator/>
      </w:r>
    </w:p>
  </w:footnote>
  <w:footnote w:type="continuationSeparator" w:id="0">
    <w:p w14:paraId="03C81C28" w14:textId="77777777" w:rsidR="00453849" w:rsidRDefault="00453849" w:rsidP="00426E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F453C"/>
    <w:multiLevelType w:val="multilevel"/>
    <w:tmpl w:val="AE50B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121E0F"/>
    <w:multiLevelType w:val="multilevel"/>
    <w:tmpl w:val="C7AE0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6192E"/>
    <w:multiLevelType w:val="multilevel"/>
    <w:tmpl w:val="59964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371B43"/>
    <w:multiLevelType w:val="multilevel"/>
    <w:tmpl w:val="39640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B42AB"/>
    <w:multiLevelType w:val="multilevel"/>
    <w:tmpl w:val="A6F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AB6910"/>
    <w:multiLevelType w:val="multilevel"/>
    <w:tmpl w:val="9864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9F56EB"/>
    <w:multiLevelType w:val="multilevel"/>
    <w:tmpl w:val="5672A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C97207"/>
    <w:multiLevelType w:val="multilevel"/>
    <w:tmpl w:val="8822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A266AB"/>
    <w:multiLevelType w:val="multilevel"/>
    <w:tmpl w:val="17BAA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7510F8A"/>
    <w:multiLevelType w:val="multilevel"/>
    <w:tmpl w:val="83560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F05EE1"/>
    <w:multiLevelType w:val="multilevel"/>
    <w:tmpl w:val="429CB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8521C0"/>
    <w:multiLevelType w:val="multilevel"/>
    <w:tmpl w:val="3CA85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EC87ABA"/>
    <w:multiLevelType w:val="multilevel"/>
    <w:tmpl w:val="E4EE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36B3"/>
    <w:multiLevelType w:val="multilevel"/>
    <w:tmpl w:val="4E78D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3C771C"/>
    <w:multiLevelType w:val="multilevel"/>
    <w:tmpl w:val="6EB82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992C64"/>
    <w:multiLevelType w:val="multilevel"/>
    <w:tmpl w:val="8BB0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317E3C"/>
    <w:multiLevelType w:val="multilevel"/>
    <w:tmpl w:val="285E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2001A4"/>
    <w:multiLevelType w:val="multilevel"/>
    <w:tmpl w:val="26E2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9686950">
    <w:abstractNumId w:val="11"/>
  </w:num>
  <w:num w:numId="2" w16cid:durableId="1983995717">
    <w:abstractNumId w:val="5"/>
  </w:num>
  <w:num w:numId="3" w16cid:durableId="1904755962">
    <w:abstractNumId w:val="0"/>
  </w:num>
  <w:num w:numId="4" w16cid:durableId="1585648967">
    <w:abstractNumId w:val="15"/>
  </w:num>
  <w:num w:numId="5" w16cid:durableId="1766880763">
    <w:abstractNumId w:val="16"/>
  </w:num>
  <w:num w:numId="6" w16cid:durableId="1888225332">
    <w:abstractNumId w:val="14"/>
  </w:num>
  <w:num w:numId="7" w16cid:durableId="2017074815">
    <w:abstractNumId w:val="4"/>
  </w:num>
  <w:num w:numId="8" w16cid:durableId="1483624187">
    <w:abstractNumId w:val="3"/>
  </w:num>
  <w:num w:numId="9" w16cid:durableId="1419912486">
    <w:abstractNumId w:val="8"/>
  </w:num>
  <w:num w:numId="10" w16cid:durableId="454907030">
    <w:abstractNumId w:val="6"/>
  </w:num>
  <w:num w:numId="11" w16cid:durableId="733167161">
    <w:abstractNumId w:val="10"/>
  </w:num>
  <w:num w:numId="12" w16cid:durableId="42490260">
    <w:abstractNumId w:val="12"/>
  </w:num>
  <w:num w:numId="13" w16cid:durableId="1296525294">
    <w:abstractNumId w:val="7"/>
  </w:num>
  <w:num w:numId="14" w16cid:durableId="1935167929">
    <w:abstractNumId w:val="9"/>
  </w:num>
  <w:num w:numId="15" w16cid:durableId="589504234">
    <w:abstractNumId w:val="17"/>
  </w:num>
  <w:num w:numId="16" w16cid:durableId="1405878752">
    <w:abstractNumId w:val="13"/>
  </w:num>
  <w:num w:numId="17" w16cid:durableId="1442993458">
    <w:abstractNumId w:val="1"/>
  </w:num>
  <w:num w:numId="18" w16cid:durableId="5492645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F85"/>
    <w:rsid w:val="000A6949"/>
    <w:rsid w:val="002C4B73"/>
    <w:rsid w:val="003F70DD"/>
    <w:rsid w:val="00426E8C"/>
    <w:rsid w:val="00453849"/>
    <w:rsid w:val="008F6EA0"/>
    <w:rsid w:val="00AC0C13"/>
    <w:rsid w:val="00B41904"/>
    <w:rsid w:val="00FB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F2F7D"/>
  <w15:chartTrackingRefBased/>
  <w15:docId w15:val="{A6F8C791-F8BA-CA4E-8A64-0D033BC9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F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7F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F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7F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7F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7F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F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F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F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F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7F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F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7F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7F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7F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F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F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F85"/>
    <w:rPr>
      <w:rFonts w:eastAsiaTheme="majorEastAsia" w:cstheme="majorBidi"/>
      <w:color w:val="272727" w:themeColor="text1" w:themeTint="D8"/>
    </w:rPr>
  </w:style>
  <w:style w:type="paragraph" w:styleId="Title">
    <w:name w:val="Title"/>
    <w:basedOn w:val="Normal"/>
    <w:next w:val="Normal"/>
    <w:link w:val="TitleChar"/>
    <w:uiPriority w:val="10"/>
    <w:qFormat/>
    <w:rsid w:val="00FB7F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F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F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F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F85"/>
    <w:pPr>
      <w:spacing w:before="160"/>
      <w:jc w:val="center"/>
    </w:pPr>
    <w:rPr>
      <w:i/>
      <w:iCs/>
      <w:color w:val="404040" w:themeColor="text1" w:themeTint="BF"/>
    </w:rPr>
  </w:style>
  <w:style w:type="character" w:customStyle="1" w:styleId="QuoteChar">
    <w:name w:val="Quote Char"/>
    <w:basedOn w:val="DefaultParagraphFont"/>
    <w:link w:val="Quote"/>
    <w:uiPriority w:val="29"/>
    <w:rsid w:val="00FB7F85"/>
    <w:rPr>
      <w:i/>
      <w:iCs/>
      <w:color w:val="404040" w:themeColor="text1" w:themeTint="BF"/>
    </w:rPr>
  </w:style>
  <w:style w:type="paragraph" w:styleId="ListParagraph">
    <w:name w:val="List Paragraph"/>
    <w:basedOn w:val="Normal"/>
    <w:uiPriority w:val="34"/>
    <w:qFormat/>
    <w:rsid w:val="00FB7F85"/>
    <w:pPr>
      <w:ind w:left="720"/>
      <w:contextualSpacing/>
    </w:pPr>
  </w:style>
  <w:style w:type="character" w:styleId="IntenseEmphasis">
    <w:name w:val="Intense Emphasis"/>
    <w:basedOn w:val="DefaultParagraphFont"/>
    <w:uiPriority w:val="21"/>
    <w:qFormat/>
    <w:rsid w:val="00FB7F85"/>
    <w:rPr>
      <w:i/>
      <w:iCs/>
      <w:color w:val="0F4761" w:themeColor="accent1" w:themeShade="BF"/>
    </w:rPr>
  </w:style>
  <w:style w:type="paragraph" w:styleId="IntenseQuote">
    <w:name w:val="Intense Quote"/>
    <w:basedOn w:val="Normal"/>
    <w:next w:val="Normal"/>
    <w:link w:val="IntenseQuoteChar"/>
    <w:uiPriority w:val="30"/>
    <w:qFormat/>
    <w:rsid w:val="00FB7F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F85"/>
    <w:rPr>
      <w:i/>
      <w:iCs/>
      <w:color w:val="0F4761" w:themeColor="accent1" w:themeShade="BF"/>
    </w:rPr>
  </w:style>
  <w:style w:type="character" w:styleId="IntenseReference">
    <w:name w:val="Intense Reference"/>
    <w:basedOn w:val="DefaultParagraphFont"/>
    <w:uiPriority w:val="32"/>
    <w:qFormat/>
    <w:rsid w:val="00FB7F85"/>
    <w:rPr>
      <w:b/>
      <w:bCs/>
      <w:smallCaps/>
      <w:color w:val="0F4761" w:themeColor="accent1" w:themeShade="BF"/>
      <w:spacing w:val="5"/>
    </w:rPr>
  </w:style>
  <w:style w:type="paragraph" w:customStyle="1" w:styleId="ds-markdown-paragraph">
    <w:name w:val="ds-markdown-paragraph"/>
    <w:basedOn w:val="Normal"/>
    <w:rsid w:val="00FB7F8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FB7F85"/>
    <w:rPr>
      <w:i/>
      <w:iCs/>
    </w:rPr>
  </w:style>
  <w:style w:type="character" w:styleId="Hyperlink">
    <w:name w:val="Hyperlink"/>
    <w:basedOn w:val="DefaultParagraphFont"/>
    <w:uiPriority w:val="99"/>
    <w:semiHidden/>
    <w:unhideWhenUsed/>
    <w:rsid w:val="00FB7F85"/>
    <w:rPr>
      <w:color w:val="0000FF"/>
      <w:u w:val="single"/>
    </w:rPr>
  </w:style>
  <w:style w:type="character" w:styleId="Strong">
    <w:name w:val="Strong"/>
    <w:basedOn w:val="DefaultParagraphFont"/>
    <w:uiPriority w:val="22"/>
    <w:qFormat/>
    <w:rsid w:val="00FB7F85"/>
    <w:rPr>
      <w:b/>
      <w:bCs/>
    </w:rPr>
  </w:style>
  <w:style w:type="paragraph" w:styleId="Footer">
    <w:name w:val="footer"/>
    <w:basedOn w:val="Normal"/>
    <w:link w:val="FooterChar"/>
    <w:uiPriority w:val="99"/>
    <w:unhideWhenUsed/>
    <w:rsid w:val="00426E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E8C"/>
  </w:style>
  <w:style w:type="character" w:styleId="PageNumber">
    <w:name w:val="page number"/>
    <w:basedOn w:val="DefaultParagraphFont"/>
    <w:uiPriority w:val="99"/>
    <w:semiHidden/>
    <w:unhideWhenUsed/>
    <w:rsid w:val="00426E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2068</Words>
  <Characters>11794</Characters>
  <Application>Microsoft Office Word</Application>
  <DocSecurity>0</DocSecurity>
  <Lines>98</Lines>
  <Paragraphs>27</Paragraphs>
  <ScaleCrop>false</ScaleCrop>
  <Company/>
  <LinksUpToDate>false</LinksUpToDate>
  <CharactersWithSpaces>13835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2</cp:revision>
  <dcterms:created xsi:type="dcterms:W3CDTF">2026-05-12T09:48:00Z</dcterms:created>
  <dcterms:modified xsi:type="dcterms:W3CDTF">2026-05-12T09:53:00Z</dcterms:modified>
</cp:coreProperties>
</file>