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623A2"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 xml:space="preserve">Knowledge, Attitudes, and Practices of the Population of </w:t>
      </w:r>
      <w:proofErr w:type="spellStart"/>
      <w:r w:rsidRPr="00B26494">
        <w:rPr>
          <w:rFonts w:ascii="Times New Roman" w:eastAsia="Times New Roman" w:hAnsi="Times New Roman" w:cs="Times New Roman"/>
          <w:b/>
          <w:bCs/>
          <w:color w:val="0F1115"/>
          <w:kern w:val="0"/>
          <w14:ligatures w14:val="none"/>
        </w:rPr>
        <w:t>Mbandaka</w:t>
      </w:r>
      <w:proofErr w:type="spellEnd"/>
      <w:r w:rsidRPr="00B26494">
        <w:rPr>
          <w:rFonts w:ascii="Times New Roman" w:eastAsia="Times New Roman" w:hAnsi="Times New Roman" w:cs="Times New Roman"/>
          <w:b/>
          <w:bCs/>
          <w:color w:val="0F1115"/>
          <w:kern w:val="0"/>
          <w14:ligatures w14:val="none"/>
        </w:rPr>
        <w:t xml:space="preserve"> Regarding Waterborne Diseases: A Cross-Sectional Study in </w:t>
      </w:r>
      <w:proofErr w:type="spellStart"/>
      <w:r w:rsidRPr="00B26494">
        <w:rPr>
          <w:rFonts w:ascii="Times New Roman" w:eastAsia="Times New Roman" w:hAnsi="Times New Roman" w:cs="Times New Roman"/>
          <w:b/>
          <w:bCs/>
          <w:color w:val="0F1115"/>
          <w:kern w:val="0"/>
          <w14:ligatures w14:val="none"/>
        </w:rPr>
        <w:t>Bombwanza</w:t>
      </w:r>
      <w:proofErr w:type="spellEnd"/>
      <w:r w:rsidRPr="00B26494">
        <w:rPr>
          <w:rFonts w:ascii="Times New Roman" w:eastAsia="Times New Roman" w:hAnsi="Times New Roman" w:cs="Times New Roman"/>
          <w:b/>
          <w:bCs/>
          <w:color w:val="0F1115"/>
          <w:kern w:val="0"/>
          <w14:ligatures w14:val="none"/>
        </w:rPr>
        <w:t xml:space="preserve"> Neighborhood (DRC, 2023–2024)</w:t>
      </w:r>
    </w:p>
    <w:p w14:paraId="0701C304"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Authors:</w:t>
      </w:r>
      <w:r w:rsidRPr="00B26494">
        <w:rPr>
          <w:rFonts w:ascii="Times New Roman" w:eastAsia="Times New Roman" w:hAnsi="Times New Roman" w:cs="Times New Roman"/>
          <w:color w:val="0F1115"/>
          <w:kern w:val="0"/>
          <w14:ligatures w14:val="none"/>
        </w:rPr>
        <w:br/>
        <w:t>Diane Bokwala Bosembe¹, Max Ebengho Bokelo², Gustave Mola Maka³</w:t>
      </w:r>
    </w:p>
    <w:p w14:paraId="69A316A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Affiliations:</w:t>
      </w:r>
      <w:r w:rsidRPr="00B26494">
        <w:rPr>
          <w:rFonts w:ascii="Times New Roman" w:eastAsia="Times New Roman" w:hAnsi="Times New Roman" w:cs="Times New Roman"/>
          <w:color w:val="0F1115"/>
          <w:kern w:val="0"/>
          <w14:ligatures w14:val="none"/>
        </w:rPr>
        <w:br/>
        <w:t xml:space="preserve">¹ Higher Institute of Medical Techniques of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xml:space="preserve"> (ISTM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DRC</w:t>
      </w:r>
      <w:r w:rsidRPr="00B26494">
        <w:rPr>
          <w:rFonts w:ascii="Times New Roman" w:eastAsia="Times New Roman" w:hAnsi="Times New Roman" w:cs="Times New Roman"/>
          <w:color w:val="0F1115"/>
          <w:kern w:val="0"/>
          <w14:ligatures w14:val="none"/>
        </w:rPr>
        <w:br/>
        <w:t xml:space="preserve">² Professor, Thesis Supervisor, ISTM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br/>
        <w:t xml:space="preserve">³ Senior Lecturer, Collaborator, ISTM </w:t>
      </w:r>
      <w:proofErr w:type="spellStart"/>
      <w:r w:rsidRPr="00B26494">
        <w:rPr>
          <w:rFonts w:ascii="Times New Roman" w:eastAsia="Times New Roman" w:hAnsi="Times New Roman" w:cs="Times New Roman"/>
          <w:color w:val="0F1115"/>
          <w:kern w:val="0"/>
          <w14:ligatures w14:val="none"/>
        </w:rPr>
        <w:t>Mbandaka</w:t>
      </w:r>
      <w:proofErr w:type="spellEnd"/>
    </w:p>
    <w:p w14:paraId="30A96A06"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Correspondence:</w:t>
      </w:r>
      <w:r w:rsidRPr="00B26494">
        <w:rPr>
          <w:rFonts w:ascii="Times New Roman" w:eastAsia="Times New Roman" w:hAnsi="Times New Roman" w:cs="Times New Roman"/>
          <w:color w:val="0F1115"/>
          <w:kern w:val="0"/>
          <w14:ligatures w14:val="none"/>
        </w:rPr>
        <w:br/>
        <w:t xml:space="preserve">Diane Bokwala Bosembe, ISTM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xml:space="preserve">, P.O. Box 99,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DRC.</w:t>
      </w:r>
      <w:r w:rsidRPr="00B26494">
        <w:rPr>
          <w:rFonts w:ascii="Times New Roman" w:eastAsia="Times New Roman" w:hAnsi="Times New Roman" w:cs="Times New Roman"/>
          <w:color w:val="0F1115"/>
          <w:kern w:val="0"/>
          <w14:ligatures w14:val="none"/>
        </w:rPr>
        <w:br/>
        <w:t>Email: istmmbaka@gmail.com</w:t>
      </w:r>
    </w:p>
    <w:p w14:paraId="6E554217"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Conflicts of Interest:</w:t>
      </w:r>
      <w:r w:rsidRPr="00B26494">
        <w:rPr>
          <w:rFonts w:ascii="Times New Roman" w:eastAsia="Times New Roman" w:hAnsi="Times New Roman" w:cs="Times New Roman"/>
          <w:color w:val="0F1115"/>
          <w:kern w:val="0"/>
          <w14:ligatures w14:val="none"/>
        </w:rPr>
        <w:t> The authors declare no conflicts of interest.</w:t>
      </w:r>
      <w:r w:rsidRPr="00B26494">
        <w:rPr>
          <w:rFonts w:ascii="Times New Roman" w:eastAsia="Times New Roman" w:hAnsi="Times New Roman" w:cs="Times New Roman"/>
          <w:color w:val="0F1115"/>
          <w:kern w:val="0"/>
          <w14:ligatures w14:val="none"/>
        </w:rPr>
        <w:br/>
      </w:r>
      <w:r w:rsidRPr="00B26494">
        <w:rPr>
          <w:rFonts w:ascii="Times New Roman" w:eastAsia="Times New Roman" w:hAnsi="Times New Roman" w:cs="Times New Roman"/>
          <w:b/>
          <w:bCs/>
          <w:color w:val="0F1115"/>
          <w:kern w:val="0"/>
          <w14:ligatures w14:val="none"/>
        </w:rPr>
        <w:t>Funding:</w:t>
      </w:r>
      <w:r w:rsidRPr="00B26494">
        <w:rPr>
          <w:rFonts w:ascii="Times New Roman" w:eastAsia="Times New Roman" w:hAnsi="Times New Roman" w:cs="Times New Roman"/>
          <w:color w:val="0F1115"/>
          <w:kern w:val="0"/>
          <w14:ligatures w14:val="none"/>
        </w:rPr>
        <w:t> No external funding was received.</w:t>
      </w:r>
    </w:p>
    <w:p w14:paraId="31847DC4"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Abstract</w:t>
      </w:r>
    </w:p>
    <w:p w14:paraId="42D99DC5"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Introduction:</w:t>
      </w:r>
      <w:r w:rsidRPr="00B26494">
        <w:rPr>
          <w:rFonts w:ascii="Times New Roman" w:eastAsia="Times New Roman" w:hAnsi="Times New Roman" w:cs="Times New Roman"/>
          <w:color w:val="0F1115"/>
          <w:kern w:val="0"/>
          <w14:ligatures w14:val="none"/>
        </w:rPr>
        <w:t xml:space="preserve"> Waterborne diseases are a major public health problem in the Democratic Republic of the Congo (DRC), especially in urban areas where access to safe drinking water is limited. This study aimed to assess the knowledge, attitudes, and practices (KAP) of the population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in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xml:space="preserve"> regarding the prevention of waterborne diseases.</w:t>
      </w:r>
    </w:p>
    <w:p w14:paraId="3186790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Methods:</w:t>
      </w:r>
      <w:r w:rsidRPr="00B26494">
        <w:rPr>
          <w:rFonts w:ascii="Times New Roman" w:eastAsia="Times New Roman" w:hAnsi="Times New Roman" w:cs="Times New Roman"/>
          <w:color w:val="0F1115"/>
          <w:kern w:val="0"/>
          <w14:ligatures w14:val="none"/>
        </w:rPr>
        <w:t xml:space="preserve"> A descriptive cross-sectional study was carried out from 2023 to 2024 among 286 households in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selected through non-probability convenience sampling. Data were collected using a structured questionnaire covering sociodemographic characteristics, knowledge, attitudes, and practices related to waterborne diseases. Descriptive analysis focused on frequencies and percentages.</w:t>
      </w:r>
    </w:p>
    <w:p w14:paraId="0EDE52B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lastRenderedPageBreak/>
        <w:t>Results:</w:t>
      </w:r>
      <w:r w:rsidRPr="00B26494">
        <w:rPr>
          <w:rFonts w:ascii="Times New Roman" w:eastAsia="Times New Roman" w:hAnsi="Times New Roman" w:cs="Times New Roman"/>
          <w:color w:val="0F1115"/>
          <w:kern w:val="0"/>
          <w14:ligatures w14:val="none"/>
        </w:rPr>
        <w:t> The population was predominantly female (54.5%) and aged 31–45 years (39.2%). More than three-quarters of respondents (73.4%) knew about water-related diseases. However, only 57.3% reported always washing their hands after using latrines, and only 42.7% treated their water before drinking. A notable proportion (8.4%) never washed their hands after latrines, and 57.3% did not treat their drinking water.</w:t>
      </w:r>
    </w:p>
    <w:p w14:paraId="02192243"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Discussion:</w:t>
      </w:r>
      <w:r w:rsidRPr="00B26494">
        <w:rPr>
          <w:rFonts w:ascii="Times New Roman" w:eastAsia="Times New Roman" w:hAnsi="Times New Roman" w:cs="Times New Roman"/>
          <w:color w:val="0F1115"/>
          <w:kern w:val="0"/>
          <w14:ligatures w14:val="none"/>
        </w:rPr>
        <w:t> The results reveal a paradox between a satisfactory level of knowledge about waterborne diseases and insufficient adoption of key preventive practices, particularly water treatment. These findings are consistent with other studies conducted in sub-Saharan Africa, suggesting that information alone is not enough to change behavior. Structural barriers—such as limited access to safe water, the cost of treatment products, and lack of infrastructure—likely hinder the adoption of good practices.</w:t>
      </w:r>
    </w:p>
    <w:p w14:paraId="194412A6"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Conclusion:</w:t>
      </w:r>
      <w:r w:rsidRPr="00B26494">
        <w:rPr>
          <w:rFonts w:ascii="Times New Roman" w:eastAsia="Times New Roman" w:hAnsi="Times New Roman" w:cs="Times New Roman"/>
          <w:color w:val="0F1115"/>
          <w:kern w:val="0"/>
          <w14:ligatures w14:val="none"/>
        </w:rPr>
        <w:t xml:space="preserve"> The population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has basic knowledge about waterborne diseases, but this knowledge does not translate into adequate preventive practices. Targeted interventions focusing on water treatment, hand hygiene, and addressing structural barriers are needed to reduce the burden of waterborne diseases.</w:t>
      </w:r>
    </w:p>
    <w:p w14:paraId="638C2786"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Keywords:</w:t>
      </w:r>
      <w:r w:rsidRPr="00B26494">
        <w:rPr>
          <w:rFonts w:ascii="Times New Roman" w:eastAsia="Times New Roman" w:hAnsi="Times New Roman" w:cs="Times New Roman"/>
          <w:color w:val="0F1115"/>
          <w:kern w:val="0"/>
          <w14:ligatures w14:val="none"/>
        </w:rPr>
        <w:t xml:space="preserve"> Knowledge, attitudes, practices, waterborne diseases,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DRC, drinking water, hygiene.</w:t>
      </w:r>
    </w:p>
    <w:p w14:paraId="1440D4FE"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1. Introduction</w:t>
      </w:r>
    </w:p>
    <w:p w14:paraId="1637C74D"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Waterborne diseases—transmitted through the consumption of or contact with water contaminated by pathogens such as bacteria, viruses, and parasites—represent a constant threat to public health in the Democratic Republic of the Congo (DRC), particularly in urban and peri-urban areas where access to safe drinking water and sanitation is often inadequate (World Health Organization [WHO], 2017).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the capital of Équateur Province, is no exception to this reality. The city's rapid population growth, combined with often failing infrastructure, creates an environment conducive to the spread of diseases such as cholera, typhoid fever, and intestinal parasites.</w:t>
      </w:r>
    </w:p>
    <w:p w14:paraId="74E5A332"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lastRenderedPageBreak/>
        <w:t>Tackling these diseases cannot be limited to a purely curative approach. It requires a deep understanding of the behaviors, beliefs, and habits of the population. Indeed, the knowledge, attitudes, and practices (KAP) of the community play a decisive role in the spread or prevention of these diseases (Lontuo-Fogang et al., 2021). Good information about transmission routes, a positive attitude toward preventive measures, and the adoption of healthy practices (water treatment, handwashing, sanitation) are essential factors for reducing morbidity and mortality.</w:t>
      </w:r>
    </w:p>
    <w:p w14:paraId="28B2A748"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like many other areas of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faces recurrent problems with access to safe drinking water and sanitation. While epidemiological data can attest to the prevalence of waterborne diseases, it is equally crucial to understand how the population perceives these risks and organizes itself to cope with them. The failure of some prevention campaigns may be explained by a mismatch between the message from health actors and the sociocultural reality of the target population.</w:t>
      </w:r>
    </w:p>
    <w:p w14:paraId="68C84135"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This study aimed to assess the knowledge, attitudes, and practices of the population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regarding the prevention of waterborne diseases. The specific objectives were: (1) to assess the level of knowledge about causes and transmission routes, (2) to analyze attitudes toward recommended preventive measures, (3) to describe daily water-related hygiene practices, (4) to identify sociodemographic factors influencing KAP, and (5) to formulate recommendations for improving prevention programs.</w:t>
      </w:r>
    </w:p>
    <w:p w14:paraId="657A761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Our hypotheses were: (H1) the population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would not have sufficient knowledge of the causes of waterborne diseases; (H2) attitudes and preventive practices would be inadequate despite some degree of awareness.</w:t>
      </w:r>
    </w:p>
    <w:p w14:paraId="2611BA35"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2. Methods</w:t>
      </w:r>
    </w:p>
    <w:p w14:paraId="11215946"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2.1. Study Design and Period</w:t>
      </w:r>
    </w:p>
    <w:p w14:paraId="476A99FC"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This was a descriptive cross-sectional study with analytical components, conducted from 2023 to 2024 in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w:t>
      </w:r>
      <w:proofErr w:type="spellStart"/>
      <w:r w:rsidRPr="00B26494">
        <w:rPr>
          <w:rFonts w:ascii="Times New Roman" w:eastAsia="Times New Roman" w:hAnsi="Times New Roman" w:cs="Times New Roman"/>
          <w:color w:val="0F1115"/>
          <w:kern w:val="0"/>
          <w14:ligatures w14:val="none"/>
        </w:rPr>
        <w:t>Wangata</w:t>
      </w:r>
      <w:proofErr w:type="spellEnd"/>
      <w:r w:rsidRPr="00B26494">
        <w:rPr>
          <w:rFonts w:ascii="Times New Roman" w:eastAsia="Times New Roman" w:hAnsi="Times New Roman" w:cs="Times New Roman"/>
          <w:color w:val="0F1115"/>
          <w:kern w:val="0"/>
          <w14:ligatures w14:val="none"/>
        </w:rPr>
        <w:t xml:space="preserve"> commune,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xml:space="preserve"> city (DRC). This period was chosen to cover both rainy seasons, during which the risk of water contamination is higher.</w:t>
      </w:r>
    </w:p>
    <w:p w14:paraId="5FA2444B"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lastRenderedPageBreak/>
        <w:t>2.2. Study Setting</w:t>
      </w:r>
    </w:p>
    <w:p w14:paraId="6F22D2B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xml:space="preserve"> </w:t>
      </w:r>
      <w:proofErr w:type="gramStart"/>
      <w:r w:rsidRPr="00B26494">
        <w:rPr>
          <w:rFonts w:ascii="Times New Roman" w:eastAsia="Times New Roman" w:hAnsi="Times New Roman" w:cs="Times New Roman"/>
          <w:color w:val="0F1115"/>
          <w:kern w:val="0"/>
          <w14:ligatures w14:val="none"/>
        </w:rPr>
        <w:t>is located in</w:t>
      </w:r>
      <w:proofErr w:type="gramEnd"/>
      <w:r w:rsidRPr="00B26494">
        <w:rPr>
          <w:rFonts w:ascii="Times New Roman" w:eastAsia="Times New Roman" w:hAnsi="Times New Roman" w:cs="Times New Roman"/>
          <w:color w:val="0F1115"/>
          <w:kern w:val="0"/>
          <w14:ligatures w14:val="none"/>
        </w:rPr>
        <w:t xml:space="preserve"> the central Congo Basin, along the Congo River. The city has an equatorial climate characterized by high temperatures (24–27°C) and abundant rainfall (1800–2000 mm/year).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is a densely populated area with limited sanitation infrastructure and often problematic access to safe drinking water.</w:t>
      </w:r>
    </w:p>
    <w:p w14:paraId="25FB0F7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2.3. Target Population and Sampling</w:t>
      </w:r>
    </w:p>
    <w:p w14:paraId="2B8D6FF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The target population consisted of all households in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with at least one adult (≥ 18 years) who was responsible for or well informed about hygiene and health practices in the home. Non-probability convenience sampling was used, given logistical constraints and the lack of an exhaustive sampling frame. The sample size was 286 respondents.</w:t>
      </w:r>
    </w:p>
    <w:p w14:paraId="6C0E57B6"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Inclusion criteria were: (1) being at least 18 years old, (2) having resided in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for at least six months, and (3) freely consenting to participate in the study.</w:t>
      </w:r>
    </w:p>
    <w:p w14:paraId="7D47C54B"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2.4. Data Collection Instrument</w:t>
      </w:r>
    </w:p>
    <w:p w14:paraId="4568C8E7"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A structured questionnaire, pretested during a pilot study (n = 20), was administered through face-to-face interviews. The questionnaire included four sections:</w:t>
      </w:r>
    </w:p>
    <w:p w14:paraId="5FF02D18" w14:textId="77777777" w:rsidR="00B26494" w:rsidRPr="00B26494" w:rsidRDefault="00B26494" w:rsidP="00B2649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Sociodemographic data:</w:t>
      </w:r>
      <w:r w:rsidRPr="00B26494">
        <w:rPr>
          <w:rFonts w:ascii="Times New Roman" w:eastAsia="Times New Roman" w:hAnsi="Times New Roman" w:cs="Times New Roman"/>
          <w:color w:val="0F1115"/>
          <w:kern w:val="0"/>
          <w14:ligatures w14:val="none"/>
        </w:rPr>
        <w:t> sex, age, education level, occupation.</w:t>
      </w:r>
    </w:p>
    <w:p w14:paraId="1BFED022" w14:textId="77777777" w:rsidR="00B26494" w:rsidRPr="00B26494" w:rsidRDefault="00B26494" w:rsidP="00B2649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Knowledge:</w:t>
      </w:r>
      <w:r w:rsidRPr="00B26494">
        <w:rPr>
          <w:rFonts w:ascii="Times New Roman" w:eastAsia="Times New Roman" w:hAnsi="Times New Roman" w:cs="Times New Roman"/>
          <w:color w:val="0F1115"/>
          <w:kern w:val="0"/>
          <w14:ligatures w14:val="none"/>
        </w:rPr>
        <w:t> causes, transmission routes, symptoms, and prevention methods for waterborne diseases.</w:t>
      </w:r>
    </w:p>
    <w:p w14:paraId="198356BC" w14:textId="77777777" w:rsidR="00B26494" w:rsidRPr="00B26494" w:rsidRDefault="00B26494" w:rsidP="00B2649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Attitudes:</w:t>
      </w:r>
      <w:r w:rsidRPr="00B26494">
        <w:rPr>
          <w:rFonts w:ascii="Times New Roman" w:eastAsia="Times New Roman" w:hAnsi="Times New Roman" w:cs="Times New Roman"/>
          <w:color w:val="0F1115"/>
          <w:kern w:val="0"/>
          <w14:ligatures w14:val="none"/>
        </w:rPr>
        <w:t> risk perception, confidence in preventive measures, healthcare-seeking behavior.</w:t>
      </w:r>
    </w:p>
    <w:p w14:paraId="5EA32E7B" w14:textId="77777777" w:rsidR="00B26494" w:rsidRPr="00B26494" w:rsidRDefault="00B26494" w:rsidP="00B26494">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Practices:</w:t>
      </w:r>
      <w:r w:rsidRPr="00B26494">
        <w:rPr>
          <w:rFonts w:ascii="Times New Roman" w:eastAsia="Times New Roman" w:hAnsi="Times New Roman" w:cs="Times New Roman"/>
          <w:color w:val="0F1115"/>
          <w:kern w:val="0"/>
          <w14:ligatures w14:val="none"/>
        </w:rPr>
        <w:t> water source, household water treatment, handwashing, excreta management.</w:t>
      </w:r>
    </w:p>
    <w:p w14:paraId="353B09C3"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2.5. Ethical Considerations</w:t>
      </w:r>
    </w:p>
    <w:p w14:paraId="34F258F4"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Research authorization was obtained from the academic authorities of ISTM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xml:space="preserve"> and the local authorities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Verbal informed consent was obtained after </w:t>
      </w:r>
      <w:r w:rsidRPr="00B26494">
        <w:rPr>
          <w:rFonts w:ascii="Times New Roman" w:eastAsia="Times New Roman" w:hAnsi="Times New Roman" w:cs="Times New Roman"/>
          <w:color w:val="0F1115"/>
          <w:kern w:val="0"/>
          <w14:ligatures w14:val="none"/>
        </w:rPr>
        <w:lastRenderedPageBreak/>
        <w:t>explaining the study objectives. Anonymity and confidentiality of responses were guaranteed. Participation was voluntary, and refusal did not result in any penalty.</w:t>
      </w:r>
    </w:p>
    <w:p w14:paraId="504B5DA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2.6. Statistical Analysis</w:t>
      </w:r>
    </w:p>
    <w:p w14:paraId="7655E2A1"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Data were entered into Excel and analyzed using SPSS version 25. Descriptive analysis consisted of calculating frequencies and percentages for categorical variables. For bivariate analysis, the chi-square test was used to examine associations between sociodemographic variables and KAP, with a significance level set at p &lt; 0.05.</w:t>
      </w:r>
    </w:p>
    <w:p w14:paraId="57E43572"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3. Results</w:t>
      </w:r>
    </w:p>
    <w:p w14:paraId="68E33319"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3.1. Sociodemographic Characteristics (Table 1)</w:t>
      </w:r>
    </w:p>
    <w:p w14:paraId="6F2C3A5E"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The sample included 286 respondents. The population was predominantly female (156 women, 54.5%) and relatively young, with a large concentration in the 31–45 age group (39.2%), followed by the 18–30 age group (34.3%). Those over 45 years represented 26.5% of the sample.</w:t>
      </w:r>
    </w:p>
    <w:p w14:paraId="0EC824C2"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Table 1. Sociodemographic characteristics of respondents (n = 286)</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75"/>
        <w:gridCol w:w="1550"/>
        <w:gridCol w:w="1513"/>
        <w:gridCol w:w="1830"/>
      </w:tblGrid>
      <w:tr w:rsidR="00B26494" w:rsidRPr="00B26494" w14:paraId="44EBB42F" w14:textId="77777777" w:rsidTr="00B26494">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F36DCA7"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BBB2A8"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49C1B584"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Number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75D64AB"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Percentage (%)</w:t>
            </w:r>
          </w:p>
        </w:tc>
      </w:tr>
      <w:tr w:rsidR="00B26494" w:rsidRPr="00B26494" w14:paraId="00B461EF" w14:textId="77777777" w:rsidTr="00B26494">
        <w:tc>
          <w:tcPr>
            <w:tcW w:w="0" w:type="auto"/>
            <w:tcBorders>
              <w:top w:val="single" w:sz="4" w:space="0" w:color="auto"/>
            </w:tcBorders>
            <w:tcMar>
              <w:top w:w="150" w:type="dxa"/>
              <w:left w:w="0" w:type="dxa"/>
              <w:bottom w:w="150" w:type="dxa"/>
              <w:right w:w="240" w:type="dxa"/>
            </w:tcMar>
            <w:vAlign w:val="center"/>
            <w:hideMark/>
          </w:tcPr>
          <w:p w14:paraId="216C5488"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Sex</w:t>
            </w:r>
          </w:p>
        </w:tc>
        <w:tc>
          <w:tcPr>
            <w:tcW w:w="0" w:type="auto"/>
            <w:tcBorders>
              <w:top w:val="single" w:sz="4" w:space="0" w:color="auto"/>
            </w:tcBorders>
            <w:tcMar>
              <w:top w:w="150" w:type="dxa"/>
              <w:left w:w="240" w:type="dxa"/>
              <w:bottom w:w="150" w:type="dxa"/>
              <w:right w:w="240" w:type="dxa"/>
            </w:tcMar>
            <w:vAlign w:val="center"/>
            <w:hideMark/>
          </w:tcPr>
          <w:p w14:paraId="53F396A2"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Male</w:t>
            </w:r>
          </w:p>
        </w:tc>
        <w:tc>
          <w:tcPr>
            <w:tcW w:w="0" w:type="auto"/>
            <w:tcBorders>
              <w:top w:val="single" w:sz="4" w:space="0" w:color="auto"/>
            </w:tcBorders>
            <w:tcMar>
              <w:top w:w="150" w:type="dxa"/>
              <w:left w:w="240" w:type="dxa"/>
              <w:bottom w:w="150" w:type="dxa"/>
              <w:right w:w="240" w:type="dxa"/>
            </w:tcMar>
            <w:vAlign w:val="center"/>
            <w:hideMark/>
          </w:tcPr>
          <w:p w14:paraId="42E6ABA7"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130</w:t>
            </w:r>
          </w:p>
        </w:tc>
        <w:tc>
          <w:tcPr>
            <w:tcW w:w="0" w:type="auto"/>
            <w:tcBorders>
              <w:top w:val="single" w:sz="4" w:space="0" w:color="auto"/>
            </w:tcBorders>
            <w:tcMar>
              <w:top w:w="150" w:type="dxa"/>
              <w:left w:w="240" w:type="dxa"/>
              <w:bottom w:w="150" w:type="dxa"/>
              <w:right w:w="0" w:type="dxa"/>
            </w:tcMar>
            <w:vAlign w:val="center"/>
            <w:hideMark/>
          </w:tcPr>
          <w:p w14:paraId="2654079A"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45.5</w:t>
            </w:r>
          </w:p>
        </w:tc>
      </w:tr>
      <w:tr w:rsidR="00B26494" w:rsidRPr="00B26494" w14:paraId="0C259AC7" w14:textId="77777777" w:rsidTr="00B26494">
        <w:tc>
          <w:tcPr>
            <w:tcW w:w="0" w:type="auto"/>
            <w:tcMar>
              <w:top w:w="150" w:type="dxa"/>
              <w:left w:w="0" w:type="dxa"/>
              <w:bottom w:w="150" w:type="dxa"/>
              <w:right w:w="240" w:type="dxa"/>
            </w:tcMar>
            <w:vAlign w:val="center"/>
            <w:hideMark/>
          </w:tcPr>
          <w:p w14:paraId="231DD023"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9C69F0A"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240" w:type="dxa"/>
            </w:tcMar>
            <w:vAlign w:val="center"/>
            <w:hideMark/>
          </w:tcPr>
          <w:p w14:paraId="63D01D2F"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156</w:t>
            </w:r>
          </w:p>
        </w:tc>
        <w:tc>
          <w:tcPr>
            <w:tcW w:w="0" w:type="auto"/>
            <w:tcMar>
              <w:top w:w="150" w:type="dxa"/>
              <w:left w:w="240" w:type="dxa"/>
              <w:bottom w:w="150" w:type="dxa"/>
              <w:right w:w="0" w:type="dxa"/>
            </w:tcMar>
            <w:vAlign w:val="center"/>
            <w:hideMark/>
          </w:tcPr>
          <w:p w14:paraId="41FC6E70"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54.5</w:t>
            </w:r>
          </w:p>
        </w:tc>
      </w:tr>
      <w:tr w:rsidR="00B26494" w:rsidRPr="00B26494" w14:paraId="26EB252E" w14:textId="77777777" w:rsidTr="00B26494">
        <w:tc>
          <w:tcPr>
            <w:tcW w:w="0" w:type="auto"/>
            <w:tcMar>
              <w:top w:w="150" w:type="dxa"/>
              <w:left w:w="0" w:type="dxa"/>
              <w:bottom w:w="150" w:type="dxa"/>
              <w:right w:w="240" w:type="dxa"/>
            </w:tcMar>
            <w:vAlign w:val="center"/>
            <w:hideMark/>
          </w:tcPr>
          <w:p w14:paraId="19AF80D6"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Age group</w:t>
            </w:r>
          </w:p>
        </w:tc>
        <w:tc>
          <w:tcPr>
            <w:tcW w:w="0" w:type="auto"/>
            <w:tcMar>
              <w:top w:w="150" w:type="dxa"/>
              <w:left w:w="240" w:type="dxa"/>
              <w:bottom w:w="150" w:type="dxa"/>
              <w:right w:w="240" w:type="dxa"/>
            </w:tcMar>
            <w:vAlign w:val="center"/>
            <w:hideMark/>
          </w:tcPr>
          <w:p w14:paraId="7CEE6296"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18–30 years</w:t>
            </w:r>
          </w:p>
        </w:tc>
        <w:tc>
          <w:tcPr>
            <w:tcW w:w="0" w:type="auto"/>
            <w:tcMar>
              <w:top w:w="150" w:type="dxa"/>
              <w:left w:w="240" w:type="dxa"/>
              <w:bottom w:w="150" w:type="dxa"/>
              <w:right w:w="240" w:type="dxa"/>
            </w:tcMar>
            <w:vAlign w:val="center"/>
            <w:hideMark/>
          </w:tcPr>
          <w:p w14:paraId="60491451"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98</w:t>
            </w:r>
          </w:p>
        </w:tc>
        <w:tc>
          <w:tcPr>
            <w:tcW w:w="0" w:type="auto"/>
            <w:tcMar>
              <w:top w:w="150" w:type="dxa"/>
              <w:left w:w="240" w:type="dxa"/>
              <w:bottom w:w="150" w:type="dxa"/>
              <w:right w:w="0" w:type="dxa"/>
            </w:tcMar>
            <w:vAlign w:val="center"/>
            <w:hideMark/>
          </w:tcPr>
          <w:p w14:paraId="6E9D62FB"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34.3</w:t>
            </w:r>
          </w:p>
        </w:tc>
      </w:tr>
      <w:tr w:rsidR="00B26494" w:rsidRPr="00B26494" w14:paraId="31036D65" w14:textId="77777777" w:rsidTr="00B26494">
        <w:tc>
          <w:tcPr>
            <w:tcW w:w="0" w:type="auto"/>
            <w:tcMar>
              <w:top w:w="150" w:type="dxa"/>
              <w:left w:w="0" w:type="dxa"/>
              <w:bottom w:w="150" w:type="dxa"/>
              <w:right w:w="240" w:type="dxa"/>
            </w:tcMar>
            <w:vAlign w:val="center"/>
            <w:hideMark/>
          </w:tcPr>
          <w:p w14:paraId="25FE2211"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16D9D2D"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31–45 years</w:t>
            </w:r>
          </w:p>
        </w:tc>
        <w:tc>
          <w:tcPr>
            <w:tcW w:w="0" w:type="auto"/>
            <w:tcMar>
              <w:top w:w="150" w:type="dxa"/>
              <w:left w:w="240" w:type="dxa"/>
              <w:bottom w:w="150" w:type="dxa"/>
              <w:right w:w="240" w:type="dxa"/>
            </w:tcMar>
            <w:vAlign w:val="center"/>
            <w:hideMark/>
          </w:tcPr>
          <w:p w14:paraId="05338744"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112</w:t>
            </w:r>
          </w:p>
        </w:tc>
        <w:tc>
          <w:tcPr>
            <w:tcW w:w="0" w:type="auto"/>
            <w:tcMar>
              <w:top w:w="150" w:type="dxa"/>
              <w:left w:w="240" w:type="dxa"/>
              <w:bottom w:w="150" w:type="dxa"/>
              <w:right w:w="0" w:type="dxa"/>
            </w:tcMar>
            <w:vAlign w:val="center"/>
            <w:hideMark/>
          </w:tcPr>
          <w:p w14:paraId="24D8ECDC"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39.2</w:t>
            </w:r>
          </w:p>
        </w:tc>
      </w:tr>
      <w:tr w:rsidR="00B26494" w:rsidRPr="00B26494" w14:paraId="7903C8C8" w14:textId="77777777" w:rsidTr="00B26494">
        <w:tc>
          <w:tcPr>
            <w:tcW w:w="0" w:type="auto"/>
            <w:tcMar>
              <w:top w:w="150" w:type="dxa"/>
              <w:left w:w="0" w:type="dxa"/>
              <w:bottom w:w="150" w:type="dxa"/>
              <w:right w:w="240" w:type="dxa"/>
            </w:tcMar>
            <w:vAlign w:val="center"/>
            <w:hideMark/>
          </w:tcPr>
          <w:p w14:paraId="6B887B61"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6DF22136"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45+ years</w:t>
            </w:r>
          </w:p>
        </w:tc>
        <w:tc>
          <w:tcPr>
            <w:tcW w:w="0" w:type="auto"/>
            <w:tcMar>
              <w:top w:w="150" w:type="dxa"/>
              <w:left w:w="240" w:type="dxa"/>
              <w:bottom w:w="150" w:type="dxa"/>
              <w:right w:w="240" w:type="dxa"/>
            </w:tcMar>
            <w:vAlign w:val="center"/>
            <w:hideMark/>
          </w:tcPr>
          <w:p w14:paraId="7CF100E3"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76</w:t>
            </w:r>
          </w:p>
        </w:tc>
        <w:tc>
          <w:tcPr>
            <w:tcW w:w="0" w:type="auto"/>
            <w:tcMar>
              <w:top w:w="150" w:type="dxa"/>
              <w:left w:w="240" w:type="dxa"/>
              <w:bottom w:w="150" w:type="dxa"/>
              <w:right w:w="0" w:type="dxa"/>
            </w:tcMar>
            <w:vAlign w:val="center"/>
            <w:hideMark/>
          </w:tcPr>
          <w:p w14:paraId="44BBF070"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26.5</w:t>
            </w:r>
          </w:p>
        </w:tc>
      </w:tr>
    </w:tbl>
    <w:p w14:paraId="213AA788"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3.2. Knowledge of Waterborne Diseases (Table 2)</w:t>
      </w:r>
    </w:p>
    <w:p w14:paraId="6239BE15"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More than three-quarters of respondents (73.4%, n = 210) reported knowing at least one water-related disease, mainly mentioning cholera, typhoid fever, and diarrhea. However, 26.6% (n = 76) stated that they had no knowledge of these diseases.</w:t>
      </w:r>
    </w:p>
    <w:p w14:paraId="5C3E15E0"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lastRenderedPageBreak/>
        <w:t>Table 2. Knowledge of water-related diseases</w:t>
      </w:r>
    </w:p>
    <w:tbl>
      <w:tblPr>
        <w:tblW w:w="631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537"/>
        <w:gridCol w:w="1225"/>
        <w:gridCol w:w="1557"/>
      </w:tblGrid>
      <w:tr w:rsidR="00B26494" w:rsidRPr="00B26494" w14:paraId="39C24B7A" w14:textId="77777777" w:rsidTr="00B26494">
        <w:trPr>
          <w:tblHeader/>
        </w:trPr>
        <w:tc>
          <w:tcPr>
            <w:tcW w:w="3537" w:type="dxa"/>
            <w:tcBorders>
              <w:top w:val="single" w:sz="4" w:space="0" w:color="auto"/>
              <w:bottom w:val="single" w:sz="4" w:space="0" w:color="auto"/>
            </w:tcBorders>
            <w:tcMar>
              <w:top w:w="150" w:type="dxa"/>
              <w:left w:w="0" w:type="dxa"/>
              <w:bottom w:w="150" w:type="dxa"/>
              <w:right w:w="240" w:type="dxa"/>
            </w:tcMar>
            <w:vAlign w:val="center"/>
            <w:hideMark/>
          </w:tcPr>
          <w:p w14:paraId="54DA21F1"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Knowledge of water-related diseases</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4F550626"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0BD9B35A"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Percentage (%)</w:t>
            </w:r>
          </w:p>
        </w:tc>
      </w:tr>
      <w:tr w:rsidR="00B26494" w:rsidRPr="00B26494" w14:paraId="0BDA0A9F" w14:textId="77777777" w:rsidTr="00B26494">
        <w:tc>
          <w:tcPr>
            <w:tcW w:w="3537" w:type="dxa"/>
            <w:tcBorders>
              <w:top w:val="single" w:sz="4" w:space="0" w:color="auto"/>
            </w:tcBorders>
            <w:tcMar>
              <w:top w:w="150" w:type="dxa"/>
              <w:left w:w="0" w:type="dxa"/>
              <w:bottom w:w="150" w:type="dxa"/>
              <w:right w:w="240" w:type="dxa"/>
            </w:tcMar>
            <w:vAlign w:val="center"/>
            <w:hideMark/>
          </w:tcPr>
          <w:p w14:paraId="6DD6619B"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Yes</w:t>
            </w:r>
          </w:p>
        </w:tc>
        <w:tc>
          <w:tcPr>
            <w:tcW w:w="1225" w:type="dxa"/>
            <w:tcBorders>
              <w:top w:val="single" w:sz="4" w:space="0" w:color="auto"/>
            </w:tcBorders>
            <w:tcMar>
              <w:top w:w="150" w:type="dxa"/>
              <w:left w:w="240" w:type="dxa"/>
              <w:bottom w:w="150" w:type="dxa"/>
              <w:right w:w="240" w:type="dxa"/>
            </w:tcMar>
            <w:vAlign w:val="center"/>
            <w:hideMark/>
          </w:tcPr>
          <w:p w14:paraId="546B72CA"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210</w:t>
            </w:r>
          </w:p>
        </w:tc>
        <w:tc>
          <w:tcPr>
            <w:tcW w:w="1557" w:type="dxa"/>
            <w:tcBorders>
              <w:top w:val="single" w:sz="4" w:space="0" w:color="auto"/>
            </w:tcBorders>
            <w:tcMar>
              <w:top w:w="150" w:type="dxa"/>
              <w:left w:w="240" w:type="dxa"/>
              <w:bottom w:w="150" w:type="dxa"/>
              <w:right w:w="0" w:type="dxa"/>
            </w:tcMar>
            <w:vAlign w:val="center"/>
            <w:hideMark/>
          </w:tcPr>
          <w:p w14:paraId="391F9669"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73.4</w:t>
            </w:r>
          </w:p>
        </w:tc>
      </w:tr>
      <w:tr w:rsidR="00B26494" w:rsidRPr="00B26494" w14:paraId="6C5FDA4E" w14:textId="77777777" w:rsidTr="00B26494">
        <w:tc>
          <w:tcPr>
            <w:tcW w:w="3537" w:type="dxa"/>
            <w:tcMar>
              <w:top w:w="150" w:type="dxa"/>
              <w:left w:w="0" w:type="dxa"/>
              <w:bottom w:w="150" w:type="dxa"/>
              <w:right w:w="240" w:type="dxa"/>
            </w:tcMar>
            <w:vAlign w:val="center"/>
            <w:hideMark/>
          </w:tcPr>
          <w:p w14:paraId="46D62C62"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No</w:t>
            </w:r>
          </w:p>
        </w:tc>
        <w:tc>
          <w:tcPr>
            <w:tcW w:w="1225" w:type="dxa"/>
            <w:tcMar>
              <w:top w:w="150" w:type="dxa"/>
              <w:left w:w="240" w:type="dxa"/>
              <w:bottom w:w="150" w:type="dxa"/>
              <w:right w:w="240" w:type="dxa"/>
            </w:tcMar>
            <w:vAlign w:val="center"/>
            <w:hideMark/>
          </w:tcPr>
          <w:p w14:paraId="21719567"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76</w:t>
            </w:r>
          </w:p>
        </w:tc>
        <w:tc>
          <w:tcPr>
            <w:tcW w:w="1557" w:type="dxa"/>
            <w:tcMar>
              <w:top w:w="150" w:type="dxa"/>
              <w:left w:w="240" w:type="dxa"/>
              <w:bottom w:w="150" w:type="dxa"/>
              <w:right w:w="0" w:type="dxa"/>
            </w:tcMar>
            <w:vAlign w:val="center"/>
            <w:hideMark/>
          </w:tcPr>
          <w:p w14:paraId="1D7D562E"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26.6</w:t>
            </w:r>
          </w:p>
        </w:tc>
      </w:tr>
    </w:tbl>
    <w:p w14:paraId="3446D9F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3.3. Attitudes and Practices (Tables 3 and 4)</w:t>
      </w:r>
    </w:p>
    <w:p w14:paraId="1D25E8A0"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Regarding handwashing after using latrines, 57.3% (n = 164) reported always doing so, 34.3% (n = 98) did so sometimes, and 8.4% (n = 24) never did.</w:t>
      </w:r>
    </w:p>
    <w:p w14:paraId="525A058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Concerning water treatment before drinking, only 42.7% (n = 122) of respondents reported treating their water, while 57.3% (n = 164) did not.</w:t>
      </w:r>
    </w:p>
    <w:p w14:paraId="62942B12"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Table 3. Handwashing practice after using latrines</w:t>
      </w:r>
    </w:p>
    <w:tbl>
      <w:tblPr>
        <w:tblW w:w="540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24"/>
        <w:gridCol w:w="1225"/>
        <w:gridCol w:w="1557"/>
      </w:tblGrid>
      <w:tr w:rsidR="00B26494" w:rsidRPr="00B26494" w14:paraId="70C317A5" w14:textId="77777777" w:rsidTr="00B26494">
        <w:trPr>
          <w:tblHeader/>
        </w:trPr>
        <w:tc>
          <w:tcPr>
            <w:tcW w:w="2624" w:type="dxa"/>
            <w:tcBorders>
              <w:top w:val="single" w:sz="4" w:space="0" w:color="auto"/>
              <w:bottom w:val="single" w:sz="4" w:space="0" w:color="auto"/>
            </w:tcBorders>
            <w:tcMar>
              <w:top w:w="150" w:type="dxa"/>
              <w:left w:w="0" w:type="dxa"/>
              <w:bottom w:w="150" w:type="dxa"/>
              <w:right w:w="240" w:type="dxa"/>
            </w:tcMar>
            <w:vAlign w:val="center"/>
            <w:hideMark/>
          </w:tcPr>
          <w:p w14:paraId="69452F7F"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Handwashing after latrines</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1E3C12CD"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01A9F906"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Percentage (%)</w:t>
            </w:r>
          </w:p>
        </w:tc>
      </w:tr>
      <w:tr w:rsidR="00B26494" w:rsidRPr="00B26494" w14:paraId="0539854D" w14:textId="77777777" w:rsidTr="00B26494">
        <w:tc>
          <w:tcPr>
            <w:tcW w:w="2624" w:type="dxa"/>
            <w:tcBorders>
              <w:top w:val="single" w:sz="4" w:space="0" w:color="auto"/>
            </w:tcBorders>
            <w:tcMar>
              <w:top w:w="150" w:type="dxa"/>
              <w:left w:w="0" w:type="dxa"/>
              <w:bottom w:w="150" w:type="dxa"/>
              <w:right w:w="240" w:type="dxa"/>
            </w:tcMar>
            <w:vAlign w:val="center"/>
            <w:hideMark/>
          </w:tcPr>
          <w:p w14:paraId="076F0530"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Yes, always</w:t>
            </w:r>
          </w:p>
        </w:tc>
        <w:tc>
          <w:tcPr>
            <w:tcW w:w="1225" w:type="dxa"/>
            <w:tcBorders>
              <w:top w:val="single" w:sz="4" w:space="0" w:color="auto"/>
            </w:tcBorders>
            <w:tcMar>
              <w:top w:w="150" w:type="dxa"/>
              <w:left w:w="240" w:type="dxa"/>
              <w:bottom w:w="150" w:type="dxa"/>
              <w:right w:w="240" w:type="dxa"/>
            </w:tcMar>
            <w:vAlign w:val="center"/>
            <w:hideMark/>
          </w:tcPr>
          <w:p w14:paraId="4926C533"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164</w:t>
            </w:r>
          </w:p>
        </w:tc>
        <w:tc>
          <w:tcPr>
            <w:tcW w:w="1557" w:type="dxa"/>
            <w:tcBorders>
              <w:top w:val="single" w:sz="4" w:space="0" w:color="auto"/>
            </w:tcBorders>
            <w:tcMar>
              <w:top w:w="150" w:type="dxa"/>
              <w:left w:w="240" w:type="dxa"/>
              <w:bottom w:w="150" w:type="dxa"/>
              <w:right w:w="0" w:type="dxa"/>
            </w:tcMar>
            <w:vAlign w:val="center"/>
            <w:hideMark/>
          </w:tcPr>
          <w:p w14:paraId="6F68094B"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57.3</w:t>
            </w:r>
          </w:p>
        </w:tc>
      </w:tr>
      <w:tr w:rsidR="00B26494" w:rsidRPr="00B26494" w14:paraId="56D05BCF" w14:textId="77777777" w:rsidTr="00B26494">
        <w:tc>
          <w:tcPr>
            <w:tcW w:w="2624" w:type="dxa"/>
            <w:tcMar>
              <w:top w:w="150" w:type="dxa"/>
              <w:left w:w="0" w:type="dxa"/>
              <w:bottom w:w="150" w:type="dxa"/>
              <w:right w:w="240" w:type="dxa"/>
            </w:tcMar>
            <w:vAlign w:val="center"/>
            <w:hideMark/>
          </w:tcPr>
          <w:p w14:paraId="0ABB829D"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Sometimes</w:t>
            </w:r>
          </w:p>
        </w:tc>
        <w:tc>
          <w:tcPr>
            <w:tcW w:w="1225" w:type="dxa"/>
            <w:tcMar>
              <w:top w:w="150" w:type="dxa"/>
              <w:left w:w="240" w:type="dxa"/>
              <w:bottom w:w="150" w:type="dxa"/>
              <w:right w:w="240" w:type="dxa"/>
            </w:tcMar>
            <w:vAlign w:val="center"/>
            <w:hideMark/>
          </w:tcPr>
          <w:p w14:paraId="568E77E2"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98</w:t>
            </w:r>
          </w:p>
        </w:tc>
        <w:tc>
          <w:tcPr>
            <w:tcW w:w="1557" w:type="dxa"/>
            <w:tcMar>
              <w:top w:w="150" w:type="dxa"/>
              <w:left w:w="240" w:type="dxa"/>
              <w:bottom w:w="150" w:type="dxa"/>
              <w:right w:w="0" w:type="dxa"/>
            </w:tcMar>
            <w:vAlign w:val="center"/>
            <w:hideMark/>
          </w:tcPr>
          <w:p w14:paraId="3299F171"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34.3</w:t>
            </w:r>
          </w:p>
        </w:tc>
      </w:tr>
      <w:tr w:rsidR="00B26494" w:rsidRPr="00B26494" w14:paraId="6D1B9FFD" w14:textId="77777777" w:rsidTr="00B26494">
        <w:tc>
          <w:tcPr>
            <w:tcW w:w="2624" w:type="dxa"/>
            <w:tcMar>
              <w:top w:w="150" w:type="dxa"/>
              <w:left w:w="0" w:type="dxa"/>
              <w:bottom w:w="150" w:type="dxa"/>
              <w:right w:w="240" w:type="dxa"/>
            </w:tcMar>
            <w:vAlign w:val="center"/>
            <w:hideMark/>
          </w:tcPr>
          <w:p w14:paraId="125EF349"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Never</w:t>
            </w:r>
          </w:p>
        </w:tc>
        <w:tc>
          <w:tcPr>
            <w:tcW w:w="1225" w:type="dxa"/>
            <w:tcMar>
              <w:top w:w="150" w:type="dxa"/>
              <w:left w:w="240" w:type="dxa"/>
              <w:bottom w:w="150" w:type="dxa"/>
              <w:right w:w="240" w:type="dxa"/>
            </w:tcMar>
            <w:vAlign w:val="center"/>
            <w:hideMark/>
          </w:tcPr>
          <w:p w14:paraId="5FA7FE40"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24</w:t>
            </w:r>
          </w:p>
        </w:tc>
        <w:tc>
          <w:tcPr>
            <w:tcW w:w="1557" w:type="dxa"/>
            <w:tcMar>
              <w:top w:w="150" w:type="dxa"/>
              <w:left w:w="240" w:type="dxa"/>
              <w:bottom w:w="150" w:type="dxa"/>
              <w:right w:w="0" w:type="dxa"/>
            </w:tcMar>
            <w:vAlign w:val="center"/>
            <w:hideMark/>
          </w:tcPr>
          <w:p w14:paraId="4AD1C912"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8.4</w:t>
            </w:r>
          </w:p>
        </w:tc>
      </w:tr>
    </w:tbl>
    <w:p w14:paraId="57D58EB1"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Table 4. Water treatment before drinking</w:t>
      </w:r>
    </w:p>
    <w:tbl>
      <w:tblPr>
        <w:tblW w:w="589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15"/>
        <w:gridCol w:w="1225"/>
        <w:gridCol w:w="1557"/>
      </w:tblGrid>
      <w:tr w:rsidR="00B26494" w:rsidRPr="00B26494" w14:paraId="38C40EC4" w14:textId="77777777" w:rsidTr="00B26494">
        <w:trPr>
          <w:tblHeader/>
        </w:trPr>
        <w:tc>
          <w:tcPr>
            <w:tcW w:w="3115" w:type="dxa"/>
            <w:tcBorders>
              <w:top w:val="single" w:sz="4" w:space="0" w:color="auto"/>
              <w:bottom w:val="single" w:sz="4" w:space="0" w:color="auto"/>
            </w:tcBorders>
            <w:tcMar>
              <w:top w:w="150" w:type="dxa"/>
              <w:left w:w="0" w:type="dxa"/>
              <w:bottom w:w="150" w:type="dxa"/>
              <w:right w:w="240" w:type="dxa"/>
            </w:tcMar>
            <w:vAlign w:val="center"/>
            <w:hideMark/>
          </w:tcPr>
          <w:p w14:paraId="36CFF7CA"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Water treatment before drinking</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6361D1E7"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3ABE7CBC"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Percentage (%)</w:t>
            </w:r>
          </w:p>
        </w:tc>
      </w:tr>
      <w:tr w:rsidR="00B26494" w:rsidRPr="00B26494" w14:paraId="4F4D56BE" w14:textId="77777777" w:rsidTr="00B26494">
        <w:tc>
          <w:tcPr>
            <w:tcW w:w="3115" w:type="dxa"/>
            <w:tcBorders>
              <w:top w:val="single" w:sz="4" w:space="0" w:color="auto"/>
            </w:tcBorders>
            <w:tcMar>
              <w:top w:w="150" w:type="dxa"/>
              <w:left w:w="0" w:type="dxa"/>
              <w:bottom w:w="150" w:type="dxa"/>
              <w:right w:w="240" w:type="dxa"/>
            </w:tcMar>
            <w:vAlign w:val="center"/>
            <w:hideMark/>
          </w:tcPr>
          <w:p w14:paraId="54774035"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Yes</w:t>
            </w:r>
          </w:p>
        </w:tc>
        <w:tc>
          <w:tcPr>
            <w:tcW w:w="1225" w:type="dxa"/>
            <w:tcBorders>
              <w:top w:val="single" w:sz="4" w:space="0" w:color="auto"/>
            </w:tcBorders>
            <w:tcMar>
              <w:top w:w="150" w:type="dxa"/>
              <w:left w:w="240" w:type="dxa"/>
              <w:bottom w:w="150" w:type="dxa"/>
              <w:right w:w="240" w:type="dxa"/>
            </w:tcMar>
            <w:vAlign w:val="center"/>
            <w:hideMark/>
          </w:tcPr>
          <w:p w14:paraId="7DE70445"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122</w:t>
            </w:r>
          </w:p>
        </w:tc>
        <w:tc>
          <w:tcPr>
            <w:tcW w:w="1557" w:type="dxa"/>
            <w:tcBorders>
              <w:top w:val="single" w:sz="4" w:space="0" w:color="auto"/>
            </w:tcBorders>
            <w:tcMar>
              <w:top w:w="150" w:type="dxa"/>
              <w:left w:w="240" w:type="dxa"/>
              <w:bottom w:w="150" w:type="dxa"/>
              <w:right w:w="0" w:type="dxa"/>
            </w:tcMar>
            <w:vAlign w:val="center"/>
            <w:hideMark/>
          </w:tcPr>
          <w:p w14:paraId="229BD529"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42.7</w:t>
            </w:r>
          </w:p>
        </w:tc>
      </w:tr>
      <w:tr w:rsidR="00B26494" w:rsidRPr="00B26494" w14:paraId="5A1F26E7" w14:textId="77777777" w:rsidTr="00B26494">
        <w:tc>
          <w:tcPr>
            <w:tcW w:w="3115" w:type="dxa"/>
            <w:tcMar>
              <w:top w:w="150" w:type="dxa"/>
              <w:left w:w="0" w:type="dxa"/>
              <w:bottom w:w="150" w:type="dxa"/>
              <w:right w:w="240" w:type="dxa"/>
            </w:tcMar>
            <w:vAlign w:val="center"/>
            <w:hideMark/>
          </w:tcPr>
          <w:p w14:paraId="6505907C"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No</w:t>
            </w:r>
          </w:p>
        </w:tc>
        <w:tc>
          <w:tcPr>
            <w:tcW w:w="1225" w:type="dxa"/>
            <w:tcMar>
              <w:top w:w="150" w:type="dxa"/>
              <w:left w:w="240" w:type="dxa"/>
              <w:bottom w:w="150" w:type="dxa"/>
              <w:right w:w="240" w:type="dxa"/>
            </w:tcMar>
            <w:vAlign w:val="center"/>
            <w:hideMark/>
          </w:tcPr>
          <w:p w14:paraId="2184E09B"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164</w:t>
            </w:r>
          </w:p>
        </w:tc>
        <w:tc>
          <w:tcPr>
            <w:tcW w:w="1557" w:type="dxa"/>
            <w:tcMar>
              <w:top w:w="150" w:type="dxa"/>
              <w:left w:w="240" w:type="dxa"/>
              <w:bottom w:w="150" w:type="dxa"/>
              <w:right w:w="0" w:type="dxa"/>
            </w:tcMar>
            <w:vAlign w:val="center"/>
            <w:hideMark/>
          </w:tcPr>
          <w:p w14:paraId="01A961F2" w14:textId="77777777" w:rsidR="00B26494" w:rsidRPr="00B26494" w:rsidRDefault="00B26494" w:rsidP="00B26494">
            <w:pPr>
              <w:spacing w:after="0" w:line="240" w:lineRule="auto"/>
              <w:rPr>
                <w:rFonts w:ascii="Times New Roman" w:eastAsia="Times New Roman" w:hAnsi="Times New Roman" w:cs="Times New Roman"/>
                <w:kern w:val="0"/>
                <w:sz w:val="22"/>
                <w:szCs w:val="22"/>
                <w14:ligatures w14:val="none"/>
              </w:rPr>
            </w:pPr>
            <w:r w:rsidRPr="00B26494">
              <w:rPr>
                <w:rFonts w:ascii="Times New Roman" w:eastAsia="Times New Roman" w:hAnsi="Times New Roman" w:cs="Times New Roman"/>
                <w:kern w:val="0"/>
                <w:sz w:val="22"/>
                <w:szCs w:val="22"/>
                <w14:ligatures w14:val="none"/>
              </w:rPr>
              <w:t>57.3</w:t>
            </w:r>
          </w:p>
        </w:tc>
      </w:tr>
    </w:tbl>
    <w:p w14:paraId="78244947"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3.4. Bivariate Analyses</w:t>
      </w:r>
    </w:p>
    <w:p w14:paraId="231C1A89"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lastRenderedPageBreak/>
        <w:t>Chi-square analysis showed a significant association between education level and water treatment (p &lt; 0.01): people with secondary or higher education were more likely to treat their water. No significant association was found between sex and water treatment (p &gt; 0.05).</w:t>
      </w:r>
    </w:p>
    <w:p w14:paraId="0832C946"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4. Discussion</w:t>
      </w:r>
    </w:p>
    <w:p w14:paraId="1F602B31"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4.1. Summary of Key Findings</w:t>
      </w:r>
    </w:p>
    <w:p w14:paraId="4765C972"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This study showed that the population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has a generally satisfactory level of knowledge about waterborne diseases (73.4%), confirming the relative effectiveness of awareness campaigns. However, the results reveal a major paradox: this knowledge does not translate into the systematic adoption of essential preventive practices. Indeed, only 42.7% treat their drinking water, and nearly 43% (34.3% sometimes + 8.4% never) do not have optimal hand hygiene after using latrines. These observations partially refute our first hypothesis and validate our second hypothesis that attitudes and practices remain inadequate despite some level of awareness.</w:t>
      </w:r>
    </w:p>
    <w:p w14:paraId="26EE01AB"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4.2. Comparison with Previous Studies</w:t>
      </w:r>
    </w:p>
    <w:p w14:paraId="13C2BC24"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Our results are consistent with existing literature on KAP in sub-Saharan Africa. Lontuo-Fogang et al. (2021), in a study conducted in the </w:t>
      </w:r>
      <w:proofErr w:type="spellStart"/>
      <w:r w:rsidRPr="00B26494">
        <w:rPr>
          <w:rFonts w:ascii="Times New Roman" w:eastAsia="Times New Roman" w:hAnsi="Times New Roman" w:cs="Times New Roman"/>
          <w:color w:val="0F1115"/>
          <w:kern w:val="0"/>
          <w14:ligatures w14:val="none"/>
        </w:rPr>
        <w:t>Bamboutos</w:t>
      </w:r>
      <w:proofErr w:type="spellEnd"/>
      <w:r w:rsidRPr="00B26494">
        <w:rPr>
          <w:rFonts w:ascii="Times New Roman" w:eastAsia="Times New Roman" w:hAnsi="Times New Roman" w:cs="Times New Roman"/>
          <w:color w:val="0F1115"/>
          <w:kern w:val="0"/>
          <w14:ligatures w14:val="none"/>
        </w:rPr>
        <w:t xml:space="preserve"> Division in Cameroon, also found that </w:t>
      </w:r>
      <w:proofErr w:type="gramStart"/>
      <w:r w:rsidRPr="00B26494">
        <w:rPr>
          <w:rFonts w:ascii="Times New Roman" w:eastAsia="Times New Roman" w:hAnsi="Times New Roman" w:cs="Times New Roman"/>
          <w:color w:val="0F1115"/>
          <w:kern w:val="0"/>
          <w14:ligatures w14:val="none"/>
        </w:rPr>
        <w:t>the majority of</w:t>
      </w:r>
      <w:proofErr w:type="gramEnd"/>
      <w:r w:rsidRPr="00B26494">
        <w:rPr>
          <w:rFonts w:ascii="Times New Roman" w:eastAsia="Times New Roman" w:hAnsi="Times New Roman" w:cs="Times New Roman"/>
          <w:color w:val="0F1115"/>
          <w:kern w:val="0"/>
          <w14:ligatures w14:val="none"/>
        </w:rPr>
        <w:t xml:space="preserve"> participants knew about waterborne diseases, but their preventive practices remained insufficient. Similarly, Sibiya and Gumbo (2013), working with schoolchildren in South Africa, reported a relatively high level of knowledge but a lack of understanding of specific transmission routes.</w:t>
      </w:r>
    </w:p>
    <w:p w14:paraId="30B85B57"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The study by Quick et al. (1999) in Haiti showed a significant improvement in water treatment practices after a cholera outbreak, suggesting that epidemic shocks can act as catalysts for behavioral change. In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the absence of a recent major epidemic might explain the laxity in practices.</w:t>
      </w:r>
    </w:p>
    <w:p w14:paraId="2B94DD2B"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In the DRC, a study conducted in Kinshasa by </w:t>
      </w:r>
      <w:proofErr w:type="spellStart"/>
      <w:r w:rsidRPr="00B26494">
        <w:rPr>
          <w:rFonts w:ascii="Times New Roman" w:eastAsia="Times New Roman" w:hAnsi="Times New Roman" w:cs="Times New Roman"/>
          <w:color w:val="0F1115"/>
          <w:kern w:val="0"/>
          <w14:ligatures w14:val="none"/>
        </w:rPr>
        <w:t>Nkoko</w:t>
      </w:r>
      <w:proofErr w:type="spellEnd"/>
      <w:r w:rsidRPr="00B26494">
        <w:rPr>
          <w:rFonts w:ascii="Times New Roman" w:eastAsia="Times New Roman" w:hAnsi="Times New Roman" w:cs="Times New Roman"/>
          <w:color w:val="0F1115"/>
          <w:kern w:val="0"/>
          <w14:ligatures w14:val="none"/>
        </w:rPr>
        <w:t xml:space="preserve"> et al. (undated in the thesis) also highlighted local challenges related to the environment and hygiene practices, confirming the </w:t>
      </w:r>
      <w:r w:rsidRPr="00B26494">
        <w:rPr>
          <w:rFonts w:ascii="Times New Roman" w:eastAsia="Times New Roman" w:hAnsi="Times New Roman" w:cs="Times New Roman"/>
          <w:color w:val="0F1115"/>
          <w:kern w:val="0"/>
          <w14:ligatures w14:val="none"/>
        </w:rPr>
        <w:lastRenderedPageBreak/>
        <w:t xml:space="preserve">universality of the knowledge–practice gap in the Congolese context. </w:t>
      </w:r>
      <w:proofErr w:type="spellStart"/>
      <w:r w:rsidRPr="00B26494">
        <w:rPr>
          <w:rFonts w:ascii="Times New Roman" w:eastAsia="Times New Roman" w:hAnsi="Times New Roman" w:cs="Times New Roman"/>
          <w:color w:val="0F1115"/>
          <w:kern w:val="0"/>
          <w14:ligatures w14:val="none"/>
        </w:rPr>
        <w:t>Ucama</w:t>
      </w:r>
      <w:proofErr w:type="spellEnd"/>
      <w:r w:rsidRPr="00B26494">
        <w:rPr>
          <w:rFonts w:ascii="Times New Roman" w:eastAsia="Times New Roman" w:hAnsi="Times New Roman" w:cs="Times New Roman"/>
          <w:color w:val="0F1115"/>
          <w:kern w:val="0"/>
          <w14:ligatures w14:val="none"/>
        </w:rPr>
        <w:t xml:space="preserve"> (2013), in Kisangani, had already pointed out the insufficient knowledge of healthcare workers, reflecting a systemic challenge at multiple levels.</w:t>
      </w:r>
    </w:p>
    <w:p w14:paraId="08F575D1"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4.3. Interpretation of Results and Explanatory Factors</w:t>
      </w:r>
    </w:p>
    <w:p w14:paraId="4BB5996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The observed gap between knowledge and practice can be explained by several factors, which the Health Belief Model (Rosenstock, 1974) helps to illuminate. This model posits that the adoption of a health behavior depends on perceptions of vulnerability, severity, benefits, barriers, and self-efficacy.</w:t>
      </w:r>
    </w:p>
    <w:p w14:paraId="10CC0E3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First, </w:t>
      </w:r>
      <w:r w:rsidRPr="00B26494">
        <w:rPr>
          <w:rFonts w:ascii="Times New Roman" w:eastAsia="Times New Roman" w:hAnsi="Times New Roman" w:cs="Times New Roman"/>
          <w:b/>
          <w:bCs/>
          <w:color w:val="0F1115"/>
          <w:kern w:val="0"/>
          <w14:ligatures w14:val="none"/>
        </w:rPr>
        <w:t>perception of barriers</w:t>
      </w:r>
      <w:r w:rsidRPr="00B26494">
        <w:rPr>
          <w:rFonts w:ascii="Times New Roman" w:eastAsia="Times New Roman" w:hAnsi="Times New Roman" w:cs="Times New Roman"/>
          <w:color w:val="0F1115"/>
          <w:kern w:val="0"/>
          <w14:ligatures w14:val="none"/>
        </w:rPr>
        <w:t xml:space="preserve"> is likely a determining factor: the cost of water treatment products (chlorine tablets, </w:t>
      </w:r>
      <w:proofErr w:type="spellStart"/>
      <w:r w:rsidRPr="00B26494">
        <w:rPr>
          <w:rFonts w:ascii="Times New Roman" w:eastAsia="Times New Roman" w:hAnsi="Times New Roman" w:cs="Times New Roman"/>
          <w:color w:val="0F1115"/>
          <w:kern w:val="0"/>
          <w14:ligatures w14:val="none"/>
        </w:rPr>
        <w:t>Aquatabs</w:t>
      </w:r>
      <w:proofErr w:type="spellEnd"/>
      <w:r w:rsidRPr="00B26494">
        <w:rPr>
          <w:rFonts w:ascii="Times New Roman" w:eastAsia="Times New Roman" w:hAnsi="Times New Roman" w:cs="Times New Roman"/>
          <w:color w:val="0F1115"/>
          <w:kern w:val="0"/>
          <w14:ligatures w14:val="none"/>
        </w:rPr>
        <w:t xml:space="preserve">), their regular availability on the local market, the unpleasant taste of treated water, or the time required for boiling (especially where fuel is expensive) may constitute significant barriers for low-income households in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w:t>
      </w:r>
    </w:p>
    <w:p w14:paraId="7F4B2EF8"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Second, </w:t>
      </w:r>
      <w:r w:rsidRPr="00B26494">
        <w:rPr>
          <w:rFonts w:ascii="Times New Roman" w:eastAsia="Times New Roman" w:hAnsi="Times New Roman" w:cs="Times New Roman"/>
          <w:b/>
          <w:bCs/>
          <w:color w:val="0F1115"/>
          <w:kern w:val="0"/>
          <w14:ligatures w14:val="none"/>
        </w:rPr>
        <w:t>the physical environment and infrastructure</w:t>
      </w:r>
      <w:r w:rsidRPr="00B26494">
        <w:rPr>
          <w:rFonts w:ascii="Times New Roman" w:eastAsia="Times New Roman" w:hAnsi="Times New Roman" w:cs="Times New Roman"/>
          <w:color w:val="0F1115"/>
          <w:kern w:val="0"/>
          <w14:ligatures w14:val="none"/>
        </w:rPr>
        <w:t> play a crucial role: the lack of functional latrines in some households, the absence of running water at home (forcing people to store water, sometimes in unsuitable containers that promote recontamination), and the insufficient number of public water fountains in the neighborhood limit residents' ability to adopt optimal hygiene practices, regardless of their intentions.</w:t>
      </w:r>
    </w:p>
    <w:p w14:paraId="0255E71E"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Third, </w:t>
      </w:r>
      <w:r w:rsidRPr="00B26494">
        <w:rPr>
          <w:rFonts w:ascii="Times New Roman" w:eastAsia="Times New Roman" w:hAnsi="Times New Roman" w:cs="Times New Roman"/>
          <w:b/>
          <w:bCs/>
          <w:color w:val="0F1115"/>
          <w:kern w:val="0"/>
          <w14:ligatures w14:val="none"/>
        </w:rPr>
        <w:t>sociocultural factors</w:t>
      </w:r>
      <w:r w:rsidRPr="00B26494">
        <w:rPr>
          <w:rFonts w:ascii="Times New Roman" w:eastAsia="Times New Roman" w:hAnsi="Times New Roman" w:cs="Times New Roman"/>
          <w:color w:val="0F1115"/>
          <w:kern w:val="0"/>
          <w14:ligatures w14:val="none"/>
        </w:rPr>
        <w:t>: certain traditional beliefs about water (rainwater perceived as pure, spring water perceived as naturally safe) may influence attitudes. Education level, which was associated with water treatment in our bivariate analysis, is also a major determinant: more educated people better understand the distinction between clear water and safe water.</w:t>
      </w:r>
    </w:p>
    <w:p w14:paraId="34902983"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4.4. Limitations of the Study</w:t>
      </w:r>
    </w:p>
    <w:p w14:paraId="1995689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This study has several limitations. Non-probability sampling limits the generalizability of the results, although the sample size (n = 286) is respectable. Self-reporting may introduce social desirability bias: respondents may have overestimated their hygiene practices to conform to perceived interviewer expectations. The lack of direct observation of practices and measurement </w:t>
      </w:r>
      <w:r w:rsidRPr="00B26494">
        <w:rPr>
          <w:rFonts w:ascii="Times New Roman" w:eastAsia="Times New Roman" w:hAnsi="Times New Roman" w:cs="Times New Roman"/>
          <w:color w:val="0F1115"/>
          <w:kern w:val="0"/>
          <w14:ligatures w14:val="none"/>
        </w:rPr>
        <w:lastRenderedPageBreak/>
        <w:t>of water quality at the point of use is an important limitation. Finally, the study did not measure the actual prevalence of waterborne diseases, which prevents direct correlation of KAP with morbidity indicators.</w:t>
      </w:r>
    </w:p>
    <w:p w14:paraId="13DA968B"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4.5. Implications for Research and Practice</w:t>
      </w:r>
    </w:p>
    <w:p w14:paraId="43CE079F"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Despite these limitations, our results call for concrete actions. Awareness programs need to shift from a purely informational approach to behaviorally oriented approaches, including practical demonstrations, nudging, and community engagement. Emphasis should be placed on water treatment, identified as the weakest link, through subsidies or low-cost distribution of local treatment products. Strengthening water supply and sanitation infrastructure remains a long-term priority.</w:t>
      </w:r>
    </w:p>
    <w:p w14:paraId="52073048"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5. Conclusion</w:t>
      </w:r>
    </w:p>
    <w:p w14:paraId="78D42BF8"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In conclusion, this study reveals that the population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 xml:space="preserve"> neighborhood has a satisfactory foundation of knowledge about waterborne diseases (73.4%), thus refuting our first hypothesis, which assumed insufficient knowledge. </w:t>
      </w:r>
      <w:r w:rsidRPr="00B26494">
        <w:rPr>
          <w:rFonts w:ascii="Times New Roman" w:eastAsia="Times New Roman" w:hAnsi="Times New Roman" w:cs="Times New Roman"/>
          <w:b/>
          <w:bCs/>
          <w:color w:val="0F1115"/>
          <w:kern w:val="0"/>
          <w14:ligatures w14:val="none"/>
        </w:rPr>
        <w:t>However</w:t>
      </w:r>
      <w:r w:rsidRPr="00B26494">
        <w:rPr>
          <w:rFonts w:ascii="Times New Roman" w:eastAsia="Times New Roman" w:hAnsi="Times New Roman" w:cs="Times New Roman"/>
          <w:color w:val="0F1115"/>
          <w:kern w:val="0"/>
          <w14:ligatures w14:val="none"/>
        </w:rPr>
        <w:t>, this knowledge does not translate into adequate preventive practices (only 42.7% treat their water), which </w:t>
      </w:r>
      <w:r w:rsidRPr="00B26494">
        <w:rPr>
          <w:rFonts w:ascii="Times New Roman" w:eastAsia="Times New Roman" w:hAnsi="Times New Roman" w:cs="Times New Roman"/>
          <w:b/>
          <w:bCs/>
          <w:color w:val="0F1115"/>
          <w:kern w:val="0"/>
          <w14:ligatures w14:val="none"/>
        </w:rPr>
        <w:t>confirms our second hypothesis</w:t>
      </w:r>
      <w:r w:rsidRPr="00B26494">
        <w:rPr>
          <w:rFonts w:ascii="Times New Roman" w:eastAsia="Times New Roman" w:hAnsi="Times New Roman" w:cs="Times New Roman"/>
          <w:color w:val="0F1115"/>
          <w:kern w:val="0"/>
          <w14:ligatures w14:val="none"/>
        </w:rPr>
        <w:t xml:space="preserve"> regarding the inadequacy of attitudes and practices despite awareness. Systematic handwashing remains insufficient (57.3%), and water treatment is neglected by </w:t>
      </w:r>
      <w:proofErr w:type="gramStart"/>
      <w:r w:rsidRPr="00B26494">
        <w:rPr>
          <w:rFonts w:ascii="Times New Roman" w:eastAsia="Times New Roman" w:hAnsi="Times New Roman" w:cs="Times New Roman"/>
          <w:color w:val="0F1115"/>
          <w:kern w:val="0"/>
          <w14:ligatures w14:val="none"/>
        </w:rPr>
        <w:t>a majority of</w:t>
      </w:r>
      <w:proofErr w:type="gramEnd"/>
      <w:r w:rsidRPr="00B26494">
        <w:rPr>
          <w:rFonts w:ascii="Times New Roman" w:eastAsia="Times New Roman" w:hAnsi="Times New Roman" w:cs="Times New Roman"/>
          <w:color w:val="0F1115"/>
          <w:kern w:val="0"/>
          <w14:ligatures w14:val="none"/>
        </w:rPr>
        <w:t xml:space="preserve"> the population, exposing them to an increased risk of waterborne morbidity, particularly during the rainy season.</w:t>
      </w:r>
    </w:p>
    <w:p w14:paraId="7EA7C5EC"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These results highlight a double challenge for public health in </w:t>
      </w:r>
      <w:proofErr w:type="spellStart"/>
      <w:r w:rsidRPr="00B26494">
        <w:rPr>
          <w:rFonts w:ascii="Times New Roman" w:eastAsia="Times New Roman" w:hAnsi="Times New Roman" w:cs="Times New Roman"/>
          <w:color w:val="0F1115"/>
          <w:kern w:val="0"/>
          <w14:ligatures w14:val="none"/>
        </w:rPr>
        <w:t>Mbandaka</w:t>
      </w:r>
      <w:proofErr w:type="spellEnd"/>
      <w:r w:rsidRPr="00B26494">
        <w:rPr>
          <w:rFonts w:ascii="Times New Roman" w:eastAsia="Times New Roman" w:hAnsi="Times New Roman" w:cs="Times New Roman"/>
          <w:color w:val="0F1115"/>
          <w:kern w:val="0"/>
          <w14:ligatures w14:val="none"/>
        </w:rPr>
        <w:t>: building on the existing level of knowledge while addressing the structural and behavioral barriers that prevent the translation of this knowledge into practice. Future interventions should prioritize integrated approaches that combine improved access to safe drinking water, promotion of household water treatment, strengthening of sanitation infrastructure, and targeted communication on perceived barriers—particularly involving women and young adults, who represent the active population and the main water managers within households.</w:t>
      </w:r>
    </w:p>
    <w:p w14:paraId="0560E01B"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lastRenderedPageBreak/>
        <w:t xml:space="preserve">In-depth qualitative research is needed to understand the specific barriers to water treatment and to tailor awareness messages to the local context of </w:t>
      </w:r>
      <w:proofErr w:type="spellStart"/>
      <w:r w:rsidRPr="00B26494">
        <w:rPr>
          <w:rFonts w:ascii="Times New Roman" w:eastAsia="Times New Roman" w:hAnsi="Times New Roman" w:cs="Times New Roman"/>
          <w:color w:val="0F1115"/>
          <w:kern w:val="0"/>
          <w14:ligatures w14:val="none"/>
        </w:rPr>
        <w:t>Bombwanza</w:t>
      </w:r>
      <w:proofErr w:type="spellEnd"/>
      <w:r w:rsidRPr="00B26494">
        <w:rPr>
          <w:rFonts w:ascii="Times New Roman" w:eastAsia="Times New Roman" w:hAnsi="Times New Roman" w:cs="Times New Roman"/>
          <w:color w:val="0F1115"/>
          <w:kern w:val="0"/>
          <w14:ligatures w14:val="none"/>
        </w:rPr>
        <w:t>.</w:t>
      </w:r>
    </w:p>
    <w:p w14:paraId="49F450D5"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b/>
          <w:bCs/>
          <w:color w:val="0F1115"/>
          <w:kern w:val="0"/>
          <w14:ligatures w14:val="none"/>
        </w:rPr>
        <w:t>References</w:t>
      </w:r>
    </w:p>
    <w:p w14:paraId="3CCDC808"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 xml:space="preserve">Lontuo-Fogang, R., Khan Payne, V., Fokou Cedric, S., </w:t>
      </w:r>
      <w:proofErr w:type="spellStart"/>
      <w:r w:rsidRPr="00B26494">
        <w:rPr>
          <w:rFonts w:ascii="Times New Roman" w:eastAsia="Times New Roman" w:hAnsi="Times New Roman" w:cs="Times New Roman"/>
          <w:color w:val="0F1115"/>
          <w:kern w:val="0"/>
          <w14:ligatures w14:val="none"/>
        </w:rPr>
        <w:t>Ntangmo</w:t>
      </w:r>
      <w:proofErr w:type="spellEnd"/>
      <w:r w:rsidRPr="00B26494">
        <w:rPr>
          <w:rFonts w:ascii="Times New Roman" w:eastAsia="Times New Roman" w:hAnsi="Times New Roman" w:cs="Times New Roman"/>
          <w:color w:val="0F1115"/>
          <w:kern w:val="0"/>
          <w14:ligatures w14:val="none"/>
        </w:rPr>
        <w:t xml:space="preserve"> Tsafack, H., &amp; </w:t>
      </w:r>
      <w:proofErr w:type="spellStart"/>
      <w:r w:rsidRPr="00B26494">
        <w:rPr>
          <w:rFonts w:ascii="Times New Roman" w:eastAsia="Times New Roman" w:hAnsi="Times New Roman" w:cs="Times New Roman"/>
          <w:color w:val="0F1115"/>
          <w:kern w:val="0"/>
          <w14:ligatures w14:val="none"/>
        </w:rPr>
        <w:t>Bamou</w:t>
      </w:r>
      <w:proofErr w:type="spellEnd"/>
      <w:r w:rsidRPr="00B26494">
        <w:rPr>
          <w:rFonts w:ascii="Times New Roman" w:eastAsia="Times New Roman" w:hAnsi="Times New Roman" w:cs="Times New Roman"/>
          <w:color w:val="0F1115"/>
          <w:kern w:val="0"/>
          <w14:ligatures w14:val="none"/>
        </w:rPr>
        <w:t xml:space="preserve">, R. (2021). A cross-sectional epidemiological survey on drinking water, sanitation and hygiene amongst residents of </w:t>
      </w:r>
      <w:proofErr w:type="spellStart"/>
      <w:r w:rsidRPr="00B26494">
        <w:rPr>
          <w:rFonts w:ascii="Times New Roman" w:eastAsia="Times New Roman" w:hAnsi="Times New Roman" w:cs="Times New Roman"/>
          <w:color w:val="0F1115"/>
          <w:kern w:val="0"/>
          <w14:ligatures w14:val="none"/>
        </w:rPr>
        <w:t>Bamboutos</w:t>
      </w:r>
      <w:proofErr w:type="spellEnd"/>
      <w:r w:rsidRPr="00B26494">
        <w:rPr>
          <w:rFonts w:ascii="Times New Roman" w:eastAsia="Times New Roman" w:hAnsi="Times New Roman" w:cs="Times New Roman"/>
          <w:color w:val="0F1115"/>
          <w:kern w:val="0"/>
          <w14:ligatures w14:val="none"/>
        </w:rPr>
        <w:t xml:space="preserve"> Division, West Region Cameroon: A knowledge, attitude and practice (KAP) study. </w:t>
      </w:r>
      <w:r w:rsidRPr="00B26494">
        <w:rPr>
          <w:rFonts w:ascii="Times New Roman" w:eastAsia="Times New Roman" w:hAnsi="Times New Roman" w:cs="Times New Roman"/>
          <w:i/>
          <w:iCs/>
          <w:color w:val="0F1115"/>
          <w:kern w:val="0"/>
          <w14:ligatures w14:val="none"/>
        </w:rPr>
        <w:t>Journal of Water and Health</w:t>
      </w:r>
      <w:r w:rsidRPr="00B26494">
        <w:rPr>
          <w:rFonts w:ascii="Times New Roman" w:eastAsia="Times New Roman" w:hAnsi="Times New Roman" w:cs="Times New Roman"/>
          <w:color w:val="0F1115"/>
          <w:kern w:val="0"/>
          <w14:ligatures w14:val="none"/>
        </w:rPr>
        <w:t>, 19(4), 561–575. </w:t>
      </w:r>
      <w:hyperlink r:id="rId7" w:tgtFrame="_blank" w:history="1">
        <w:r w:rsidRPr="00B26494">
          <w:rPr>
            <w:rFonts w:ascii="Times New Roman" w:eastAsia="Times New Roman" w:hAnsi="Times New Roman" w:cs="Times New Roman"/>
            <w:color w:val="3964FE"/>
            <w:kern w:val="0"/>
            <w:bdr w:val="single" w:sz="12" w:space="0" w:color="auto" w:frame="1"/>
            <w14:ligatures w14:val="none"/>
          </w:rPr>
          <w:t>https://doi.org/10.2166/wh.2021.012</w:t>
        </w:r>
      </w:hyperlink>
    </w:p>
    <w:p w14:paraId="3D7FADC7"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26494">
        <w:rPr>
          <w:rFonts w:ascii="Times New Roman" w:eastAsia="Times New Roman" w:hAnsi="Times New Roman" w:cs="Times New Roman"/>
          <w:color w:val="0F1115"/>
          <w:kern w:val="0"/>
          <w14:ligatures w14:val="none"/>
        </w:rPr>
        <w:t>Nkoko</w:t>
      </w:r>
      <w:proofErr w:type="spellEnd"/>
      <w:r w:rsidRPr="00B26494">
        <w:rPr>
          <w:rFonts w:ascii="Times New Roman" w:eastAsia="Times New Roman" w:hAnsi="Times New Roman" w:cs="Times New Roman"/>
          <w:color w:val="0F1115"/>
          <w:kern w:val="0"/>
          <w14:ligatures w14:val="none"/>
        </w:rPr>
        <w:t>, D., et al. (undated). </w:t>
      </w:r>
      <w:r w:rsidRPr="00B26494">
        <w:rPr>
          <w:rFonts w:ascii="Times New Roman" w:eastAsia="Times New Roman" w:hAnsi="Times New Roman" w:cs="Times New Roman"/>
          <w:i/>
          <w:iCs/>
          <w:color w:val="0F1115"/>
          <w:kern w:val="0"/>
          <w14:ligatures w14:val="none"/>
        </w:rPr>
        <w:t xml:space="preserve">Knowledge, attitudes and practices of residents of </w:t>
      </w:r>
      <w:proofErr w:type="spellStart"/>
      <w:r w:rsidRPr="00B26494">
        <w:rPr>
          <w:rFonts w:ascii="Times New Roman" w:eastAsia="Times New Roman" w:hAnsi="Times New Roman" w:cs="Times New Roman"/>
          <w:i/>
          <w:iCs/>
          <w:color w:val="0F1115"/>
          <w:kern w:val="0"/>
          <w14:ligatures w14:val="none"/>
        </w:rPr>
        <w:t>Kisenso</w:t>
      </w:r>
      <w:proofErr w:type="spellEnd"/>
      <w:r w:rsidRPr="00B26494">
        <w:rPr>
          <w:rFonts w:ascii="Times New Roman" w:eastAsia="Times New Roman" w:hAnsi="Times New Roman" w:cs="Times New Roman"/>
          <w:i/>
          <w:iCs/>
          <w:color w:val="0F1115"/>
          <w:kern w:val="0"/>
          <w14:ligatures w14:val="none"/>
        </w:rPr>
        <w:t xml:space="preserve"> </w:t>
      </w:r>
      <w:proofErr w:type="spellStart"/>
      <w:r w:rsidRPr="00B26494">
        <w:rPr>
          <w:rFonts w:ascii="Times New Roman" w:eastAsia="Times New Roman" w:hAnsi="Times New Roman" w:cs="Times New Roman"/>
          <w:i/>
          <w:iCs/>
          <w:color w:val="0F1115"/>
          <w:kern w:val="0"/>
          <w14:ligatures w14:val="none"/>
        </w:rPr>
        <w:t>gare</w:t>
      </w:r>
      <w:proofErr w:type="spellEnd"/>
      <w:r w:rsidRPr="00B26494">
        <w:rPr>
          <w:rFonts w:ascii="Times New Roman" w:eastAsia="Times New Roman" w:hAnsi="Times New Roman" w:cs="Times New Roman"/>
          <w:i/>
          <w:iCs/>
          <w:color w:val="0F1115"/>
          <w:kern w:val="0"/>
          <w14:ligatures w14:val="none"/>
        </w:rPr>
        <w:t xml:space="preserve"> neighborhood in Kinshasa (DRC) regarding water-related diseases</w:t>
      </w:r>
      <w:r w:rsidRPr="00B26494">
        <w:rPr>
          <w:rFonts w:ascii="Times New Roman" w:eastAsia="Times New Roman" w:hAnsi="Times New Roman" w:cs="Times New Roman"/>
          <w:color w:val="0F1115"/>
          <w:kern w:val="0"/>
          <w14:ligatures w14:val="none"/>
        </w:rPr>
        <w:t>. Unpublished manuscript, University of Kinshasa. (Note: Full reference not provided in the original thesis)</w:t>
      </w:r>
    </w:p>
    <w:p w14:paraId="663A8115"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Quick, R., Venczel, L., Gonzalez, O., Mintz, E., &amp; Highsmith, A. (1999). Knowledge, attitudes, and practices related to treatment and consumption of water during a cholera outbreak in rural Artibonite Department, Haiti. </w:t>
      </w:r>
      <w:r w:rsidRPr="00B26494">
        <w:rPr>
          <w:rFonts w:ascii="Times New Roman" w:eastAsia="Times New Roman" w:hAnsi="Times New Roman" w:cs="Times New Roman"/>
          <w:i/>
          <w:iCs/>
          <w:color w:val="0F1115"/>
          <w:kern w:val="0"/>
          <w14:ligatures w14:val="none"/>
        </w:rPr>
        <w:t>The American Journal of Tropical Medicine and Hygiene</w:t>
      </w:r>
      <w:r w:rsidRPr="00B26494">
        <w:rPr>
          <w:rFonts w:ascii="Times New Roman" w:eastAsia="Times New Roman" w:hAnsi="Times New Roman" w:cs="Times New Roman"/>
          <w:color w:val="0F1115"/>
          <w:kern w:val="0"/>
          <w14:ligatures w14:val="none"/>
        </w:rPr>
        <w:t>, 61(5), 742–745. </w:t>
      </w:r>
      <w:hyperlink r:id="rId8" w:tgtFrame="_blank" w:history="1">
        <w:r w:rsidRPr="00B26494">
          <w:rPr>
            <w:rFonts w:ascii="Times New Roman" w:eastAsia="Times New Roman" w:hAnsi="Times New Roman" w:cs="Times New Roman"/>
            <w:color w:val="3964FE"/>
            <w:kern w:val="0"/>
            <w:bdr w:val="single" w:sz="12" w:space="0" w:color="auto" w:frame="1"/>
            <w14:ligatures w14:val="none"/>
          </w:rPr>
          <w:t>https://doi.org/10.4269/ajtmh.1999.61.742</w:t>
        </w:r>
      </w:hyperlink>
    </w:p>
    <w:p w14:paraId="6D770201"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Rosenstock, I. M. (1974). Historical origins of the health belief model. </w:t>
      </w:r>
      <w:r w:rsidRPr="00B26494">
        <w:rPr>
          <w:rFonts w:ascii="Times New Roman" w:eastAsia="Times New Roman" w:hAnsi="Times New Roman" w:cs="Times New Roman"/>
          <w:i/>
          <w:iCs/>
          <w:color w:val="0F1115"/>
          <w:kern w:val="0"/>
          <w14:ligatures w14:val="none"/>
        </w:rPr>
        <w:t>Health Education Monographs</w:t>
      </w:r>
      <w:r w:rsidRPr="00B26494">
        <w:rPr>
          <w:rFonts w:ascii="Times New Roman" w:eastAsia="Times New Roman" w:hAnsi="Times New Roman" w:cs="Times New Roman"/>
          <w:color w:val="0F1115"/>
          <w:kern w:val="0"/>
          <w14:ligatures w14:val="none"/>
        </w:rPr>
        <w:t>, 2(4), 328–335.</w:t>
      </w:r>
    </w:p>
    <w:p w14:paraId="0994D87A"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Sibiya, J. E., &amp; Gumbo, J. R. (2013). Knowledge, attitude and practices (KAP) survey on water, sanitation and hygiene in selected schools in Vhembe District, Limpopo, South Africa. </w:t>
      </w:r>
      <w:r w:rsidRPr="00B26494">
        <w:rPr>
          <w:rFonts w:ascii="Times New Roman" w:eastAsia="Times New Roman" w:hAnsi="Times New Roman" w:cs="Times New Roman"/>
          <w:i/>
          <w:iCs/>
          <w:color w:val="0F1115"/>
          <w:kern w:val="0"/>
          <w14:ligatures w14:val="none"/>
        </w:rPr>
        <w:t>International Journal of Environmental Research and Public Health</w:t>
      </w:r>
      <w:r w:rsidRPr="00B26494">
        <w:rPr>
          <w:rFonts w:ascii="Times New Roman" w:eastAsia="Times New Roman" w:hAnsi="Times New Roman" w:cs="Times New Roman"/>
          <w:color w:val="0F1115"/>
          <w:kern w:val="0"/>
          <w14:ligatures w14:val="none"/>
        </w:rPr>
        <w:t>, 10(6), 2282–2295. </w:t>
      </w:r>
      <w:hyperlink r:id="rId9" w:tgtFrame="_blank" w:history="1">
        <w:r w:rsidRPr="00B26494">
          <w:rPr>
            <w:rFonts w:ascii="Times New Roman" w:eastAsia="Times New Roman" w:hAnsi="Times New Roman" w:cs="Times New Roman"/>
            <w:color w:val="3964FE"/>
            <w:kern w:val="0"/>
            <w:bdr w:val="single" w:sz="12" w:space="0" w:color="auto" w:frame="1"/>
            <w14:ligatures w14:val="none"/>
          </w:rPr>
          <w:t>https://doi.org/10.3390/ijerph10062282</w:t>
        </w:r>
      </w:hyperlink>
    </w:p>
    <w:p w14:paraId="2E417A64"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B26494">
        <w:rPr>
          <w:rFonts w:ascii="Times New Roman" w:eastAsia="Times New Roman" w:hAnsi="Times New Roman" w:cs="Times New Roman"/>
          <w:color w:val="0F1115"/>
          <w:kern w:val="0"/>
          <w14:ligatures w14:val="none"/>
        </w:rPr>
        <w:t>Ucama</w:t>
      </w:r>
      <w:proofErr w:type="spellEnd"/>
      <w:r w:rsidRPr="00B26494">
        <w:rPr>
          <w:rFonts w:ascii="Times New Roman" w:eastAsia="Times New Roman" w:hAnsi="Times New Roman" w:cs="Times New Roman"/>
          <w:color w:val="0F1115"/>
          <w:kern w:val="0"/>
          <w14:ligatures w14:val="none"/>
        </w:rPr>
        <w:t>, P. (2013). </w:t>
      </w:r>
      <w:r w:rsidRPr="00B26494">
        <w:rPr>
          <w:rFonts w:ascii="Times New Roman" w:eastAsia="Times New Roman" w:hAnsi="Times New Roman" w:cs="Times New Roman"/>
          <w:i/>
          <w:iCs/>
          <w:color w:val="0F1115"/>
          <w:kern w:val="0"/>
          <w14:ligatures w14:val="none"/>
        </w:rPr>
        <w:t>Assessment of the knowledge level of medical and paramedical staff on blood transfusion in Kisangani, DRC</w:t>
      </w:r>
      <w:r w:rsidRPr="00B26494">
        <w:rPr>
          <w:rFonts w:ascii="Times New Roman" w:eastAsia="Times New Roman" w:hAnsi="Times New Roman" w:cs="Times New Roman"/>
          <w:color w:val="0F1115"/>
          <w:kern w:val="0"/>
          <w14:ligatures w14:val="none"/>
        </w:rPr>
        <w:t> [Unpublished master's thesis]. University of Kisangani.</w:t>
      </w:r>
    </w:p>
    <w:p w14:paraId="21011F67" w14:textId="77777777" w:rsidR="00B26494" w:rsidRPr="00B26494" w:rsidRDefault="00B26494" w:rsidP="00B26494">
      <w:pPr>
        <w:shd w:val="clear" w:color="auto" w:fill="FFFFFF"/>
        <w:spacing w:before="240" w:after="240" w:line="420" w:lineRule="atLeast"/>
        <w:rPr>
          <w:rFonts w:ascii="Times New Roman" w:eastAsia="Times New Roman" w:hAnsi="Times New Roman" w:cs="Times New Roman"/>
          <w:color w:val="0F1115"/>
          <w:kern w:val="0"/>
          <w14:ligatures w14:val="none"/>
        </w:rPr>
      </w:pPr>
      <w:r w:rsidRPr="00B26494">
        <w:rPr>
          <w:rFonts w:ascii="Times New Roman" w:eastAsia="Times New Roman" w:hAnsi="Times New Roman" w:cs="Times New Roman"/>
          <w:color w:val="0F1115"/>
          <w:kern w:val="0"/>
          <w14:ligatures w14:val="none"/>
        </w:rPr>
        <w:t>World Health Organization. (2017). </w:t>
      </w:r>
      <w:r w:rsidRPr="00B26494">
        <w:rPr>
          <w:rFonts w:ascii="Times New Roman" w:eastAsia="Times New Roman" w:hAnsi="Times New Roman" w:cs="Times New Roman"/>
          <w:i/>
          <w:iCs/>
          <w:color w:val="0F1115"/>
          <w:kern w:val="0"/>
          <w14:ligatures w14:val="none"/>
        </w:rPr>
        <w:t>Blood safety and availability</w:t>
      </w:r>
      <w:r w:rsidRPr="00B26494">
        <w:rPr>
          <w:rFonts w:ascii="Times New Roman" w:eastAsia="Times New Roman" w:hAnsi="Times New Roman" w:cs="Times New Roman"/>
          <w:color w:val="0F1115"/>
          <w:kern w:val="0"/>
          <w14:ligatures w14:val="none"/>
        </w:rPr>
        <w:t>. WHO. </w:t>
      </w:r>
      <w:hyperlink r:id="rId10" w:tgtFrame="_blank" w:history="1">
        <w:r w:rsidRPr="00B26494">
          <w:rPr>
            <w:rFonts w:ascii="Times New Roman" w:eastAsia="Times New Roman" w:hAnsi="Times New Roman" w:cs="Times New Roman"/>
            <w:color w:val="3964FE"/>
            <w:kern w:val="0"/>
            <w:bdr w:val="single" w:sz="12" w:space="0" w:color="auto" w:frame="1"/>
            <w14:ligatures w14:val="none"/>
          </w:rPr>
          <w:t>https://www.who.int/news-room/fact-sheets/detail/blood-safety-and-availability</w:t>
        </w:r>
      </w:hyperlink>
    </w:p>
    <w:p w14:paraId="2A1BC1B8" w14:textId="77777777" w:rsidR="00B41904" w:rsidRPr="00B26494" w:rsidRDefault="00B41904">
      <w:pPr>
        <w:rPr>
          <w:rFonts w:ascii="Times New Roman" w:hAnsi="Times New Roman" w:cs="Times New Roman"/>
        </w:rPr>
      </w:pPr>
    </w:p>
    <w:sectPr w:rsidR="00B41904" w:rsidRPr="00B26494">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F3591" w14:textId="77777777" w:rsidR="00B74DF4" w:rsidRDefault="00B74DF4" w:rsidP="00B26494">
      <w:pPr>
        <w:spacing w:after="0" w:line="240" w:lineRule="auto"/>
      </w:pPr>
      <w:r>
        <w:separator/>
      </w:r>
    </w:p>
  </w:endnote>
  <w:endnote w:type="continuationSeparator" w:id="0">
    <w:p w14:paraId="109F0E3B" w14:textId="77777777" w:rsidR="00B74DF4" w:rsidRDefault="00B74DF4" w:rsidP="00B26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7392657"/>
      <w:docPartObj>
        <w:docPartGallery w:val="Page Numbers (Bottom of Page)"/>
        <w:docPartUnique/>
      </w:docPartObj>
    </w:sdtPr>
    <w:sdtContent>
      <w:p w14:paraId="50467B37" w14:textId="693FAE21" w:rsidR="00B26494" w:rsidRDefault="00B26494" w:rsidP="002677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BFC7CA3" w14:textId="77777777" w:rsidR="00B26494" w:rsidRDefault="00B26494" w:rsidP="00B264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330371"/>
      <w:docPartObj>
        <w:docPartGallery w:val="Page Numbers (Bottom of Page)"/>
        <w:docPartUnique/>
      </w:docPartObj>
    </w:sdtPr>
    <w:sdtContent>
      <w:p w14:paraId="0C3D1E7F" w14:textId="5C2D012F" w:rsidR="00B26494" w:rsidRDefault="00B26494" w:rsidP="002677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704B1A4E" w14:textId="77777777" w:rsidR="00B26494" w:rsidRDefault="00B26494" w:rsidP="00B264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0B8E" w14:textId="77777777" w:rsidR="00B74DF4" w:rsidRDefault="00B74DF4" w:rsidP="00B26494">
      <w:pPr>
        <w:spacing w:after="0" w:line="240" w:lineRule="auto"/>
      </w:pPr>
      <w:r>
        <w:separator/>
      </w:r>
    </w:p>
  </w:footnote>
  <w:footnote w:type="continuationSeparator" w:id="0">
    <w:p w14:paraId="30B412F7" w14:textId="77777777" w:rsidR="00B74DF4" w:rsidRDefault="00B74DF4" w:rsidP="00B264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60741"/>
    <w:multiLevelType w:val="multilevel"/>
    <w:tmpl w:val="0DAE3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3902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94"/>
    <w:rsid w:val="002C4B73"/>
    <w:rsid w:val="003F70DD"/>
    <w:rsid w:val="008F6EA0"/>
    <w:rsid w:val="009B15B5"/>
    <w:rsid w:val="00AC0C13"/>
    <w:rsid w:val="00B26494"/>
    <w:rsid w:val="00B41904"/>
    <w:rsid w:val="00B74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3DF0"/>
  <w15:chartTrackingRefBased/>
  <w15:docId w15:val="{85CACC51-FE15-6D43-A4AA-645EE5BED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6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4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4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4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4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494"/>
    <w:rPr>
      <w:rFonts w:eastAsiaTheme="majorEastAsia" w:cstheme="majorBidi"/>
      <w:color w:val="272727" w:themeColor="text1" w:themeTint="D8"/>
    </w:rPr>
  </w:style>
  <w:style w:type="paragraph" w:styleId="Title">
    <w:name w:val="Title"/>
    <w:basedOn w:val="Normal"/>
    <w:next w:val="Normal"/>
    <w:link w:val="TitleChar"/>
    <w:uiPriority w:val="10"/>
    <w:qFormat/>
    <w:rsid w:val="00B26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494"/>
    <w:pPr>
      <w:spacing w:before="160"/>
      <w:jc w:val="center"/>
    </w:pPr>
    <w:rPr>
      <w:i/>
      <w:iCs/>
      <w:color w:val="404040" w:themeColor="text1" w:themeTint="BF"/>
    </w:rPr>
  </w:style>
  <w:style w:type="character" w:customStyle="1" w:styleId="QuoteChar">
    <w:name w:val="Quote Char"/>
    <w:basedOn w:val="DefaultParagraphFont"/>
    <w:link w:val="Quote"/>
    <w:uiPriority w:val="29"/>
    <w:rsid w:val="00B26494"/>
    <w:rPr>
      <w:i/>
      <w:iCs/>
      <w:color w:val="404040" w:themeColor="text1" w:themeTint="BF"/>
    </w:rPr>
  </w:style>
  <w:style w:type="paragraph" w:styleId="ListParagraph">
    <w:name w:val="List Paragraph"/>
    <w:basedOn w:val="Normal"/>
    <w:uiPriority w:val="34"/>
    <w:qFormat/>
    <w:rsid w:val="00B26494"/>
    <w:pPr>
      <w:ind w:left="720"/>
      <w:contextualSpacing/>
    </w:pPr>
  </w:style>
  <w:style w:type="character" w:styleId="IntenseEmphasis">
    <w:name w:val="Intense Emphasis"/>
    <w:basedOn w:val="DefaultParagraphFont"/>
    <w:uiPriority w:val="21"/>
    <w:qFormat/>
    <w:rsid w:val="00B26494"/>
    <w:rPr>
      <w:i/>
      <w:iCs/>
      <w:color w:val="0F4761" w:themeColor="accent1" w:themeShade="BF"/>
    </w:rPr>
  </w:style>
  <w:style w:type="paragraph" w:styleId="IntenseQuote">
    <w:name w:val="Intense Quote"/>
    <w:basedOn w:val="Normal"/>
    <w:next w:val="Normal"/>
    <w:link w:val="IntenseQuoteChar"/>
    <w:uiPriority w:val="30"/>
    <w:qFormat/>
    <w:rsid w:val="00B26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494"/>
    <w:rPr>
      <w:i/>
      <w:iCs/>
      <w:color w:val="0F4761" w:themeColor="accent1" w:themeShade="BF"/>
    </w:rPr>
  </w:style>
  <w:style w:type="character" w:styleId="IntenseReference">
    <w:name w:val="Intense Reference"/>
    <w:basedOn w:val="DefaultParagraphFont"/>
    <w:uiPriority w:val="32"/>
    <w:qFormat/>
    <w:rsid w:val="00B26494"/>
    <w:rPr>
      <w:b/>
      <w:bCs/>
      <w:smallCaps/>
      <w:color w:val="0F4761" w:themeColor="accent1" w:themeShade="BF"/>
      <w:spacing w:val="5"/>
    </w:rPr>
  </w:style>
  <w:style w:type="paragraph" w:customStyle="1" w:styleId="ds-markdown-paragraph">
    <w:name w:val="ds-markdown-paragraph"/>
    <w:basedOn w:val="Normal"/>
    <w:rsid w:val="00B2649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26494"/>
    <w:rPr>
      <w:b/>
      <w:bCs/>
    </w:rPr>
  </w:style>
  <w:style w:type="character" w:styleId="Emphasis">
    <w:name w:val="Emphasis"/>
    <w:basedOn w:val="DefaultParagraphFont"/>
    <w:uiPriority w:val="20"/>
    <w:qFormat/>
    <w:rsid w:val="00B26494"/>
    <w:rPr>
      <w:i/>
      <w:iCs/>
    </w:rPr>
  </w:style>
  <w:style w:type="character" w:styleId="Hyperlink">
    <w:name w:val="Hyperlink"/>
    <w:basedOn w:val="DefaultParagraphFont"/>
    <w:uiPriority w:val="99"/>
    <w:semiHidden/>
    <w:unhideWhenUsed/>
    <w:rsid w:val="00B26494"/>
    <w:rPr>
      <w:color w:val="0000FF"/>
      <w:u w:val="single"/>
    </w:rPr>
  </w:style>
  <w:style w:type="paragraph" w:styleId="Footer">
    <w:name w:val="footer"/>
    <w:basedOn w:val="Normal"/>
    <w:link w:val="FooterChar"/>
    <w:uiPriority w:val="99"/>
    <w:unhideWhenUsed/>
    <w:rsid w:val="00B26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494"/>
  </w:style>
  <w:style w:type="character" w:styleId="PageNumber">
    <w:name w:val="page number"/>
    <w:basedOn w:val="DefaultParagraphFont"/>
    <w:uiPriority w:val="99"/>
    <w:semiHidden/>
    <w:unhideWhenUsed/>
    <w:rsid w:val="00B26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269/ajtmh.1999.61.74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2166/wh.2021.012"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who.int/news-room/fact-sheets/detail/blood-safety-and-availability" TargetMode="External"/><Relationship Id="rId4" Type="http://schemas.openxmlformats.org/officeDocument/2006/relationships/webSettings" Target="webSettings.xml"/><Relationship Id="rId9" Type="http://schemas.openxmlformats.org/officeDocument/2006/relationships/hyperlink" Target="https://doi.org/10.3390/ijerph1006228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2648</Words>
  <Characters>15098</Characters>
  <Application>Microsoft Office Word</Application>
  <DocSecurity>0</DocSecurity>
  <Lines>125</Lines>
  <Paragraphs>35</Paragraphs>
  <ScaleCrop>false</ScaleCrop>
  <Company/>
  <LinksUpToDate>false</LinksUpToDate>
  <CharactersWithSpaces>17711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1</cp:revision>
  <dcterms:created xsi:type="dcterms:W3CDTF">2026-05-12T09:31:00Z</dcterms:created>
  <dcterms:modified xsi:type="dcterms:W3CDTF">2026-05-12T09:35:00Z</dcterms:modified>
</cp:coreProperties>
</file>