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EFB65" w14:textId="46AC4B87" w:rsidR="004C5DA9" w:rsidRPr="004C5DA9" w:rsidRDefault="004C5DA9" w:rsidP="00B046F6">
      <w:pPr>
        <w:shd w:val="clear" w:color="auto" w:fill="FFFFFF"/>
        <w:spacing w:before="240" w:after="240" w:line="420" w:lineRule="atLeast"/>
        <w:jc w:val="center"/>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 xml:space="preserve">High Burden of Malnutrition Among Children Aged 0–59 Months in </w:t>
      </w:r>
      <w:proofErr w:type="spellStart"/>
      <w:r w:rsidRPr="004C5DA9">
        <w:rPr>
          <w:rFonts w:ascii="Times New Roman" w:eastAsia="Times New Roman" w:hAnsi="Times New Roman" w:cs="Times New Roman"/>
          <w:b/>
          <w:bCs/>
          <w:color w:val="0F1115"/>
          <w:kern w:val="0"/>
          <w14:ligatures w14:val="none"/>
        </w:rPr>
        <w:t>Wangata</w:t>
      </w:r>
      <w:proofErr w:type="spellEnd"/>
      <w:r w:rsidRPr="004C5DA9">
        <w:rPr>
          <w:rFonts w:ascii="Times New Roman" w:eastAsia="Times New Roman" w:hAnsi="Times New Roman" w:cs="Times New Roman"/>
          <w:b/>
          <w:bCs/>
          <w:color w:val="0F1115"/>
          <w:kern w:val="0"/>
          <w14:ligatures w14:val="none"/>
        </w:rPr>
        <w:t xml:space="preserve"> Health Zone, Democratic Republic of Congo: A Cross-Sectional Study</w:t>
      </w:r>
    </w:p>
    <w:p w14:paraId="62CF131A"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Running head:</w:t>
      </w:r>
      <w:r w:rsidRPr="004C5DA9">
        <w:rPr>
          <w:rFonts w:ascii="Times New Roman" w:eastAsia="Times New Roman" w:hAnsi="Times New Roman" w:cs="Times New Roman"/>
          <w:color w:val="0F1115"/>
          <w:kern w:val="0"/>
          <w14:ligatures w14:val="none"/>
        </w:rPr>
        <w:t xml:space="preserve"> Child malnutrition in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DRC</w:t>
      </w:r>
    </w:p>
    <w:p w14:paraId="3D1CBC3D"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Article type:</w:t>
      </w:r>
      <w:r w:rsidRPr="004C5DA9">
        <w:rPr>
          <w:rFonts w:ascii="Times New Roman" w:eastAsia="Times New Roman" w:hAnsi="Times New Roman" w:cs="Times New Roman"/>
          <w:color w:val="0F1115"/>
          <w:kern w:val="0"/>
          <w14:ligatures w14:val="none"/>
        </w:rPr>
        <w:t> Original research</w:t>
      </w:r>
    </w:p>
    <w:p w14:paraId="2C253328" w14:textId="77777777"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t>Abstract</w:t>
      </w:r>
    </w:p>
    <w:p w14:paraId="2A284E70"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Background:</w:t>
      </w:r>
      <w:r w:rsidRPr="004C5DA9">
        <w:rPr>
          <w:rFonts w:ascii="Times New Roman" w:eastAsia="Times New Roman" w:hAnsi="Times New Roman" w:cs="Times New Roman"/>
          <w:color w:val="0F1115"/>
          <w:kern w:val="0"/>
          <w14:ligatures w14:val="none"/>
        </w:rPr>
        <w:t xml:space="preserve"> Malnutrition remains a leading cause of child morbidity and mortality in low-income countries. In the Democratic Republic of the Congo (DRC), nutritional data are often scarce at the health zone level, limiting evidence-based interventions. This study assessed the nutritional status of children aged 0–59 months in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Équateur Province, and identified associated factors.</w:t>
      </w:r>
    </w:p>
    <w:p w14:paraId="6755EE69"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Methods:</w:t>
      </w:r>
      <w:r w:rsidRPr="004C5DA9">
        <w:rPr>
          <w:rFonts w:ascii="Times New Roman" w:eastAsia="Times New Roman" w:hAnsi="Times New Roman" w:cs="Times New Roman"/>
          <w:color w:val="0F1115"/>
          <w:kern w:val="0"/>
          <w14:ligatures w14:val="none"/>
        </w:rPr>
        <w:t xml:space="preserve"> A community-based cross-sectional study was conducted from June to July 2024 in </w:t>
      </w:r>
      <w:proofErr w:type="spellStart"/>
      <w:r w:rsidRPr="004C5DA9">
        <w:rPr>
          <w:rFonts w:ascii="Times New Roman" w:eastAsia="Times New Roman" w:hAnsi="Times New Roman" w:cs="Times New Roman"/>
          <w:color w:val="0F1115"/>
          <w:kern w:val="0"/>
          <w14:ligatures w14:val="none"/>
        </w:rPr>
        <w:t>Losanganya</w:t>
      </w:r>
      <w:proofErr w:type="spellEnd"/>
      <w:r w:rsidRPr="004C5DA9">
        <w:rPr>
          <w:rFonts w:ascii="Times New Roman" w:eastAsia="Times New Roman" w:hAnsi="Times New Roman" w:cs="Times New Roman"/>
          <w:color w:val="0F1115"/>
          <w:kern w:val="0"/>
          <w14:ligatures w14:val="none"/>
        </w:rPr>
        <w:t xml:space="preserve"> health area,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Two hundred children aged 0–59 months were enrolled through exhaustive sampling in five randomly selected villages. Anthropometric measurements (weight, height, mid-upper arm circumference) were taken, and mothers were interviewed using a pretested questionnaire. Nutritional indicators were calculated using WHO growth standards (z-scores).</w:t>
      </w:r>
    </w:p>
    <w:p w14:paraId="66A8162C"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Results:</w:t>
      </w:r>
      <w:r w:rsidRPr="004C5DA9">
        <w:rPr>
          <w:rFonts w:ascii="Times New Roman" w:eastAsia="Times New Roman" w:hAnsi="Times New Roman" w:cs="Times New Roman"/>
          <w:color w:val="0F1115"/>
          <w:kern w:val="0"/>
          <w14:ligatures w14:val="none"/>
        </w:rPr>
        <w:t> The prevalence of underweight (weight-for-age) was 35% (95% CI: 28.5–41.9), stunting (height-for-age) 40% (95% CI: 33.2–47.1), and wasting (weight-for-height) 25% (95% CI: 19.2–31.6). Severe acute malnutrition (MUAC &lt;115 mm) was found in 7.5% of children. Only 60% of children received exclusive breastfeeding for six months, and only 20% had timely complementary feeding at six months. Maternal education was strongly inversely associated with malnutrition: 56% of children of uneducated mothers were malnourished compared with 9% of children of mothers with secondary education (p&lt;0.001). Lack of safe drinking water (35%), recent diarrhea (42.5%), and incomplete vaccination (30%) were also significant contributing factors.</w:t>
      </w:r>
    </w:p>
    <w:p w14:paraId="596782A1"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lastRenderedPageBreak/>
        <w:t>Conclusion:</w:t>
      </w:r>
      <w:r w:rsidRPr="004C5DA9">
        <w:rPr>
          <w:rFonts w:ascii="Times New Roman" w:eastAsia="Times New Roman" w:hAnsi="Times New Roman" w:cs="Times New Roman"/>
          <w:color w:val="0F1115"/>
          <w:kern w:val="0"/>
          <w14:ligatures w14:val="none"/>
        </w:rPr>
        <w:t xml:space="preserve"> Malnutrition in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is a severe public health emergency, exceeding WHO crisis thresholds. Urgent interventions should include maternal education, promotion of exclusive breastfeeding, improved water access, and community-based management of acute malnutrition.</w:t>
      </w:r>
    </w:p>
    <w:p w14:paraId="730B42DC" w14:textId="437633A5"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Keywords:</w:t>
      </w:r>
      <w:r w:rsidRPr="004C5DA9">
        <w:rPr>
          <w:rFonts w:ascii="Times New Roman" w:eastAsia="Times New Roman" w:hAnsi="Times New Roman" w:cs="Times New Roman"/>
          <w:color w:val="0F1115"/>
          <w:kern w:val="0"/>
          <w14:ligatures w14:val="none"/>
        </w:rPr>
        <w:t xml:space="preserve"> child malnutrition, stunting, wasting, Democratic Republic of Congo,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social determinants of health</w:t>
      </w:r>
    </w:p>
    <w:p w14:paraId="2F4AE59E" w14:textId="77777777"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t>1. Introduction</w:t>
      </w:r>
    </w:p>
    <w:p w14:paraId="6757A893"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Globally, nearly 149 million children under five years are stunted, and 45 million are wasted (UNICEF/WHO/World Bank, 2023). Sub-Saharan Africa carries the highest burden, and the Democratic Republic of the Congo (DRC) is among the most affected countries. The DRC has one of the highest child mortality rates in the world, with malnutrition contributing to nearly half of all deaths under five (Black et al., 2013).</w:t>
      </w:r>
    </w:p>
    <w:p w14:paraId="28EB08DD"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The 2018 DRC Demographic and Health Survey (EDS-RDC) reported national prevalences of 23% underweight, 37% stunting, and 7% wasting. However, national averages hide large subnational disparities. Équateur Province, a remote and underserved region, is suspected to have higher rates, but recent data are lacking.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located in </w:t>
      </w:r>
      <w:proofErr w:type="spellStart"/>
      <w:r w:rsidRPr="004C5DA9">
        <w:rPr>
          <w:rFonts w:ascii="Times New Roman" w:eastAsia="Times New Roman" w:hAnsi="Times New Roman" w:cs="Times New Roman"/>
          <w:color w:val="0F1115"/>
          <w:kern w:val="0"/>
          <w14:ligatures w14:val="none"/>
        </w:rPr>
        <w:t>Mbandaka</w:t>
      </w:r>
      <w:proofErr w:type="spellEnd"/>
      <w:r w:rsidRPr="004C5DA9">
        <w:rPr>
          <w:rFonts w:ascii="Times New Roman" w:eastAsia="Times New Roman" w:hAnsi="Times New Roman" w:cs="Times New Roman"/>
          <w:color w:val="0F1115"/>
          <w:kern w:val="0"/>
          <w14:ligatures w14:val="none"/>
        </w:rPr>
        <w:t xml:space="preserve"> city, faces recurrent food insecurity, poor water access, and low maternal education. Without accurate local data, interventions cannot be targeted effectively.</w:t>
      </w:r>
    </w:p>
    <w:p w14:paraId="5BBFCA9E"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This study aimed to: (1) determine the prevalence of underweight, stunting, and wasting among children aged 0–59 months in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(2) identify sociodemographic, dietary, and environmental factors associated with malnutrition; and (3) propose evidence-based interventions.</w:t>
      </w:r>
    </w:p>
    <w:p w14:paraId="3EE26F61" w14:textId="77777777"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t>2. Methods</w:t>
      </w:r>
    </w:p>
    <w:p w14:paraId="0FD7B209"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2.1 Study design and setting</w:t>
      </w:r>
    </w:p>
    <w:p w14:paraId="60D5B5EB"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lastRenderedPageBreak/>
        <w:t xml:space="preserve">We conducted a community-based cross-sectional study in </w:t>
      </w:r>
      <w:proofErr w:type="spellStart"/>
      <w:r w:rsidRPr="004C5DA9">
        <w:rPr>
          <w:rFonts w:ascii="Times New Roman" w:eastAsia="Times New Roman" w:hAnsi="Times New Roman" w:cs="Times New Roman"/>
          <w:color w:val="0F1115"/>
          <w:kern w:val="0"/>
          <w14:ligatures w14:val="none"/>
        </w:rPr>
        <w:t>Losanganya</w:t>
      </w:r>
      <w:proofErr w:type="spellEnd"/>
      <w:r w:rsidRPr="004C5DA9">
        <w:rPr>
          <w:rFonts w:ascii="Times New Roman" w:eastAsia="Times New Roman" w:hAnsi="Times New Roman" w:cs="Times New Roman"/>
          <w:color w:val="0F1115"/>
          <w:kern w:val="0"/>
          <w14:ligatures w14:val="none"/>
        </w:rPr>
        <w:t xml:space="preserve"> health area,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Équateur Province, DRC.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covers 250 km², has 11 health areas, and an estimated population of 251,181 inhabitants. </w:t>
      </w:r>
      <w:proofErr w:type="spellStart"/>
      <w:r w:rsidRPr="004C5DA9">
        <w:rPr>
          <w:rFonts w:ascii="Times New Roman" w:eastAsia="Times New Roman" w:hAnsi="Times New Roman" w:cs="Times New Roman"/>
          <w:color w:val="0F1115"/>
          <w:kern w:val="0"/>
          <w14:ligatures w14:val="none"/>
        </w:rPr>
        <w:t>Losanganya</w:t>
      </w:r>
      <w:proofErr w:type="spellEnd"/>
      <w:r w:rsidRPr="004C5DA9">
        <w:rPr>
          <w:rFonts w:ascii="Times New Roman" w:eastAsia="Times New Roman" w:hAnsi="Times New Roman" w:cs="Times New Roman"/>
          <w:color w:val="0F1115"/>
          <w:kern w:val="0"/>
          <w14:ligatures w14:val="none"/>
        </w:rPr>
        <w:t xml:space="preserve"> health area has 14,270 inhabitants. The area is predominantly low-income, with agriculture and small trade as main livelihoods. Data collection took place from June to July 2024.</w:t>
      </w:r>
    </w:p>
    <w:p w14:paraId="01B0F07C"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2.2 Population and sampling</w:t>
      </w:r>
    </w:p>
    <w:p w14:paraId="7C067F0A"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The target population was all children aged 0–59 months residing in </w:t>
      </w:r>
      <w:proofErr w:type="spellStart"/>
      <w:r w:rsidRPr="004C5DA9">
        <w:rPr>
          <w:rFonts w:ascii="Times New Roman" w:eastAsia="Times New Roman" w:hAnsi="Times New Roman" w:cs="Times New Roman"/>
          <w:color w:val="0F1115"/>
          <w:kern w:val="0"/>
          <w14:ligatures w14:val="none"/>
        </w:rPr>
        <w:t>Losanganya</w:t>
      </w:r>
      <w:proofErr w:type="spellEnd"/>
      <w:r w:rsidRPr="004C5DA9">
        <w:rPr>
          <w:rFonts w:ascii="Times New Roman" w:eastAsia="Times New Roman" w:hAnsi="Times New Roman" w:cs="Times New Roman"/>
          <w:color w:val="0F1115"/>
          <w:kern w:val="0"/>
          <w14:ligatures w14:val="none"/>
        </w:rPr>
        <w:t xml:space="preserve">. Five villages were randomly selected from the health area. All eligible children in these villages (exhaustive sampling) were invited to participate. Inclusion criteria </w:t>
      </w:r>
      <w:proofErr w:type="gramStart"/>
      <w:r w:rsidRPr="004C5DA9">
        <w:rPr>
          <w:rFonts w:ascii="Times New Roman" w:eastAsia="Times New Roman" w:hAnsi="Times New Roman" w:cs="Times New Roman"/>
          <w:color w:val="0F1115"/>
          <w:kern w:val="0"/>
          <w14:ligatures w14:val="none"/>
        </w:rPr>
        <w:t>were:</w:t>
      </w:r>
      <w:proofErr w:type="gramEnd"/>
      <w:r w:rsidRPr="004C5DA9">
        <w:rPr>
          <w:rFonts w:ascii="Times New Roman" w:eastAsia="Times New Roman" w:hAnsi="Times New Roman" w:cs="Times New Roman"/>
          <w:color w:val="0F1115"/>
          <w:kern w:val="0"/>
          <w14:ligatures w14:val="none"/>
        </w:rPr>
        <w:t xml:space="preserve"> age 0–59 months, residence in the selected villages for at least six months, and parental consent. Excluded were children with severe acute illness requiring hospitalization (two children) and those whose parents refused consent (none). The final sample comprised 200 children.</w:t>
      </w:r>
    </w:p>
    <w:p w14:paraId="2044931B"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2.3 Data collection</w:t>
      </w:r>
    </w:p>
    <w:p w14:paraId="01CC2F94"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Mothers or primary caregivers were interviewed using a structured, pretested questionnaire </w:t>
      </w:r>
      <w:proofErr w:type="gramStart"/>
      <w:r w:rsidRPr="004C5DA9">
        <w:rPr>
          <w:rFonts w:ascii="Times New Roman" w:eastAsia="Times New Roman" w:hAnsi="Times New Roman" w:cs="Times New Roman"/>
          <w:color w:val="0F1115"/>
          <w:kern w:val="0"/>
          <w14:ligatures w14:val="none"/>
        </w:rPr>
        <w:t>covering:</w:t>
      </w:r>
      <w:proofErr w:type="gramEnd"/>
      <w:r w:rsidRPr="004C5DA9">
        <w:rPr>
          <w:rFonts w:ascii="Times New Roman" w:eastAsia="Times New Roman" w:hAnsi="Times New Roman" w:cs="Times New Roman"/>
          <w:color w:val="0F1115"/>
          <w:kern w:val="0"/>
          <w14:ligatures w14:val="none"/>
        </w:rPr>
        <w:t xml:space="preserve"> sociodemographic characteristics (age, education, occupation, household income), feeding practices (breastfeeding, complementary feeding), water and sanitation (access to safe water, latrine use), recent morbidity (diarrhea in the preceding two weeks), and vaccination status.</w:t>
      </w:r>
    </w:p>
    <w:p w14:paraId="114A0028"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Anthropometric measurements were taken following WHO standard procedures:</w:t>
      </w:r>
    </w:p>
    <w:p w14:paraId="5EF4CBA2" w14:textId="77777777" w:rsidR="004C5DA9" w:rsidRPr="004C5DA9" w:rsidRDefault="004C5DA9" w:rsidP="004C5DA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Weight</w:t>
      </w:r>
      <w:r w:rsidRPr="004C5DA9">
        <w:rPr>
          <w:rFonts w:ascii="Times New Roman" w:eastAsia="Times New Roman" w:hAnsi="Times New Roman" w:cs="Times New Roman"/>
          <w:color w:val="0F1115"/>
          <w:kern w:val="0"/>
          <w14:ligatures w14:val="none"/>
        </w:rPr>
        <w:t> measured to the nearest 0.1 kg using an electronic scale (SECA 876), calibrated daily.</w:t>
      </w:r>
    </w:p>
    <w:p w14:paraId="7034F32B" w14:textId="77777777" w:rsidR="004C5DA9" w:rsidRPr="004C5DA9" w:rsidRDefault="004C5DA9" w:rsidP="004C5DA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Height/length</w:t>
      </w:r>
      <w:r w:rsidRPr="004C5DA9">
        <w:rPr>
          <w:rFonts w:ascii="Times New Roman" w:eastAsia="Times New Roman" w:hAnsi="Times New Roman" w:cs="Times New Roman"/>
          <w:color w:val="0F1115"/>
          <w:kern w:val="0"/>
          <w14:ligatures w14:val="none"/>
        </w:rPr>
        <w:t xml:space="preserve"> measured to the nearest 0.1 cm using a portable stadiometer (SECA 417) for children &gt;24 months and a horizontal </w:t>
      </w:r>
      <w:proofErr w:type="spellStart"/>
      <w:r w:rsidRPr="004C5DA9">
        <w:rPr>
          <w:rFonts w:ascii="Times New Roman" w:eastAsia="Times New Roman" w:hAnsi="Times New Roman" w:cs="Times New Roman"/>
          <w:color w:val="0F1115"/>
          <w:kern w:val="0"/>
          <w14:ligatures w14:val="none"/>
        </w:rPr>
        <w:t>infantometer</w:t>
      </w:r>
      <w:proofErr w:type="spellEnd"/>
      <w:r w:rsidRPr="004C5DA9">
        <w:rPr>
          <w:rFonts w:ascii="Times New Roman" w:eastAsia="Times New Roman" w:hAnsi="Times New Roman" w:cs="Times New Roman"/>
          <w:color w:val="0F1115"/>
          <w:kern w:val="0"/>
          <w14:ligatures w14:val="none"/>
        </w:rPr>
        <w:t xml:space="preserve"> for children &lt;24 months.</w:t>
      </w:r>
    </w:p>
    <w:p w14:paraId="3A61B959" w14:textId="77777777" w:rsidR="004C5DA9" w:rsidRPr="004C5DA9" w:rsidRDefault="004C5DA9" w:rsidP="004C5DA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Mid-upper arm circumference (MUAC)</w:t>
      </w:r>
      <w:r w:rsidRPr="004C5DA9">
        <w:rPr>
          <w:rFonts w:ascii="Times New Roman" w:eastAsia="Times New Roman" w:hAnsi="Times New Roman" w:cs="Times New Roman"/>
          <w:color w:val="0F1115"/>
          <w:kern w:val="0"/>
          <w14:ligatures w14:val="none"/>
        </w:rPr>
        <w:t> measured to the nearest 1 mm using a standard MUAC tape.</w:t>
      </w:r>
    </w:p>
    <w:p w14:paraId="5210676B"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lastRenderedPageBreak/>
        <w:t>All measurements were taken in duplicate, and the mean was recorded.</w:t>
      </w:r>
    </w:p>
    <w:p w14:paraId="5A5C56C6"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2.4 Outcome definitions</w:t>
      </w:r>
    </w:p>
    <w:p w14:paraId="2379E125"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Nutritional status was defined using WHO 2006 growth standards (z-scores):</w:t>
      </w:r>
    </w:p>
    <w:p w14:paraId="15BEFB8C" w14:textId="77777777" w:rsidR="004C5DA9" w:rsidRPr="004C5DA9" w:rsidRDefault="004C5DA9" w:rsidP="004C5DA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Underweight</w:t>
      </w:r>
      <w:r w:rsidRPr="004C5DA9">
        <w:rPr>
          <w:rFonts w:ascii="Times New Roman" w:eastAsia="Times New Roman" w:hAnsi="Times New Roman" w:cs="Times New Roman"/>
          <w:color w:val="0F1115"/>
          <w:kern w:val="0"/>
          <w14:ligatures w14:val="none"/>
        </w:rPr>
        <w:t>: weight-for-age &lt; –2 standard deviations (SD)</w:t>
      </w:r>
    </w:p>
    <w:p w14:paraId="5AC4D8B0" w14:textId="77777777" w:rsidR="004C5DA9" w:rsidRPr="004C5DA9" w:rsidRDefault="004C5DA9" w:rsidP="004C5DA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Stunting</w:t>
      </w:r>
      <w:r w:rsidRPr="004C5DA9">
        <w:rPr>
          <w:rFonts w:ascii="Times New Roman" w:eastAsia="Times New Roman" w:hAnsi="Times New Roman" w:cs="Times New Roman"/>
          <w:color w:val="0F1115"/>
          <w:kern w:val="0"/>
          <w14:ligatures w14:val="none"/>
        </w:rPr>
        <w:t>: height/length-for-age &lt; –2 SD</w:t>
      </w:r>
    </w:p>
    <w:p w14:paraId="4CB9C5EF" w14:textId="77777777" w:rsidR="004C5DA9" w:rsidRPr="004C5DA9" w:rsidRDefault="004C5DA9" w:rsidP="004C5DA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Wasting</w:t>
      </w:r>
      <w:r w:rsidRPr="004C5DA9">
        <w:rPr>
          <w:rFonts w:ascii="Times New Roman" w:eastAsia="Times New Roman" w:hAnsi="Times New Roman" w:cs="Times New Roman"/>
          <w:color w:val="0F1115"/>
          <w:kern w:val="0"/>
          <w14:ligatures w14:val="none"/>
        </w:rPr>
        <w:t>: weight-for-height/length &lt; –2 SD</w:t>
      </w:r>
    </w:p>
    <w:p w14:paraId="0DEB2E2E" w14:textId="77777777" w:rsidR="004C5DA9" w:rsidRPr="004C5DA9" w:rsidRDefault="004C5DA9" w:rsidP="004C5DA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Moderate acute malnutrition (MAM)</w:t>
      </w:r>
      <w:r w:rsidRPr="004C5DA9">
        <w:rPr>
          <w:rFonts w:ascii="Times New Roman" w:eastAsia="Times New Roman" w:hAnsi="Times New Roman" w:cs="Times New Roman"/>
          <w:color w:val="0F1115"/>
          <w:kern w:val="0"/>
          <w14:ligatures w14:val="none"/>
        </w:rPr>
        <w:t>: MUAC 115–124 mm or weight-for-height –3 to –2 SD</w:t>
      </w:r>
    </w:p>
    <w:p w14:paraId="125751B6" w14:textId="77777777" w:rsidR="004C5DA9" w:rsidRPr="004C5DA9" w:rsidRDefault="004C5DA9" w:rsidP="004C5DA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Severe acute malnutrition (SAM)</w:t>
      </w:r>
      <w:r w:rsidRPr="004C5DA9">
        <w:rPr>
          <w:rFonts w:ascii="Times New Roman" w:eastAsia="Times New Roman" w:hAnsi="Times New Roman" w:cs="Times New Roman"/>
          <w:color w:val="0F1115"/>
          <w:kern w:val="0"/>
          <w14:ligatures w14:val="none"/>
        </w:rPr>
        <w:t>: MUAC &lt;115 mm, or weight-for-height &lt; –3 SD, or bilateral pitting edema</w:t>
      </w:r>
    </w:p>
    <w:p w14:paraId="3AE67308"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2.5 Statistical analysis</w:t>
      </w:r>
    </w:p>
    <w:p w14:paraId="35D7D16C"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Data were entered in Microsoft Excel and analyzed using SPSS version 25. Descriptive statistics (frequencies, percentages, means with SD) were calculated. Bivariate analysis (chi-square test) was used to explore associations between nutritional status and independent variables. Statistical significance was set at p &lt; 0.05.</w:t>
      </w:r>
    </w:p>
    <w:p w14:paraId="3389FC12"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2.6 Ethical considerations</w:t>
      </w:r>
    </w:p>
    <w:p w14:paraId="4F97FE3A"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Ethical approval was obtained from the Institutional Ethics Committee of ISTM-</w:t>
      </w:r>
      <w:proofErr w:type="spellStart"/>
      <w:r w:rsidRPr="004C5DA9">
        <w:rPr>
          <w:rFonts w:ascii="Times New Roman" w:eastAsia="Times New Roman" w:hAnsi="Times New Roman" w:cs="Times New Roman"/>
          <w:color w:val="0F1115"/>
          <w:kern w:val="0"/>
          <w14:ligatures w14:val="none"/>
        </w:rPr>
        <w:t>Mbandaka</w:t>
      </w:r>
      <w:proofErr w:type="spellEnd"/>
      <w:r w:rsidRPr="004C5DA9">
        <w:rPr>
          <w:rFonts w:ascii="Times New Roman" w:eastAsia="Times New Roman" w:hAnsi="Times New Roman" w:cs="Times New Roman"/>
          <w:color w:val="0F1115"/>
          <w:kern w:val="0"/>
          <w14:ligatures w14:val="none"/>
        </w:rPr>
        <w:t xml:space="preserve"> (approval number: ISTM/CE/2024/042). Authorization was obtained from the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chief medical officer. Written informed consent was obtained from all participating mothers or guardians (or oral witnessed consent for non-literate participants). All severe malnutrition cases were immediately referred to the nearest health center for treatment. Anonymity and confidentiality were strictly maintained.</w:t>
      </w:r>
    </w:p>
    <w:p w14:paraId="5D9FF231" w14:textId="77777777"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t>3. Results</w:t>
      </w:r>
    </w:p>
    <w:p w14:paraId="5C1B26BA"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lastRenderedPageBreak/>
        <w:t>3.1 Sociodemographic characteristics</w:t>
      </w:r>
    </w:p>
    <w:p w14:paraId="18A9A11D"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A total of 200 children were included. Slightly more than half (55%) were boys. The most represented age group was 12–23 months (25%). Among mothers, 70% had only primary education or none (Table 1). Only 15% of parents were salaried government employees; 65% worked in unstable income activities (subsistence agriculture, informal trade) or were unemployed.</w:t>
      </w:r>
    </w:p>
    <w:p w14:paraId="3E968C75"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Table 1. Sociodemographic characteristics (N=200)</w:t>
      </w:r>
    </w:p>
    <w:tbl>
      <w:tblPr>
        <w:tblW w:w="9111"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881"/>
        <w:gridCol w:w="5090"/>
        <w:gridCol w:w="2140"/>
      </w:tblGrid>
      <w:tr w:rsidR="004C5DA9" w:rsidRPr="004C5DA9" w14:paraId="6521121E" w14:textId="77777777" w:rsidTr="004C5DA9">
        <w:trPr>
          <w:tblHeader/>
        </w:trPr>
        <w:tc>
          <w:tcPr>
            <w:tcW w:w="1881" w:type="dxa"/>
            <w:tcBorders>
              <w:top w:val="single" w:sz="4" w:space="0" w:color="auto"/>
              <w:bottom w:val="single" w:sz="4" w:space="0" w:color="auto"/>
            </w:tcBorders>
            <w:tcMar>
              <w:top w:w="150" w:type="dxa"/>
              <w:left w:w="0" w:type="dxa"/>
              <w:bottom w:w="150" w:type="dxa"/>
              <w:right w:w="240" w:type="dxa"/>
            </w:tcMar>
            <w:vAlign w:val="center"/>
            <w:hideMark/>
          </w:tcPr>
          <w:p w14:paraId="309743D0"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6115E33"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357A9FC"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n (%)</w:t>
            </w:r>
          </w:p>
        </w:tc>
      </w:tr>
      <w:tr w:rsidR="004C5DA9" w:rsidRPr="004C5DA9" w14:paraId="2E0DC203" w14:textId="77777777" w:rsidTr="004C5DA9">
        <w:tc>
          <w:tcPr>
            <w:tcW w:w="1881" w:type="dxa"/>
            <w:tcBorders>
              <w:top w:val="single" w:sz="4" w:space="0" w:color="auto"/>
            </w:tcBorders>
            <w:tcMar>
              <w:top w:w="150" w:type="dxa"/>
              <w:left w:w="0" w:type="dxa"/>
              <w:bottom w:w="150" w:type="dxa"/>
              <w:right w:w="240" w:type="dxa"/>
            </w:tcMar>
            <w:vAlign w:val="center"/>
            <w:hideMark/>
          </w:tcPr>
          <w:p w14:paraId="40C1067B"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Child sex</w:t>
            </w:r>
          </w:p>
        </w:tc>
        <w:tc>
          <w:tcPr>
            <w:tcW w:w="0" w:type="auto"/>
            <w:tcBorders>
              <w:top w:val="single" w:sz="4" w:space="0" w:color="auto"/>
            </w:tcBorders>
            <w:tcMar>
              <w:top w:w="150" w:type="dxa"/>
              <w:left w:w="240" w:type="dxa"/>
              <w:bottom w:w="150" w:type="dxa"/>
              <w:right w:w="240" w:type="dxa"/>
            </w:tcMar>
            <w:vAlign w:val="center"/>
            <w:hideMark/>
          </w:tcPr>
          <w:p w14:paraId="482260A5"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Male</w:t>
            </w:r>
          </w:p>
        </w:tc>
        <w:tc>
          <w:tcPr>
            <w:tcW w:w="0" w:type="auto"/>
            <w:tcBorders>
              <w:top w:val="single" w:sz="4" w:space="0" w:color="auto"/>
            </w:tcBorders>
            <w:tcMar>
              <w:top w:w="150" w:type="dxa"/>
              <w:left w:w="240" w:type="dxa"/>
              <w:bottom w:w="150" w:type="dxa"/>
              <w:right w:w="0" w:type="dxa"/>
            </w:tcMar>
            <w:vAlign w:val="center"/>
            <w:hideMark/>
          </w:tcPr>
          <w:p w14:paraId="69E26A1D"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110 (55)</w:t>
            </w:r>
          </w:p>
        </w:tc>
      </w:tr>
      <w:tr w:rsidR="004C5DA9" w:rsidRPr="004C5DA9" w14:paraId="2F704E3B" w14:textId="77777777" w:rsidTr="004C5DA9">
        <w:tc>
          <w:tcPr>
            <w:tcW w:w="1881" w:type="dxa"/>
            <w:tcMar>
              <w:top w:w="150" w:type="dxa"/>
              <w:left w:w="0" w:type="dxa"/>
              <w:bottom w:w="150" w:type="dxa"/>
              <w:right w:w="240" w:type="dxa"/>
            </w:tcMar>
            <w:vAlign w:val="center"/>
            <w:hideMark/>
          </w:tcPr>
          <w:p w14:paraId="60D8C102"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6715459"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Female</w:t>
            </w:r>
          </w:p>
        </w:tc>
        <w:tc>
          <w:tcPr>
            <w:tcW w:w="0" w:type="auto"/>
            <w:tcMar>
              <w:top w:w="150" w:type="dxa"/>
              <w:left w:w="240" w:type="dxa"/>
              <w:bottom w:w="150" w:type="dxa"/>
              <w:right w:w="0" w:type="dxa"/>
            </w:tcMar>
            <w:vAlign w:val="center"/>
            <w:hideMark/>
          </w:tcPr>
          <w:p w14:paraId="74BDC660"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90 (45)</w:t>
            </w:r>
          </w:p>
        </w:tc>
      </w:tr>
      <w:tr w:rsidR="004C5DA9" w:rsidRPr="004C5DA9" w14:paraId="1F91FB35" w14:textId="77777777" w:rsidTr="004C5DA9">
        <w:tc>
          <w:tcPr>
            <w:tcW w:w="1881" w:type="dxa"/>
            <w:tcMar>
              <w:top w:w="150" w:type="dxa"/>
              <w:left w:w="0" w:type="dxa"/>
              <w:bottom w:w="150" w:type="dxa"/>
              <w:right w:w="240" w:type="dxa"/>
            </w:tcMar>
            <w:vAlign w:val="center"/>
            <w:hideMark/>
          </w:tcPr>
          <w:p w14:paraId="027602EE"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Child age (months)</w:t>
            </w:r>
          </w:p>
        </w:tc>
        <w:tc>
          <w:tcPr>
            <w:tcW w:w="0" w:type="auto"/>
            <w:tcMar>
              <w:top w:w="150" w:type="dxa"/>
              <w:left w:w="240" w:type="dxa"/>
              <w:bottom w:w="150" w:type="dxa"/>
              <w:right w:w="240" w:type="dxa"/>
            </w:tcMar>
            <w:vAlign w:val="center"/>
            <w:hideMark/>
          </w:tcPr>
          <w:p w14:paraId="045B219B"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0–11</w:t>
            </w:r>
          </w:p>
        </w:tc>
        <w:tc>
          <w:tcPr>
            <w:tcW w:w="0" w:type="auto"/>
            <w:tcMar>
              <w:top w:w="150" w:type="dxa"/>
              <w:left w:w="240" w:type="dxa"/>
              <w:bottom w:w="150" w:type="dxa"/>
              <w:right w:w="0" w:type="dxa"/>
            </w:tcMar>
            <w:vAlign w:val="center"/>
            <w:hideMark/>
          </w:tcPr>
          <w:p w14:paraId="3724F32E"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30 (15)</w:t>
            </w:r>
          </w:p>
        </w:tc>
      </w:tr>
      <w:tr w:rsidR="004C5DA9" w:rsidRPr="004C5DA9" w14:paraId="5B2A1C64" w14:textId="77777777" w:rsidTr="004C5DA9">
        <w:tc>
          <w:tcPr>
            <w:tcW w:w="1881" w:type="dxa"/>
            <w:tcMar>
              <w:top w:w="150" w:type="dxa"/>
              <w:left w:w="0" w:type="dxa"/>
              <w:bottom w:w="150" w:type="dxa"/>
              <w:right w:w="240" w:type="dxa"/>
            </w:tcMar>
            <w:vAlign w:val="center"/>
            <w:hideMark/>
          </w:tcPr>
          <w:p w14:paraId="3E5EE7BC"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9ECFC13"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12–23</w:t>
            </w:r>
          </w:p>
        </w:tc>
        <w:tc>
          <w:tcPr>
            <w:tcW w:w="0" w:type="auto"/>
            <w:tcMar>
              <w:top w:w="150" w:type="dxa"/>
              <w:left w:w="240" w:type="dxa"/>
              <w:bottom w:w="150" w:type="dxa"/>
              <w:right w:w="0" w:type="dxa"/>
            </w:tcMar>
            <w:vAlign w:val="center"/>
            <w:hideMark/>
          </w:tcPr>
          <w:p w14:paraId="738F4A81"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50 (25)</w:t>
            </w:r>
          </w:p>
        </w:tc>
      </w:tr>
      <w:tr w:rsidR="004C5DA9" w:rsidRPr="004C5DA9" w14:paraId="5833EB6A" w14:textId="77777777" w:rsidTr="004C5DA9">
        <w:tc>
          <w:tcPr>
            <w:tcW w:w="1881" w:type="dxa"/>
            <w:tcMar>
              <w:top w:w="150" w:type="dxa"/>
              <w:left w:w="0" w:type="dxa"/>
              <w:bottom w:w="150" w:type="dxa"/>
              <w:right w:w="240" w:type="dxa"/>
            </w:tcMar>
            <w:vAlign w:val="center"/>
            <w:hideMark/>
          </w:tcPr>
          <w:p w14:paraId="799006F6"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567F505"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24–35</w:t>
            </w:r>
          </w:p>
        </w:tc>
        <w:tc>
          <w:tcPr>
            <w:tcW w:w="0" w:type="auto"/>
            <w:tcMar>
              <w:top w:w="150" w:type="dxa"/>
              <w:left w:w="240" w:type="dxa"/>
              <w:bottom w:w="150" w:type="dxa"/>
              <w:right w:w="0" w:type="dxa"/>
            </w:tcMar>
            <w:vAlign w:val="center"/>
            <w:hideMark/>
          </w:tcPr>
          <w:p w14:paraId="202F78A4"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45 (22.5)</w:t>
            </w:r>
          </w:p>
        </w:tc>
      </w:tr>
      <w:tr w:rsidR="004C5DA9" w:rsidRPr="004C5DA9" w14:paraId="7FD6DB02" w14:textId="77777777" w:rsidTr="004C5DA9">
        <w:tc>
          <w:tcPr>
            <w:tcW w:w="1881" w:type="dxa"/>
            <w:tcMar>
              <w:top w:w="150" w:type="dxa"/>
              <w:left w:w="0" w:type="dxa"/>
              <w:bottom w:w="150" w:type="dxa"/>
              <w:right w:w="240" w:type="dxa"/>
            </w:tcMar>
            <w:vAlign w:val="center"/>
            <w:hideMark/>
          </w:tcPr>
          <w:p w14:paraId="5ADB386B"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71044D4"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36–47</w:t>
            </w:r>
          </w:p>
        </w:tc>
        <w:tc>
          <w:tcPr>
            <w:tcW w:w="0" w:type="auto"/>
            <w:tcMar>
              <w:top w:w="150" w:type="dxa"/>
              <w:left w:w="240" w:type="dxa"/>
              <w:bottom w:w="150" w:type="dxa"/>
              <w:right w:w="0" w:type="dxa"/>
            </w:tcMar>
            <w:vAlign w:val="center"/>
            <w:hideMark/>
          </w:tcPr>
          <w:p w14:paraId="362D3855"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40 (20)</w:t>
            </w:r>
          </w:p>
        </w:tc>
      </w:tr>
      <w:tr w:rsidR="004C5DA9" w:rsidRPr="004C5DA9" w14:paraId="0AE542A3" w14:textId="77777777" w:rsidTr="004C5DA9">
        <w:tc>
          <w:tcPr>
            <w:tcW w:w="1881" w:type="dxa"/>
            <w:tcMar>
              <w:top w:w="150" w:type="dxa"/>
              <w:left w:w="0" w:type="dxa"/>
              <w:bottom w:w="150" w:type="dxa"/>
              <w:right w:w="240" w:type="dxa"/>
            </w:tcMar>
            <w:vAlign w:val="center"/>
            <w:hideMark/>
          </w:tcPr>
          <w:p w14:paraId="709CDC87"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CC50A2C"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48–59</w:t>
            </w:r>
          </w:p>
        </w:tc>
        <w:tc>
          <w:tcPr>
            <w:tcW w:w="0" w:type="auto"/>
            <w:tcMar>
              <w:top w:w="150" w:type="dxa"/>
              <w:left w:w="240" w:type="dxa"/>
              <w:bottom w:w="150" w:type="dxa"/>
              <w:right w:w="0" w:type="dxa"/>
            </w:tcMar>
            <w:vAlign w:val="center"/>
            <w:hideMark/>
          </w:tcPr>
          <w:p w14:paraId="3E241FD0"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35 (17.5)</w:t>
            </w:r>
          </w:p>
        </w:tc>
      </w:tr>
      <w:tr w:rsidR="004C5DA9" w:rsidRPr="004C5DA9" w14:paraId="2FA51460" w14:textId="77777777" w:rsidTr="004C5DA9">
        <w:tc>
          <w:tcPr>
            <w:tcW w:w="1881" w:type="dxa"/>
            <w:tcMar>
              <w:top w:w="150" w:type="dxa"/>
              <w:left w:w="0" w:type="dxa"/>
              <w:bottom w:w="150" w:type="dxa"/>
              <w:right w:w="240" w:type="dxa"/>
            </w:tcMar>
            <w:vAlign w:val="center"/>
            <w:hideMark/>
          </w:tcPr>
          <w:p w14:paraId="183A130D"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Mother’s education</w:t>
            </w:r>
          </w:p>
        </w:tc>
        <w:tc>
          <w:tcPr>
            <w:tcW w:w="0" w:type="auto"/>
            <w:tcMar>
              <w:top w:w="150" w:type="dxa"/>
              <w:left w:w="240" w:type="dxa"/>
              <w:bottom w:w="150" w:type="dxa"/>
              <w:right w:w="240" w:type="dxa"/>
            </w:tcMar>
            <w:vAlign w:val="center"/>
            <w:hideMark/>
          </w:tcPr>
          <w:p w14:paraId="06F9972B"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None</w:t>
            </w:r>
          </w:p>
        </w:tc>
        <w:tc>
          <w:tcPr>
            <w:tcW w:w="0" w:type="auto"/>
            <w:tcMar>
              <w:top w:w="150" w:type="dxa"/>
              <w:left w:w="240" w:type="dxa"/>
              <w:bottom w:w="150" w:type="dxa"/>
              <w:right w:w="0" w:type="dxa"/>
            </w:tcMar>
            <w:vAlign w:val="center"/>
            <w:hideMark/>
          </w:tcPr>
          <w:p w14:paraId="3028FE00"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60 (30)</w:t>
            </w:r>
          </w:p>
        </w:tc>
      </w:tr>
      <w:tr w:rsidR="004C5DA9" w:rsidRPr="004C5DA9" w14:paraId="0E3216C6" w14:textId="77777777" w:rsidTr="004C5DA9">
        <w:tc>
          <w:tcPr>
            <w:tcW w:w="1881" w:type="dxa"/>
            <w:tcMar>
              <w:top w:w="150" w:type="dxa"/>
              <w:left w:w="0" w:type="dxa"/>
              <w:bottom w:w="150" w:type="dxa"/>
              <w:right w:w="240" w:type="dxa"/>
            </w:tcMar>
            <w:vAlign w:val="center"/>
            <w:hideMark/>
          </w:tcPr>
          <w:p w14:paraId="6B0B8090"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34FFE69"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Primary</w:t>
            </w:r>
          </w:p>
        </w:tc>
        <w:tc>
          <w:tcPr>
            <w:tcW w:w="0" w:type="auto"/>
            <w:tcMar>
              <w:top w:w="150" w:type="dxa"/>
              <w:left w:w="240" w:type="dxa"/>
              <w:bottom w:w="150" w:type="dxa"/>
              <w:right w:w="0" w:type="dxa"/>
            </w:tcMar>
            <w:vAlign w:val="center"/>
            <w:hideMark/>
          </w:tcPr>
          <w:p w14:paraId="1EDFE3C7"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80 (40)</w:t>
            </w:r>
          </w:p>
        </w:tc>
      </w:tr>
      <w:tr w:rsidR="004C5DA9" w:rsidRPr="004C5DA9" w14:paraId="42FADB92" w14:textId="77777777" w:rsidTr="004C5DA9">
        <w:tc>
          <w:tcPr>
            <w:tcW w:w="1881" w:type="dxa"/>
            <w:tcMar>
              <w:top w:w="150" w:type="dxa"/>
              <w:left w:w="0" w:type="dxa"/>
              <w:bottom w:w="150" w:type="dxa"/>
              <w:right w:w="240" w:type="dxa"/>
            </w:tcMar>
            <w:vAlign w:val="center"/>
            <w:hideMark/>
          </w:tcPr>
          <w:p w14:paraId="32A0565D"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C1DFC9C"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Secondary</w:t>
            </w:r>
          </w:p>
        </w:tc>
        <w:tc>
          <w:tcPr>
            <w:tcW w:w="0" w:type="auto"/>
            <w:tcMar>
              <w:top w:w="150" w:type="dxa"/>
              <w:left w:w="240" w:type="dxa"/>
              <w:bottom w:w="150" w:type="dxa"/>
              <w:right w:w="0" w:type="dxa"/>
            </w:tcMar>
            <w:vAlign w:val="center"/>
            <w:hideMark/>
          </w:tcPr>
          <w:p w14:paraId="3570C9CF"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45 (22.5)</w:t>
            </w:r>
          </w:p>
        </w:tc>
      </w:tr>
      <w:tr w:rsidR="004C5DA9" w:rsidRPr="004C5DA9" w14:paraId="4A29702A" w14:textId="77777777" w:rsidTr="004C5DA9">
        <w:tc>
          <w:tcPr>
            <w:tcW w:w="1881" w:type="dxa"/>
            <w:tcMar>
              <w:top w:w="150" w:type="dxa"/>
              <w:left w:w="0" w:type="dxa"/>
              <w:bottom w:w="150" w:type="dxa"/>
              <w:right w:w="240" w:type="dxa"/>
            </w:tcMar>
            <w:vAlign w:val="center"/>
            <w:hideMark/>
          </w:tcPr>
          <w:p w14:paraId="2CC653EC"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F8E3D14"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Higher</w:t>
            </w:r>
          </w:p>
        </w:tc>
        <w:tc>
          <w:tcPr>
            <w:tcW w:w="0" w:type="auto"/>
            <w:tcMar>
              <w:top w:w="150" w:type="dxa"/>
              <w:left w:w="240" w:type="dxa"/>
              <w:bottom w:w="150" w:type="dxa"/>
              <w:right w:w="0" w:type="dxa"/>
            </w:tcMar>
            <w:vAlign w:val="center"/>
            <w:hideMark/>
          </w:tcPr>
          <w:p w14:paraId="1ECA18E3"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15 (7.5)</w:t>
            </w:r>
          </w:p>
        </w:tc>
      </w:tr>
      <w:tr w:rsidR="004C5DA9" w:rsidRPr="004C5DA9" w14:paraId="7AB52F8E" w14:textId="77777777" w:rsidTr="004C5DA9">
        <w:tc>
          <w:tcPr>
            <w:tcW w:w="1881" w:type="dxa"/>
            <w:tcMar>
              <w:top w:w="150" w:type="dxa"/>
              <w:left w:w="0" w:type="dxa"/>
              <w:bottom w:w="150" w:type="dxa"/>
              <w:right w:w="240" w:type="dxa"/>
            </w:tcMar>
            <w:vAlign w:val="center"/>
            <w:hideMark/>
          </w:tcPr>
          <w:p w14:paraId="32C0E1D6"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Parental occupation</w:t>
            </w:r>
          </w:p>
        </w:tc>
        <w:tc>
          <w:tcPr>
            <w:tcW w:w="0" w:type="auto"/>
            <w:tcMar>
              <w:top w:w="150" w:type="dxa"/>
              <w:left w:w="240" w:type="dxa"/>
              <w:bottom w:w="150" w:type="dxa"/>
              <w:right w:w="240" w:type="dxa"/>
            </w:tcMar>
            <w:vAlign w:val="center"/>
            <w:hideMark/>
          </w:tcPr>
          <w:p w14:paraId="2CA49BC5"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Government employee</w:t>
            </w:r>
          </w:p>
        </w:tc>
        <w:tc>
          <w:tcPr>
            <w:tcW w:w="0" w:type="auto"/>
            <w:tcMar>
              <w:top w:w="150" w:type="dxa"/>
              <w:left w:w="240" w:type="dxa"/>
              <w:bottom w:w="150" w:type="dxa"/>
              <w:right w:w="0" w:type="dxa"/>
            </w:tcMar>
            <w:vAlign w:val="center"/>
            <w:hideMark/>
          </w:tcPr>
          <w:p w14:paraId="41F8A3EA"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30 (15)</w:t>
            </w:r>
          </w:p>
        </w:tc>
      </w:tr>
      <w:tr w:rsidR="004C5DA9" w:rsidRPr="004C5DA9" w14:paraId="59B39E46" w14:textId="77777777" w:rsidTr="004C5DA9">
        <w:tc>
          <w:tcPr>
            <w:tcW w:w="1881" w:type="dxa"/>
            <w:tcMar>
              <w:top w:w="150" w:type="dxa"/>
              <w:left w:w="0" w:type="dxa"/>
              <w:bottom w:w="150" w:type="dxa"/>
              <w:right w:w="240" w:type="dxa"/>
            </w:tcMar>
            <w:vAlign w:val="center"/>
            <w:hideMark/>
          </w:tcPr>
          <w:p w14:paraId="13EE5BD7"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A460752"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Agriculture</w:t>
            </w:r>
          </w:p>
        </w:tc>
        <w:tc>
          <w:tcPr>
            <w:tcW w:w="0" w:type="auto"/>
            <w:tcMar>
              <w:top w:w="150" w:type="dxa"/>
              <w:left w:w="240" w:type="dxa"/>
              <w:bottom w:w="150" w:type="dxa"/>
              <w:right w:w="0" w:type="dxa"/>
            </w:tcMar>
            <w:vAlign w:val="center"/>
            <w:hideMark/>
          </w:tcPr>
          <w:p w14:paraId="2B93A1D1"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70 (35)</w:t>
            </w:r>
          </w:p>
        </w:tc>
      </w:tr>
      <w:tr w:rsidR="004C5DA9" w:rsidRPr="004C5DA9" w14:paraId="5F722B0D" w14:textId="77777777" w:rsidTr="004C5DA9">
        <w:tc>
          <w:tcPr>
            <w:tcW w:w="1881" w:type="dxa"/>
            <w:tcMar>
              <w:top w:w="150" w:type="dxa"/>
              <w:left w:w="0" w:type="dxa"/>
              <w:bottom w:w="150" w:type="dxa"/>
              <w:right w:w="240" w:type="dxa"/>
            </w:tcMar>
            <w:vAlign w:val="center"/>
            <w:hideMark/>
          </w:tcPr>
          <w:p w14:paraId="5ACBCAFB"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736DA12"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Small trade</w:t>
            </w:r>
          </w:p>
        </w:tc>
        <w:tc>
          <w:tcPr>
            <w:tcW w:w="0" w:type="auto"/>
            <w:tcMar>
              <w:top w:w="150" w:type="dxa"/>
              <w:left w:w="240" w:type="dxa"/>
              <w:bottom w:w="150" w:type="dxa"/>
              <w:right w:w="0" w:type="dxa"/>
            </w:tcMar>
            <w:vAlign w:val="center"/>
            <w:hideMark/>
          </w:tcPr>
          <w:p w14:paraId="6E58CB0A"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60 (30)</w:t>
            </w:r>
          </w:p>
        </w:tc>
      </w:tr>
      <w:tr w:rsidR="004C5DA9" w:rsidRPr="004C5DA9" w14:paraId="070FEC47" w14:textId="77777777" w:rsidTr="004C5DA9">
        <w:tc>
          <w:tcPr>
            <w:tcW w:w="1881" w:type="dxa"/>
            <w:tcMar>
              <w:top w:w="150" w:type="dxa"/>
              <w:left w:w="0" w:type="dxa"/>
              <w:bottom w:w="150" w:type="dxa"/>
              <w:right w:w="240" w:type="dxa"/>
            </w:tcMar>
            <w:vAlign w:val="center"/>
            <w:hideMark/>
          </w:tcPr>
          <w:p w14:paraId="39EA8BA2"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5FB8DA1"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Unemployed</w:t>
            </w:r>
          </w:p>
        </w:tc>
        <w:tc>
          <w:tcPr>
            <w:tcW w:w="0" w:type="auto"/>
            <w:tcMar>
              <w:top w:w="150" w:type="dxa"/>
              <w:left w:w="240" w:type="dxa"/>
              <w:bottom w:w="150" w:type="dxa"/>
              <w:right w:w="0" w:type="dxa"/>
            </w:tcMar>
            <w:vAlign w:val="center"/>
            <w:hideMark/>
          </w:tcPr>
          <w:p w14:paraId="4E755A24"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40 (20)</w:t>
            </w:r>
          </w:p>
        </w:tc>
      </w:tr>
    </w:tbl>
    <w:p w14:paraId="08E80111"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3.2 Prevalence of malnutrition</w:t>
      </w:r>
    </w:p>
    <w:p w14:paraId="477D8F2A" w14:textId="77777777" w:rsidR="004C5DA9" w:rsidRPr="004C5DA9" w:rsidRDefault="004C5DA9" w:rsidP="004C5DA9">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4C5DA9">
        <w:rPr>
          <w:rFonts w:ascii="Times New Roman" w:eastAsia="Times New Roman" w:hAnsi="Times New Roman" w:cs="Times New Roman"/>
          <w:b/>
          <w:bCs/>
          <w:color w:val="0F1115"/>
          <w:kern w:val="0"/>
          <w14:ligatures w14:val="none"/>
        </w:rPr>
        <w:t>3.2.1 Underweight (weight-for-age)</w:t>
      </w:r>
    </w:p>
    <w:p w14:paraId="36EA1B9F"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The prevalence of underweight was </w:t>
      </w:r>
      <w:r w:rsidRPr="004C5DA9">
        <w:rPr>
          <w:rFonts w:ascii="Times New Roman" w:eastAsia="Times New Roman" w:hAnsi="Times New Roman" w:cs="Times New Roman"/>
          <w:b/>
          <w:bCs/>
          <w:color w:val="0F1115"/>
          <w:kern w:val="0"/>
          <w14:ligatures w14:val="none"/>
        </w:rPr>
        <w:t>35%</w:t>
      </w:r>
      <w:r w:rsidRPr="004C5DA9">
        <w:rPr>
          <w:rFonts w:ascii="Times New Roman" w:eastAsia="Times New Roman" w:hAnsi="Times New Roman" w:cs="Times New Roman"/>
          <w:color w:val="0F1115"/>
          <w:kern w:val="0"/>
          <w14:ligatures w14:val="none"/>
        </w:rPr>
        <w:t> (22.5% moderate, 12.5% severe). This is significantly higher than the national average of 23%.</w:t>
      </w:r>
    </w:p>
    <w:p w14:paraId="4E3262AD" w14:textId="77777777" w:rsidR="004C5DA9" w:rsidRPr="004C5DA9" w:rsidRDefault="004C5DA9" w:rsidP="004C5DA9">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4C5DA9">
        <w:rPr>
          <w:rFonts w:ascii="Times New Roman" w:eastAsia="Times New Roman" w:hAnsi="Times New Roman" w:cs="Times New Roman"/>
          <w:b/>
          <w:bCs/>
          <w:color w:val="0F1115"/>
          <w:kern w:val="0"/>
          <w14:ligatures w14:val="none"/>
        </w:rPr>
        <w:t>3.2.2 Stunting (height-for-age)</w:t>
      </w:r>
    </w:p>
    <w:p w14:paraId="7E005E5C"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Stunting affected </w:t>
      </w:r>
      <w:r w:rsidRPr="004C5DA9">
        <w:rPr>
          <w:rFonts w:ascii="Times New Roman" w:eastAsia="Times New Roman" w:hAnsi="Times New Roman" w:cs="Times New Roman"/>
          <w:b/>
          <w:bCs/>
          <w:color w:val="0F1115"/>
          <w:kern w:val="0"/>
          <w14:ligatures w14:val="none"/>
        </w:rPr>
        <w:t>40%</w:t>
      </w:r>
      <w:r w:rsidRPr="004C5DA9">
        <w:rPr>
          <w:rFonts w:ascii="Times New Roman" w:eastAsia="Times New Roman" w:hAnsi="Times New Roman" w:cs="Times New Roman"/>
          <w:color w:val="0F1115"/>
          <w:kern w:val="0"/>
          <w14:ligatures w14:val="none"/>
        </w:rPr>
        <w:t> (25% moderate, 15% severe) of children.</w:t>
      </w:r>
    </w:p>
    <w:p w14:paraId="6F30F59E" w14:textId="77777777" w:rsidR="004C5DA9" w:rsidRPr="004C5DA9" w:rsidRDefault="004C5DA9" w:rsidP="004C5DA9">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4C5DA9">
        <w:rPr>
          <w:rFonts w:ascii="Times New Roman" w:eastAsia="Times New Roman" w:hAnsi="Times New Roman" w:cs="Times New Roman"/>
          <w:b/>
          <w:bCs/>
          <w:color w:val="0F1115"/>
          <w:kern w:val="0"/>
          <w14:ligatures w14:val="none"/>
        </w:rPr>
        <w:t>3.2.3 Wasting (weight-for-height)</w:t>
      </w:r>
    </w:p>
    <w:p w14:paraId="444B9487"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Wasting prevalence was </w:t>
      </w:r>
      <w:r w:rsidRPr="004C5DA9">
        <w:rPr>
          <w:rFonts w:ascii="Times New Roman" w:eastAsia="Times New Roman" w:hAnsi="Times New Roman" w:cs="Times New Roman"/>
          <w:b/>
          <w:bCs/>
          <w:color w:val="0F1115"/>
          <w:kern w:val="0"/>
          <w14:ligatures w14:val="none"/>
        </w:rPr>
        <w:t>25%</w:t>
      </w:r>
      <w:r w:rsidRPr="004C5DA9">
        <w:rPr>
          <w:rFonts w:ascii="Times New Roman" w:eastAsia="Times New Roman" w:hAnsi="Times New Roman" w:cs="Times New Roman"/>
          <w:color w:val="0F1115"/>
          <w:kern w:val="0"/>
          <w14:ligatures w14:val="none"/>
        </w:rPr>
        <w:t> (17.5% moderate, 7.5% severe).</w:t>
      </w:r>
    </w:p>
    <w:p w14:paraId="228DC8B3"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Table 2. Nutritional indicators (N=200)</w:t>
      </w:r>
    </w:p>
    <w:tbl>
      <w:tblPr>
        <w:tblW w:w="0" w:type="auto"/>
        <w:tblBorders>
          <w:top w:val="single" w:sz="4" w:space="0" w:color="auto"/>
        </w:tblBorders>
        <w:tblCellMar>
          <w:top w:w="15" w:type="dxa"/>
          <w:left w:w="15" w:type="dxa"/>
          <w:bottom w:w="15" w:type="dxa"/>
          <w:right w:w="15" w:type="dxa"/>
        </w:tblCellMar>
        <w:tblLook w:val="04A0" w:firstRow="1" w:lastRow="0" w:firstColumn="1" w:lastColumn="0" w:noHBand="0" w:noVBand="1"/>
      </w:tblPr>
      <w:tblGrid>
        <w:gridCol w:w="2641"/>
        <w:gridCol w:w="1615"/>
        <w:gridCol w:w="1642"/>
        <w:gridCol w:w="1402"/>
        <w:gridCol w:w="2060"/>
      </w:tblGrid>
      <w:tr w:rsidR="004C5DA9" w:rsidRPr="004C5DA9" w14:paraId="37CCB4F4" w14:textId="77777777" w:rsidTr="004C5DA9">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345943B5"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Indicator</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F8757EF"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Normal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6455C37"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Moderate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DEF9582"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Severe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B474271"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Total abnormal (%)</w:t>
            </w:r>
          </w:p>
        </w:tc>
      </w:tr>
      <w:tr w:rsidR="004C5DA9" w:rsidRPr="004C5DA9" w14:paraId="008BB3C9" w14:textId="77777777" w:rsidTr="004C5DA9">
        <w:tc>
          <w:tcPr>
            <w:tcW w:w="0" w:type="auto"/>
            <w:tcBorders>
              <w:top w:val="single" w:sz="4" w:space="0" w:color="auto"/>
            </w:tcBorders>
            <w:tcMar>
              <w:top w:w="150" w:type="dxa"/>
              <w:left w:w="0" w:type="dxa"/>
              <w:bottom w:w="150" w:type="dxa"/>
              <w:right w:w="240" w:type="dxa"/>
            </w:tcMar>
            <w:vAlign w:val="center"/>
            <w:hideMark/>
          </w:tcPr>
          <w:p w14:paraId="4346CE8E"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Underweight (weight-for-age)</w:t>
            </w:r>
          </w:p>
        </w:tc>
        <w:tc>
          <w:tcPr>
            <w:tcW w:w="0" w:type="auto"/>
            <w:tcBorders>
              <w:top w:val="single" w:sz="4" w:space="0" w:color="auto"/>
            </w:tcBorders>
            <w:tcMar>
              <w:top w:w="150" w:type="dxa"/>
              <w:left w:w="240" w:type="dxa"/>
              <w:bottom w:w="150" w:type="dxa"/>
              <w:right w:w="240" w:type="dxa"/>
            </w:tcMar>
            <w:vAlign w:val="center"/>
            <w:hideMark/>
          </w:tcPr>
          <w:p w14:paraId="0E6EF63B"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65</w:t>
            </w:r>
          </w:p>
        </w:tc>
        <w:tc>
          <w:tcPr>
            <w:tcW w:w="0" w:type="auto"/>
            <w:tcBorders>
              <w:top w:val="single" w:sz="4" w:space="0" w:color="auto"/>
            </w:tcBorders>
            <w:tcMar>
              <w:top w:w="150" w:type="dxa"/>
              <w:left w:w="240" w:type="dxa"/>
              <w:bottom w:w="150" w:type="dxa"/>
              <w:right w:w="240" w:type="dxa"/>
            </w:tcMar>
            <w:vAlign w:val="center"/>
            <w:hideMark/>
          </w:tcPr>
          <w:p w14:paraId="51E8E457"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22.5</w:t>
            </w:r>
          </w:p>
        </w:tc>
        <w:tc>
          <w:tcPr>
            <w:tcW w:w="0" w:type="auto"/>
            <w:tcBorders>
              <w:top w:val="single" w:sz="4" w:space="0" w:color="auto"/>
            </w:tcBorders>
            <w:tcMar>
              <w:top w:w="150" w:type="dxa"/>
              <w:left w:w="240" w:type="dxa"/>
              <w:bottom w:w="150" w:type="dxa"/>
              <w:right w:w="240" w:type="dxa"/>
            </w:tcMar>
            <w:vAlign w:val="center"/>
            <w:hideMark/>
          </w:tcPr>
          <w:p w14:paraId="6E8CAC34"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12.5</w:t>
            </w:r>
          </w:p>
        </w:tc>
        <w:tc>
          <w:tcPr>
            <w:tcW w:w="0" w:type="auto"/>
            <w:tcBorders>
              <w:top w:val="single" w:sz="4" w:space="0" w:color="auto"/>
            </w:tcBorders>
            <w:tcMar>
              <w:top w:w="150" w:type="dxa"/>
              <w:left w:w="240" w:type="dxa"/>
              <w:bottom w:w="150" w:type="dxa"/>
              <w:right w:w="0" w:type="dxa"/>
            </w:tcMar>
            <w:vAlign w:val="center"/>
            <w:hideMark/>
          </w:tcPr>
          <w:p w14:paraId="25B7357D"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35</w:t>
            </w:r>
          </w:p>
        </w:tc>
      </w:tr>
      <w:tr w:rsidR="004C5DA9" w:rsidRPr="004C5DA9" w14:paraId="6EEAF983" w14:textId="77777777" w:rsidTr="004C5DA9">
        <w:tc>
          <w:tcPr>
            <w:tcW w:w="0" w:type="auto"/>
            <w:tcMar>
              <w:top w:w="150" w:type="dxa"/>
              <w:left w:w="0" w:type="dxa"/>
              <w:bottom w:w="150" w:type="dxa"/>
              <w:right w:w="240" w:type="dxa"/>
            </w:tcMar>
            <w:vAlign w:val="center"/>
            <w:hideMark/>
          </w:tcPr>
          <w:p w14:paraId="0A7CE26A"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Stunting (height-for-age)</w:t>
            </w:r>
          </w:p>
        </w:tc>
        <w:tc>
          <w:tcPr>
            <w:tcW w:w="0" w:type="auto"/>
            <w:tcMar>
              <w:top w:w="150" w:type="dxa"/>
              <w:left w:w="240" w:type="dxa"/>
              <w:bottom w:w="150" w:type="dxa"/>
              <w:right w:w="240" w:type="dxa"/>
            </w:tcMar>
            <w:vAlign w:val="center"/>
            <w:hideMark/>
          </w:tcPr>
          <w:p w14:paraId="7406BF6B"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60</w:t>
            </w:r>
          </w:p>
        </w:tc>
        <w:tc>
          <w:tcPr>
            <w:tcW w:w="0" w:type="auto"/>
            <w:tcMar>
              <w:top w:w="150" w:type="dxa"/>
              <w:left w:w="240" w:type="dxa"/>
              <w:bottom w:w="150" w:type="dxa"/>
              <w:right w:w="240" w:type="dxa"/>
            </w:tcMar>
            <w:vAlign w:val="center"/>
            <w:hideMark/>
          </w:tcPr>
          <w:p w14:paraId="41EA5914"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25</w:t>
            </w:r>
          </w:p>
        </w:tc>
        <w:tc>
          <w:tcPr>
            <w:tcW w:w="0" w:type="auto"/>
            <w:tcMar>
              <w:top w:w="150" w:type="dxa"/>
              <w:left w:w="240" w:type="dxa"/>
              <w:bottom w:w="150" w:type="dxa"/>
              <w:right w:w="240" w:type="dxa"/>
            </w:tcMar>
            <w:vAlign w:val="center"/>
            <w:hideMark/>
          </w:tcPr>
          <w:p w14:paraId="56683765"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15</w:t>
            </w:r>
          </w:p>
        </w:tc>
        <w:tc>
          <w:tcPr>
            <w:tcW w:w="0" w:type="auto"/>
            <w:tcMar>
              <w:top w:w="150" w:type="dxa"/>
              <w:left w:w="240" w:type="dxa"/>
              <w:bottom w:w="150" w:type="dxa"/>
              <w:right w:w="0" w:type="dxa"/>
            </w:tcMar>
            <w:vAlign w:val="center"/>
            <w:hideMark/>
          </w:tcPr>
          <w:p w14:paraId="77220371"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40</w:t>
            </w:r>
          </w:p>
        </w:tc>
      </w:tr>
      <w:tr w:rsidR="004C5DA9" w:rsidRPr="004C5DA9" w14:paraId="14DFF49D" w14:textId="77777777" w:rsidTr="004C5DA9">
        <w:tc>
          <w:tcPr>
            <w:tcW w:w="0" w:type="auto"/>
            <w:tcBorders>
              <w:bottom w:val="nil"/>
            </w:tcBorders>
            <w:tcMar>
              <w:top w:w="150" w:type="dxa"/>
              <w:left w:w="0" w:type="dxa"/>
              <w:bottom w:w="150" w:type="dxa"/>
              <w:right w:w="240" w:type="dxa"/>
            </w:tcMar>
            <w:vAlign w:val="center"/>
            <w:hideMark/>
          </w:tcPr>
          <w:p w14:paraId="47731358"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Wasting (weight-for-height)</w:t>
            </w:r>
          </w:p>
        </w:tc>
        <w:tc>
          <w:tcPr>
            <w:tcW w:w="0" w:type="auto"/>
            <w:tcBorders>
              <w:bottom w:val="nil"/>
            </w:tcBorders>
            <w:tcMar>
              <w:top w:w="150" w:type="dxa"/>
              <w:left w:w="240" w:type="dxa"/>
              <w:bottom w:w="150" w:type="dxa"/>
              <w:right w:w="240" w:type="dxa"/>
            </w:tcMar>
            <w:vAlign w:val="center"/>
            <w:hideMark/>
          </w:tcPr>
          <w:p w14:paraId="24BA0172"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75</w:t>
            </w:r>
          </w:p>
        </w:tc>
        <w:tc>
          <w:tcPr>
            <w:tcW w:w="0" w:type="auto"/>
            <w:tcBorders>
              <w:bottom w:val="nil"/>
            </w:tcBorders>
            <w:tcMar>
              <w:top w:w="150" w:type="dxa"/>
              <w:left w:w="240" w:type="dxa"/>
              <w:bottom w:w="150" w:type="dxa"/>
              <w:right w:w="240" w:type="dxa"/>
            </w:tcMar>
            <w:vAlign w:val="center"/>
            <w:hideMark/>
          </w:tcPr>
          <w:p w14:paraId="0ED62A2A"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17.5</w:t>
            </w:r>
          </w:p>
        </w:tc>
        <w:tc>
          <w:tcPr>
            <w:tcW w:w="0" w:type="auto"/>
            <w:tcBorders>
              <w:bottom w:val="nil"/>
            </w:tcBorders>
            <w:tcMar>
              <w:top w:w="150" w:type="dxa"/>
              <w:left w:w="240" w:type="dxa"/>
              <w:bottom w:w="150" w:type="dxa"/>
              <w:right w:w="240" w:type="dxa"/>
            </w:tcMar>
            <w:vAlign w:val="center"/>
            <w:hideMark/>
          </w:tcPr>
          <w:p w14:paraId="491C4621"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7.5</w:t>
            </w:r>
          </w:p>
        </w:tc>
        <w:tc>
          <w:tcPr>
            <w:tcW w:w="0" w:type="auto"/>
            <w:tcBorders>
              <w:bottom w:val="nil"/>
            </w:tcBorders>
            <w:tcMar>
              <w:top w:w="150" w:type="dxa"/>
              <w:left w:w="240" w:type="dxa"/>
              <w:bottom w:w="150" w:type="dxa"/>
              <w:right w:w="0" w:type="dxa"/>
            </w:tcMar>
            <w:vAlign w:val="center"/>
            <w:hideMark/>
          </w:tcPr>
          <w:p w14:paraId="5CBB34A8"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25</w:t>
            </w:r>
          </w:p>
        </w:tc>
      </w:tr>
      <w:tr w:rsidR="004C5DA9" w:rsidRPr="004C5DA9" w14:paraId="62370C4E" w14:textId="77777777" w:rsidTr="004C5DA9">
        <w:tc>
          <w:tcPr>
            <w:tcW w:w="0" w:type="auto"/>
            <w:tcBorders>
              <w:top w:val="nil"/>
              <w:bottom w:val="single" w:sz="4" w:space="0" w:color="auto"/>
            </w:tcBorders>
            <w:tcMar>
              <w:top w:w="150" w:type="dxa"/>
              <w:left w:w="0" w:type="dxa"/>
              <w:bottom w:w="150" w:type="dxa"/>
              <w:right w:w="240" w:type="dxa"/>
            </w:tcMar>
            <w:vAlign w:val="center"/>
            <w:hideMark/>
          </w:tcPr>
          <w:p w14:paraId="6EB7EDDE"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MUAC (acute malnutrition)</w:t>
            </w:r>
          </w:p>
        </w:tc>
        <w:tc>
          <w:tcPr>
            <w:tcW w:w="0" w:type="auto"/>
            <w:tcBorders>
              <w:top w:val="nil"/>
              <w:bottom w:val="single" w:sz="4" w:space="0" w:color="auto"/>
            </w:tcBorders>
            <w:tcMar>
              <w:top w:w="150" w:type="dxa"/>
              <w:left w:w="240" w:type="dxa"/>
              <w:bottom w:w="150" w:type="dxa"/>
              <w:right w:w="240" w:type="dxa"/>
            </w:tcMar>
            <w:vAlign w:val="center"/>
            <w:hideMark/>
          </w:tcPr>
          <w:p w14:paraId="212D5EC1"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77.5 (normal)</w:t>
            </w:r>
          </w:p>
        </w:tc>
        <w:tc>
          <w:tcPr>
            <w:tcW w:w="0" w:type="auto"/>
            <w:tcBorders>
              <w:top w:val="nil"/>
              <w:bottom w:val="single" w:sz="4" w:space="0" w:color="auto"/>
            </w:tcBorders>
            <w:tcMar>
              <w:top w:w="150" w:type="dxa"/>
              <w:left w:w="240" w:type="dxa"/>
              <w:bottom w:w="150" w:type="dxa"/>
              <w:right w:w="240" w:type="dxa"/>
            </w:tcMar>
            <w:vAlign w:val="center"/>
            <w:hideMark/>
          </w:tcPr>
          <w:p w14:paraId="6498C463"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15 (MAM)</w:t>
            </w:r>
          </w:p>
        </w:tc>
        <w:tc>
          <w:tcPr>
            <w:tcW w:w="0" w:type="auto"/>
            <w:tcBorders>
              <w:top w:val="nil"/>
              <w:bottom w:val="single" w:sz="4" w:space="0" w:color="auto"/>
            </w:tcBorders>
            <w:tcMar>
              <w:top w:w="150" w:type="dxa"/>
              <w:left w:w="240" w:type="dxa"/>
              <w:bottom w:w="150" w:type="dxa"/>
              <w:right w:w="240" w:type="dxa"/>
            </w:tcMar>
            <w:vAlign w:val="center"/>
            <w:hideMark/>
          </w:tcPr>
          <w:p w14:paraId="53B30598"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7.5 (SAM)</w:t>
            </w:r>
          </w:p>
        </w:tc>
        <w:tc>
          <w:tcPr>
            <w:tcW w:w="0" w:type="auto"/>
            <w:tcBorders>
              <w:top w:val="nil"/>
              <w:bottom w:val="single" w:sz="4" w:space="0" w:color="auto"/>
            </w:tcBorders>
            <w:tcMar>
              <w:top w:w="150" w:type="dxa"/>
              <w:left w:w="240" w:type="dxa"/>
              <w:bottom w:w="150" w:type="dxa"/>
              <w:right w:w="0" w:type="dxa"/>
            </w:tcMar>
            <w:vAlign w:val="center"/>
            <w:hideMark/>
          </w:tcPr>
          <w:p w14:paraId="15EA8D2F"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22.5</w:t>
            </w:r>
          </w:p>
        </w:tc>
      </w:tr>
    </w:tbl>
    <w:p w14:paraId="74DFEA11"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i/>
          <w:iCs/>
          <w:color w:val="0F1115"/>
          <w:kern w:val="0"/>
          <w14:ligatures w14:val="none"/>
        </w:rPr>
        <w:t>MUAC: mid-upper arm circumference; MAM: moderate acute malnutrition; SAM: severe acute malnutrition.</w:t>
      </w:r>
    </w:p>
    <w:p w14:paraId="4D23974B"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lastRenderedPageBreak/>
        <w:t>3.3 Feeding practices</w:t>
      </w:r>
    </w:p>
    <w:p w14:paraId="69700185"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Exclusive breastfeeding for six months was reported by only 60% of mothers. Complementary feeding was introduced at the recommended age of six months in only 20% of children; 25% started before six months, and 55% after six months.</w:t>
      </w:r>
    </w:p>
    <w:p w14:paraId="08F72D07"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3.4 Environmental and health factors</w:t>
      </w:r>
    </w:p>
    <w:p w14:paraId="0D8713A1" w14:textId="77777777" w:rsidR="004C5DA9" w:rsidRPr="004C5DA9" w:rsidRDefault="004C5DA9" w:rsidP="004C5DA9">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Unsafe drinking water</w:t>
      </w:r>
      <w:r w:rsidRPr="004C5DA9">
        <w:rPr>
          <w:rFonts w:ascii="Times New Roman" w:eastAsia="Times New Roman" w:hAnsi="Times New Roman" w:cs="Times New Roman"/>
          <w:color w:val="0F1115"/>
          <w:kern w:val="0"/>
          <w14:ligatures w14:val="none"/>
        </w:rPr>
        <w:t>: 35% of households lacked access to safe water.</w:t>
      </w:r>
    </w:p>
    <w:p w14:paraId="1208AFCE" w14:textId="77777777" w:rsidR="004C5DA9" w:rsidRPr="004C5DA9" w:rsidRDefault="004C5DA9" w:rsidP="004C5DA9">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Recent diarrhea</w:t>
      </w:r>
      <w:r w:rsidRPr="004C5DA9">
        <w:rPr>
          <w:rFonts w:ascii="Times New Roman" w:eastAsia="Times New Roman" w:hAnsi="Times New Roman" w:cs="Times New Roman"/>
          <w:color w:val="0F1115"/>
          <w:kern w:val="0"/>
          <w14:ligatures w14:val="none"/>
        </w:rPr>
        <w:t>: 42.5% of children had diarrhea in the two weeks preceding the survey.</w:t>
      </w:r>
    </w:p>
    <w:p w14:paraId="724D1AAB" w14:textId="77777777" w:rsidR="004C5DA9" w:rsidRPr="004C5DA9" w:rsidRDefault="004C5DA9" w:rsidP="004C5DA9">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Vaccination coverage</w:t>
      </w:r>
      <w:r w:rsidRPr="004C5DA9">
        <w:rPr>
          <w:rFonts w:ascii="Times New Roman" w:eastAsia="Times New Roman" w:hAnsi="Times New Roman" w:cs="Times New Roman"/>
          <w:color w:val="0F1115"/>
          <w:kern w:val="0"/>
          <w14:ligatures w14:val="none"/>
        </w:rPr>
        <w:t>: 30% of children had incomplete vaccination for age.</w:t>
      </w:r>
    </w:p>
    <w:p w14:paraId="1305121A"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3.5 Factors associated with malnutrition</w:t>
      </w:r>
    </w:p>
    <w:p w14:paraId="44942C36"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Maternal education showed a striking inverse relationship with malnutrition (Table 3). Among children of mothers with no education, 56% were malnourished; among those whose mothers had secondary education, only 9% were malnourished. This difference was highly statistically significant (p &lt; 0.001).</w:t>
      </w:r>
    </w:p>
    <w:p w14:paraId="0370F960"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Table 3. Association between maternal education and child malnutrition</w:t>
      </w:r>
    </w:p>
    <w:tbl>
      <w:tblPr>
        <w:tblW w:w="6730"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940"/>
        <w:gridCol w:w="2662"/>
        <w:gridCol w:w="2128"/>
      </w:tblGrid>
      <w:tr w:rsidR="004C5DA9" w:rsidRPr="004C5DA9" w14:paraId="5E1601E3" w14:textId="77777777" w:rsidTr="004C5DA9">
        <w:trPr>
          <w:tblHeader/>
        </w:trPr>
        <w:tc>
          <w:tcPr>
            <w:tcW w:w="1940" w:type="dxa"/>
            <w:tcBorders>
              <w:top w:val="single" w:sz="4" w:space="0" w:color="auto"/>
              <w:bottom w:val="single" w:sz="4" w:space="0" w:color="auto"/>
            </w:tcBorders>
            <w:tcMar>
              <w:top w:w="150" w:type="dxa"/>
              <w:left w:w="0" w:type="dxa"/>
              <w:bottom w:w="150" w:type="dxa"/>
              <w:right w:w="240" w:type="dxa"/>
            </w:tcMar>
            <w:vAlign w:val="center"/>
            <w:hideMark/>
          </w:tcPr>
          <w:p w14:paraId="201B7E9D"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Mother’s education</w:t>
            </w:r>
          </w:p>
        </w:tc>
        <w:tc>
          <w:tcPr>
            <w:tcW w:w="2662" w:type="dxa"/>
            <w:tcBorders>
              <w:top w:val="single" w:sz="4" w:space="0" w:color="auto"/>
              <w:bottom w:val="single" w:sz="4" w:space="0" w:color="auto"/>
            </w:tcBorders>
            <w:tcMar>
              <w:top w:w="150" w:type="dxa"/>
              <w:left w:w="240" w:type="dxa"/>
              <w:bottom w:w="150" w:type="dxa"/>
              <w:right w:w="240" w:type="dxa"/>
            </w:tcMar>
            <w:vAlign w:val="center"/>
            <w:hideMark/>
          </w:tcPr>
          <w:p w14:paraId="59D5235A"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Children malnourished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0BA1720"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p-value</w:t>
            </w:r>
          </w:p>
        </w:tc>
      </w:tr>
      <w:tr w:rsidR="004C5DA9" w:rsidRPr="004C5DA9" w14:paraId="3ACA8CDD" w14:textId="77777777" w:rsidTr="004C5DA9">
        <w:tc>
          <w:tcPr>
            <w:tcW w:w="1940" w:type="dxa"/>
            <w:tcBorders>
              <w:top w:val="single" w:sz="4" w:space="0" w:color="auto"/>
            </w:tcBorders>
            <w:tcMar>
              <w:top w:w="150" w:type="dxa"/>
              <w:left w:w="0" w:type="dxa"/>
              <w:bottom w:w="150" w:type="dxa"/>
              <w:right w:w="240" w:type="dxa"/>
            </w:tcMar>
            <w:vAlign w:val="center"/>
            <w:hideMark/>
          </w:tcPr>
          <w:p w14:paraId="0D534473"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None</w:t>
            </w:r>
          </w:p>
        </w:tc>
        <w:tc>
          <w:tcPr>
            <w:tcW w:w="2662" w:type="dxa"/>
            <w:tcBorders>
              <w:top w:val="single" w:sz="4" w:space="0" w:color="auto"/>
            </w:tcBorders>
            <w:tcMar>
              <w:top w:w="150" w:type="dxa"/>
              <w:left w:w="240" w:type="dxa"/>
              <w:bottom w:w="150" w:type="dxa"/>
              <w:right w:w="240" w:type="dxa"/>
            </w:tcMar>
            <w:vAlign w:val="center"/>
            <w:hideMark/>
          </w:tcPr>
          <w:p w14:paraId="4E75A13B"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56</w:t>
            </w:r>
          </w:p>
        </w:tc>
        <w:tc>
          <w:tcPr>
            <w:tcW w:w="0" w:type="auto"/>
            <w:tcBorders>
              <w:top w:val="single" w:sz="4" w:space="0" w:color="auto"/>
            </w:tcBorders>
            <w:tcMar>
              <w:top w:w="150" w:type="dxa"/>
              <w:left w:w="240" w:type="dxa"/>
              <w:bottom w:w="150" w:type="dxa"/>
              <w:right w:w="0" w:type="dxa"/>
            </w:tcMar>
            <w:vAlign w:val="center"/>
            <w:hideMark/>
          </w:tcPr>
          <w:p w14:paraId="11B729C8"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&lt;0.001</w:t>
            </w:r>
          </w:p>
        </w:tc>
      </w:tr>
      <w:tr w:rsidR="004C5DA9" w:rsidRPr="004C5DA9" w14:paraId="0B898580" w14:textId="77777777" w:rsidTr="004C5DA9">
        <w:tc>
          <w:tcPr>
            <w:tcW w:w="1940" w:type="dxa"/>
            <w:tcMar>
              <w:top w:w="150" w:type="dxa"/>
              <w:left w:w="0" w:type="dxa"/>
              <w:bottom w:w="150" w:type="dxa"/>
              <w:right w:w="240" w:type="dxa"/>
            </w:tcMar>
            <w:vAlign w:val="center"/>
            <w:hideMark/>
          </w:tcPr>
          <w:p w14:paraId="078ABE66"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Primary</w:t>
            </w:r>
          </w:p>
        </w:tc>
        <w:tc>
          <w:tcPr>
            <w:tcW w:w="2662" w:type="dxa"/>
            <w:tcMar>
              <w:top w:w="150" w:type="dxa"/>
              <w:left w:w="240" w:type="dxa"/>
              <w:bottom w:w="150" w:type="dxa"/>
              <w:right w:w="240" w:type="dxa"/>
            </w:tcMar>
            <w:vAlign w:val="center"/>
            <w:hideMark/>
          </w:tcPr>
          <w:p w14:paraId="70B706CC"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35</w:t>
            </w:r>
          </w:p>
        </w:tc>
        <w:tc>
          <w:tcPr>
            <w:tcW w:w="0" w:type="auto"/>
            <w:tcMar>
              <w:top w:w="150" w:type="dxa"/>
              <w:left w:w="240" w:type="dxa"/>
              <w:bottom w:w="150" w:type="dxa"/>
              <w:right w:w="0" w:type="dxa"/>
            </w:tcMar>
            <w:vAlign w:val="center"/>
            <w:hideMark/>
          </w:tcPr>
          <w:p w14:paraId="388CC5B5"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p>
        </w:tc>
      </w:tr>
      <w:tr w:rsidR="004C5DA9" w:rsidRPr="004C5DA9" w14:paraId="7EA867B2" w14:textId="77777777" w:rsidTr="004C5DA9">
        <w:tc>
          <w:tcPr>
            <w:tcW w:w="1940" w:type="dxa"/>
            <w:tcMar>
              <w:top w:w="150" w:type="dxa"/>
              <w:left w:w="0" w:type="dxa"/>
              <w:bottom w:w="150" w:type="dxa"/>
              <w:right w:w="240" w:type="dxa"/>
            </w:tcMar>
            <w:vAlign w:val="center"/>
            <w:hideMark/>
          </w:tcPr>
          <w:p w14:paraId="35D343B0"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Secondary</w:t>
            </w:r>
          </w:p>
        </w:tc>
        <w:tc>
          <w:tcPr>
            <w:tcW w:w="2662" w:type="dxa"/>
            <w:tcMar>
              <w:top w:w="150" w:type="dxa"/>
              <w:left w:w="240" w:type="dxa"/>
              <w:bottom w:w="150" w:type="dxa"/>
              <w:right w:w="240" w:type="dxa"/>
            </w:tcMar>
            <w:vAlign w:val="center"/>
            <w:hideMark/>
          </w:tcPr>
          <w:p w14:paraId="04D875A8"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9</w:t>
            </w:r>
          </w:p>
        </w:tc>
        <w:tc>
          <w:tcPr>
            <w:tcW w:w="0" w:type="auto"/>
            <w:tcMar>
              <w:top w:w="150" w:type="dxa"/>
              <w:left w:w="240" w:type="dxa"/>
              <w:bottom w:w="150" w:type="dxa"/>
              <w:right w:w="0" w:type="dxa"/>
            </w:tcMar>
            <w:vAlign w:val="center"/>
            <w:hideMark/>
          </w:tcPr>
          <w:p w14:paraId="7F2662C7"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p>
        </w:tc>
      </w:tr>
      <w:tr w:rsidR="004C5DA9" w:rsidRPr="004C5DA9" w14:paraId="4C38DDDC" w14:textId="77777777" w:rsidTr="004C5DA9">
        <w:tc>
          <w:tcPr>
            <w:tcW w:w="1940" w:type="dxa"/>
            <w:tcMar>
              <w:top w:w="150" w:type="dxa"/>
              <w:left w:w="0" w:type="dxa"/>
              <w:bottom w:w="150" w:type="dxa"/>
              <w:right w:w="240" w:type="dxa"/>
            </w:tcMar>
            <w:vAlign w:val="center"/>
            <w:hideMark/>
          </w:tcPr>
          <w:p w14:paraId="1D9F1E2A"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Higher</w:t>
            </w:r>
          </w:p>
        </w:tc>
        <w:tc>
          <w:tcPr>
            <w:tcW w:w="2662" w:type="dxa"/>
            <w:tcMar>
              <w:top w:w="150" w:type="dxa"/>
              <w:left w:w="240" w:type="dxa"/>
              <w:bottom w:w="150" w:type="dxa"/>
              <w:right w:w="240" w:type="dxa"/>
            </w:tcMar>
            <w:vAlign w:val="center"/>
            <w:hideMark/>
          </w:tcPr>
          <w:p w14:paraId="7C54E687"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0" w:type="dxa"/>
            </w:tcMar>
            <w:vAlign w:val="center"/>
            <w:hideMark/>
          </w:tcPr>
          <w:p w14:paraId="601CCEDD"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p>
        </w:tc>
      </w:tr>
    </w:tbl>
    <w:p w14:paraId="3CA41824"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i/>
          <w:iCs/>
          <w:color w:val="0F1115"/>
          <w:kern w:val="0"/>
          <w14:ligatures w14:val="none"/>
        </w:rPr>
        <w:t>Small sample size; caution in interpretation.</w:t>
      </w:r>
    </w:p>
    <w:p w14:paraId="676794F3" w14:textId="77777777" w:rsidR="00B046F6" w:rsidRDefault="00B046F6"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p>
    <w:p w14:paraId="4D4C0CCE" w14:textId="7E3C391A"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lastRenderedPageBreak/>
        <w:t>4. Discussion</w:t>
      </w:r>
    </w:p>
    <w:p w14:paraId="7994224F"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4.1 Interpretation of main findings</w:t>
      </w:r>
    </w:p>
    <w:p w14:paraId="42F52AFB"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Our study reveals a catastrophic nutritional situation in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The prevalence of stunting (40%) exceeds the WHO crisis threshold (30%), and wasting (25%) exceeds the emergency threshold (15%). These figures rank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among the highest in Équateur Province and above national averages.</w:t>
      </w:r>
    </w:p>
    <w:p w14:paraId="527EC9CE"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The very high stunting rate indicates chronic, long-term food insecurity and repeated infections. Stunting is notoriously difficult to reverse after age 24 months, implying that many children in this cohort will suffer lifelong cognitive and physical deficits (Victora et al., 2021).</w:t>
      </w:r>
    </w:p>
    <w:p w14:paraId="6510CFE1"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The wasting rate of 25% (9% severe) is </w:t>
      </w:r>
      <w:proofErr w:type="spellStart"/>
      <w:proofErr w:type="gramStart"/>
      <w:r w:rsidRPr="004C5DA9">
        <w:rPr>
          <w:rFonts w:ascii="Times New Roman" w:eastAsia="Times New Roman" w:hAnsi="Times New Roman" w:cs="Times New Roman"/>
          <w:color w:val="0F1115"/>
          <w:kern w:val="0"/>
          <w14:ligatures w14:val="none"/>
        </w:rPr>
        <w:t>a</w:t>
      </w:r>
      <w:proofErr w:type="spellEnd"/>
      <w:proofErr w:type="gramEnd"/>
      <w:r w:rsidRPr="004C5DA9">
        <w:rPr>
          <w:rFonts w:ascii="Times New Roman" w:eastAsia="Times New Roman" w:hAnsi="Times New Roman" w:cs="Times New Roman"/>
          <w:color w:val="0F1115"/>
          <w:kern w:val="0"/>
          <w14:ligatures w14:val="none"/>
        </w:rPr>
        <w:t xml:space="preserve"> immediate mortality threat. The WHO recommends urgent humanitarian response when wasting exceeds 15%. The fact that 7.5% of children had SAM (MUAC &lt;115 mm) without being already in treatment suggests a failure in community screening and referral systems.</w:t>
      </w:r>
    </w:p>
    <w:p w14:paraId="5103E818"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4.2 Role of maternal education</w:t>
      </w:r>
    </w:p>
    <w:p w14:paraId="1DEBB624"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The near-linear inverse relationship between maternal education and malnutrition (56% malnutrition if no education vs. 9% if secondary education) is one of the strongest findings. Educated mothers are more likely to adopt recommended feeding practices (exclusive breastfeeding, timely complementary feeding), seek preventive care (vaccination, growth monitoring), and practice better hygiene. This finding is consistent with large multi-country analyses (Akombi et al., 2017). Investing in girls’ secondary education may be the single most cost-effective long-term intervention against malnutrition.</w:t>
      </w:r>
    </w:p>
    <w:p w14:paraId="76B73940"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4.3 Feeding practices as modifiable risk factors</w:t>
      </w:r>
    </w:p>
    <w:p w14:paraId="6E1C3299"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Only 60% of children received exclusive breastfeeding for six months, and only 20% received timely complementary feeding. These poor practices expose children to both undernutrition </w:t>
      </w:r>
      <w:r w:rsidRPr="004C5DA9">
        <w:rPr>
          <w:rFonts w:ascii="Times New Roman" w:eastAsia="Times New Roman" w:hAnsi="Times New Roman" w:cs="Times New Roman"/>
          <w:color w:val="0F1115"/>
          <w:kern w:val="0"/>
          <w14:ligatures w14:val="none"/>
        </w:rPr>
        <w:lastRenderedPageBreak/>
        <w:t xml:space="preserve">(from early or delayed weaning) and infections (from contaminated water/food). The WHO/UNICEF Global Nutrition Targets call for at least 50% exclusive breastfeeding by 2025; our study suggests this target is not yet met in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Community-based breastfeeding support groups, trained peer counselors, and maternity ward “early initiation” protocols should be scaled up immediately.</w:t>
      </w:r>
    </w:p>
    <w:p w14:paraId="4ACE1C6E"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4.4 Water, sanitation, and disease</w:t>
      </w:r>
    </w:p>
    <w:p w14:paraId="602583BF"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The high prevalence of diarrhea (42.5% in the past two weeks) is directly linked to unsafe water (35% of households) and poor sanitation. Diarrhea and malnutrition form a vicious cycle: malnutrition weakens immunity, causing more infections, and infections further deplete nutritional reserves. Breaking this cycle requires integrated interventions: safe water supply (boreholes, chlorination), sanitation promotion (latrines, handwashing), and routine zinc supplementation for diarrheal episodes.</w:t>
      </w:r>
    </w:p>
    <w:p w14:paraId="1A3C23C9"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4.5 Comparison with previous studies</w:t>
      </w:r>
    </w:p>
    <w:p w14:paraId="103590FE"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Our findings align with studies from other parts of DRC (Kandala et al., 2011; </w:t>
      </w:r>
      <w:proofErr w:type="spellStart"/>
      <w:r w:rsidRPr="004C5DA9">
        <w:rPr>
          <w:rFonts w:ascii="Times New Roman" w:eastAsia="Times New Roman" w:hAnsi="Times New Roman" w:cs="Times New Roman"/>
          <w:color w:val="0F1115"/>
          <w:kern w:val="0"/>
          <w14:ligatures w14:val="none"/>
        </w:rPr>
        <w:t>Ngwala</w:t>
      </w:r>
      <w:proofErr w:type="spellEnd"/>
      <w:r w:rsidRPr="004C5DA9">
        <w:rPr>
          <w:rFonts w:ascii="Times New Roman" w:eastAsia="Times New Roman" w:hAnsi="Times New Roman" w:cs="Times New Roman"/>
          <w:color w:val="0F1115"/>
          <w:kern w:val="0"/>
          <w14:ligatures w14:val="none"/>
        </w:rPr>
        <w:t xml:space="preserve"> et al., 2019) that identified low maternal education, poverty, and poor water access as main drivers of malnutrition. However, the magnitude of wasting (25%) is higher than most previous estimates for Équateur Province, possibly due to recent COVID-19 economic shocks, food price inflation, and disrupted health services.</w:t>
      </w:r>
    </w:p>
    <w:p w14:paraId="720811E0"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4.6 Strengths and limitations</w:t>
      </w:r>
    </w:p>
    <w:p w14:paraId="3AA2A1A8"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Strengths:</w:t>
      </w:r>
      <w:r w:rsidRPr="004C5DA9">
        <w:rPr>
          <w:rFonts w:ascii="Times New Roman" w:eastAsia="Times New Roman" w:hAnsi="Times New Roman" w:cs="Times New Roman"/>
          <w:color w:val="0F1115"/>
          <w:kern w:val="0"/>
          <w14:ligatures w14:val="none"/>
        </w:rPr>
        <w:t> Primary data collected using standardized WHO methods; high participation (no refusals); immediate referral of severe cases.</w:t>
      </w:r>
    </w:p>
    <w:p w14:paraId="0C207770"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Limitations:</w:t>
      </w:r>
      <w:r w:rsidRPr="004C5DA9">
        <w:rPr>
          <w:rFonts w:ascii="Times New Roman" w:eastAsia="Times New Roman" w:hAnsi="Times New Roman" w:cs="Times New Roman"/>
          <w:color w:val="0F1115"/>
          <w:kern w:val="0"/>
          <w14:ligatures w14:val="none"/>
        </w:rPr>
        <w:t> Cross-sectional design (cannot establish causality); single health area (</w:t>
      </w:r>
      <w:proofErr w:type="spellStart"/>
      <w:r w:rsidRPr="004C5DA9">
        <w:rPr>
          <w:rFonts w:ascii="Times New Roman" w:eastAsia="Times New Roman" w:hAnsi="Times New Roman" w:cs="Times New Roman"/>
          <w:color w:val="0F1115"/>
          <w:kern w:val="0"/>
          <w14:ligatures w14:val="none"/>
        </w:rPr>
        <w:t>Losanganya</w:t>
      </w:r>
      <w:proofErr w:type="spellEnd"/>
      <w:r w:rsidRPr="004C5DA9">
        <w:rPr>
          <w:rFonts w:ascii="Times New Roman" w:eastAsia="Times New Roman" w:hAnsi="Times New Roman" w:cs="Times New Roman"/>
          <w:color w:val="0F1115"/>
          <w:kern w:val="0"/>
          <w14:ligatures w14:val="none"/>
        </w:rPr>
        <w:t xml:space="preserve">) may not represent </w:t>
      </w:r>
      <w:proofErr w:type="gramStart"/>
      <w:r w:rsidRPr="004C5DA9">
        <w:rPr>
          <w:rFonts w:ascii="Times New Roman" w:eastAsia="Times New Roman" w:hAnsi="Times New Roman" w:cs="Times New Roman"/>
          <w:color w:val="0F1115"/>
          <w:kern w:val="0"/>
          <w14:ligatures w14:val="none"/>
        </w:rPr>
        <w:t>all of</w:t>
      </w:r>
      <w:proofErr w:type="gramEnd"/>
      <w:r w:rsidRPr="004C5DA9">
        <w:rPr>
          <w:rFonts w:ascii="Times New Roman" w:eastAsia="Times New Roman" w:hAnsi="Times New Roman" w:cs="Times New Roman"/>
          <w:color w:val="0F1115"/>
          <w:kern w:val="0"/>
          <w14:ligatures w14:val="none"/>
        </w:rPr>
        <w:t xml:space="preserve">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recall bias for feeding practices; no biochemical markers (e.g., hemoglobin, vitamin A). A larger, multi-zone survey is needed to generalize findings.</w:t>
      </w:r>
    </w:p>
    <w:p w14:paraId="1970101E" w14:textId="77777777"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lastRenderedPageBreak/>
        <w:t>5. Public Health Implications and Recommendations</w:t>
      </w:r>
    </w:p>
    <w:p w14:paraId="7B27054B"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5.1 Immediate (next 3 months)</w:t>
      </w:r>
    </w:p>
    <w:p w14:paraId="23030981" w14:textId="77777777" w:rsidR="004C5DA9" w:rsidRPr="004C5DA9" w:rsidRDefault="004C5DA9" w:rsidP="004C5DA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Active case finding</w:t>
      </w:r>
      <w:r w:rsidRPr="004C5DA9">
        <w:rPr>
          <w:rFonts w:ascii="Times New Roman" w:eastAsia="Times New Roman" w:hAnsi="Times New Roman" w:cs="Times New Roman"/>
          <w:color w:val="0F1115"/>
          <w:kern w:val="0"/>
          <w14:ligatures w14:val="none"/>
        </w:rPr>
        <w:t> for SAM (MUAC &lt;115 mm) by community health workers using MUAC tapes.</w:t>
      </w:r>
    </w:p>
    <w:p w14:paraId="46906C0F" w14:textId="77777777" w:rsidR="004C5DA9" w:rsidRPr="004C5DA9" w:rsidRDefault="004C5DA9" w:rsidP="004C5DA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Outpatient therapeutic feeding</w:t>
      </w:r>
      <w:r w:rsidRPr="004C5DA9">
        <w:rPr>
          <w:rFonts w:ascii="Times New Roman" w:eastAsia="Times New Roman" w:hAnsi="Times New Roman" w:cs="Times New Roman"/>
          <w:color w:val="0F1115"/>
          <w:kern w:val="0"/>
          <w14:ligatures w14:val="none"/>
        </w:rPr>
        <w:t> with ready-to-use therapeutic foods (RUTF) for uncomplicated SAM.</w:t>
      </w:r>
    </w:p>
    <w:p w14:paraId="2D8E5F41" w14:textId="77777777" w:rsidR="004C5DA9" w:rsidRPr="004C5DA9" w:rsidRDefault="004C5DA9" w:rsidP="004C5DA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Rehydration and zinc</w:t>
      </w:r>
      <w:r w:rsidRPr="004C5DA9">
        <w:rPr>
          <w:rFonts w:ascii="Times New Roman" w:eastAsia="Times New Roman" w:hAnsi="Times New Roman" w:cs="Times New Roman"/>
          <w:color w:val="0F1115"/>
          <w:kern w:val="0"/>
          <w14:ligatures w14:val="none"/>
        </w:rPr>
        <w:t> for all children with diarrhea.</w:t>
      </w:r>
    </w:p>
    <w:p w14:paraId="49E9185B"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5.2 Short-term (6–12 months)</w:t>
      </w:r>
    </w:p>
    <w:p w14:paraId="0E582970" w14:textId="77777777" w:rsidR="004C5DA9" w:rsidRPr="004C5DA9" w:rsidRDefault="004C5DA9" w:rsidP="004C5DA9">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Community-based nutrition education</w:t>
      </w:r>
      <w:r w:rsidRPr="004C5DA9">
        <w:rPr>
          <w:rFonts w:ascii="Times New Roman" w:eastAsia="Times New Roman" w:hAnsi="Times New Roman" w:cs="Times New Roman"/>
          <w:color w:val="0F1115"/>
          <w:kern w:val="0"/>
          <w14:ligatures w14:val="none"/>
        </w:rPr>
        <w:t> targeting mothers of children 0–24 months, focusing on exclusive breastfeeding and appropriate complementary feeding (demonstration cooking sessions).</w:t>
      </w:r>
    </w:p>
    <w:p w14:paraId="673A6103" w14:textId="77777777" w:rsidR="004C5DA9" w:rsidRPr="004C5DA9" w:rsidRDefault="004C5DA9" w:rsidP="004C5DA9">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Vaccination catch-up campaigns</w:t>
      </w:r>
      <w:r w:rsidRPr="004C5DA9">
        <w:rPr>
          <w:rFonts w:ascii="Times New Roman" w:eastAsia="Times New Roman" w:hAnsi="Times New Roman" w:cs="Times New Roman"/>
          <w:color w:val="0F1115"/>
          <w:kern w:val="0"/>
          <w14:ligatures w14:val="none"/>
        </w:rPr>
        <w:t> for measles, rotavirus, and DTP.</w:t>
      </w:r>
    </w:p>
    <w:p w14:paraId="45A89A30" w14:textId="77777777" w:rsidR="004C5DA9" w:rsidRPr="004C5DA9" w:rsidRDefault="004C5DA9" w:rsidP="004C5DA9">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Safe water interventions</w:t>
      </w:r>
      <w:r w:rsidRPr="004C5DA9">
        <w:rPr>
          <w:rFonts w:ascii="Times New Roman" w:eastAsia="Times New Roman" w:hAnsi="Times New Roman" w:cs="Times New Roman"/>
          <w:color w:val="0F1115"/>
          <w:kern w:val="0"/>
          <w14:ligatures w14:val="none"/>
        </w:rPr>
        <w:t>: boreholes, protected wells, household water chlorination tablets.</w:t>
      </w:r>
    </w:p>
    <w:p w14:paraId="70300511"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5.3 Long-term (≥2 years)</w:t>
      </w:r>
    </w:p>
    <w:p w14:paraId="7D3F5103" w14:textId="77777777" w:rsidR="004C5DA9" w:rsidRPr="004C5DA9" w:rsidRDefault="004C5DA9" w:rsidP="004C5DA9">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Girls’ secondary education scholarships</w:t>
      </w:r>
      <w:r w:rsidRPr="004C5DA9">
        <w:rPr>
          <w:rFonts w:ascii="Times New Roman" w:eastAsia="Times New Roman" w:hAnsi="Times New Roman" w:cs="Times New Roman"/>
          <w:color w:val="0F1115"/>
          <w:kern w:val="0"/>
          <w14:ligatures w14:val="none"/>
        </w:rPr>
        <w:t> and retention programs.</w:t>
      </w:r>
    </w:p>
    <w:p w14:paraId="0113D941" w14:textId="77777777" w:rsidR="004C5DA9" w:rsidRPr="004C5DA9" w:rsidRDefault="004C5DA9" w:rsidP="004C5DA9">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Social protection</w:t>
      </w:r>
      <w:r w:rsidRPr="004C5DA9">
        <w:rPr>
          <w:rFonts w:ascii="Times New Roman" w:eastAsia="Times New Roman" w:hAnsi="Times New Roman" w:cs="Times New Roman"/>
          <w:color w:val="0F1115"/>
          <w:kern w:val="0"/>
          <w14:ligatures w14:val="none"/>
        </w:rPr>
        <w:t>: cash transfers or food vouchers for the poorest households.</w:t>
      </w:r>
    </w:p>
    <w:p w14:paraId="71823B26" w14:textId="77777777" w:rsidR="004C5DA9" w:rsidRPr="004C5DA9" w:rsidRDefault="004C5DA9" w:rsidP="004C5DA9">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Agricultural diversification</w:t>
      </w:r>
      <w:r w:rsidRPr="004C5DA9">
        <w:rPr>
          <w:rFonts w:ascii="Times New Roman" w:eastAsia="Times New Roman" w:hAnsi="Times New Roman" w:cs="Times New Roman"/>
          <w:color w:val="0F1115"/>
          <w:kern w:val="0"/>
          <w14:ligatures w14:val="none"/>
        </w:rPr>
        <w:t> to improve household food security (home gardens, small livestock).</w:t>
      </w:r>
    </w:p>
    <w:p w14:paraId="7CDD376E" w14:textId="77777777"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t>6. Conclusion</w:t>
      </w:r>
    </w:p>
    <w:p w14:paraId="4DA48087"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Malnutrition in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DRC, is a severe public health emergency, with wasting (25%) and stunting (40%) rates far above emergency thresholds. Low maternal education, poor infant and young child feeding practices, lack of safe water, and high diarrheal morbidity are the </w:t>
      </w:r>
      <w:r w:rsidRPr="004C5DA9">
        <w:rPr>
          <w:rFonts w:ascii="Times New Roman" w:eastAsia="Times New Roman" w:hAnsi="Times New Roman" w:cs="Times New Roman"/>
          <w:color w:val="0F1115"/>
          <w:kern w:val="0"/>
          <w14:ligatures w14:val="none"/>
        </w:rPr>
        <w:lastRenderedPageBreak/>
        <w:t>main drivers. Without immediate multisectoral action — combining nutrition, water and sanitation, education, and social protection — an entire generation will suffer irreversible developmental harm.</w:t>
      </w:r>
    </w:p>
    <w:p w14:paraId="4AA7D32F" w14:textId="7D95FDF2"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t>References</w:t>
      </w:r>
    </w:p>
    <w:p w14:paraId="235D88C5" w14:textId="77777777" w:rsidR="004C5DA9" w:rsidRPr="004C5DA9" w:rsidRDefault="004C5DA9" w:rsidP="004C5DA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Akombi, B. J., Agho, K. E., Merom, D., </w:t>
      </w:r>
      <w:proofErr w:type="spellStart"/>
      <w:r w:rsidRPr="004C5DA9">
        <w:rPr>
          <w:rFonts w:ascii="Times New Roman" w:eastAsia="Times New Roman" w:hAnsi="Times New Roman" w:cs="Times New Roman"/>
          <w:color w:val="0F1115"/>
          <w:kern w:val="0"/>
          <w14:ligatures w14:val="none"/>
        </w:rPr>
        <w:t>Renzaho</w:t>
      </w:r>
      <w:proofErr w:type="spellEnd"/>
      <w:r w:rsidRPr="004C5DA9">
        <w:rPr>
          <w:rFonts w:ascii="Times New Roman" w:eastAsia="Times New Roman" w:hAnsi="Times New Roman" w:cs="Times New Roman"/>
          <w:color w:val="0F1115"/>
          <w:kern w:val="0"/>
          <w14:ligatures w14:val="none"/>
        </w:rPr>
        <w:t>, A. M., &amp; Hall, J. J. (2017). Child malnutrition in sub-Saharan Africa: A meta-analysis of demographic and health surveys (2006-2016). </w:t>
      </w:r>
      <w:proofErr w:type="spellStart"/>
      <w:r w:rsidRPr="004C5DA9">
        <w:rPr>
          <w:rFonts w:ascii="Times New Roman" w:eastAsia="Times New Roman" w:hAnsi="Times New Roman" w:cs="Times New Roman"/>
          <w:i/>
          <w:iCs/>
          <w:color w:val="0F1115"/>
          <w:kern w:val="0"/>
          <w14:ligatures w14:val="none"/>
        </w:rPr>
        <w:t>PLoS</w:t>
      </w:r>
      <w:proofErr w:type="spellEnd"/>
      <w:r w:rsidRPr="004C5DA9">
        <w:rPr>
          <w:rFonts w:ascii="Times New Roman" w:eastAsia="Times New Roman" w:hAnsi="Times New Roman" w:cs="Times New Roman"/>
          <w:i/>
          <w:iCs/>
          <w:color w:val="0F1115"/>
          <w:kern w:val="0"/>
          <w14:ligatures w14:val="none"/>
        </w:rPr>
        <w:t xml:space="preserve"> ONE, 12</w:t>
      </w:r>
      <w:r w:rsidRPr="004C5DA9">
        <w:rPr>
          <w:rFonts w:ascii="Times New Roman" w:eastAsia="Times New Roman" w:hAnsi="Times New Roman" w:cs="Times New Roman"/>
          <w:color w:val="0F1115"/>
          <w:kern w:val="0"/>
          <w14:ligatures w14:val="none"/>
        </w:rPr>
        <w:t>(5), e0177338.</w:t>
      </w:r>
    </w:p>
    <w:p w14:paraId="5654A71C" w14:textId="77777777" w:rsidR="004C5DA9" w:rsidRPr="004C5DA9" w:rsidRDefault="004C5DA9" w:rsidP="004C5DA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Black, R. E., Victora, C. G., Walker, S. P., et al. (2013). Maternal and child undernutrition and overweight in low-income and middle-income countries. </w:t>
      </w:r>
      <w:r w:rsidRPr="004C5DA9">
        <w:rPr>
          <w:rFonts w:ascii="Times New Roman" w:eastAsia="Times New Roman" w:hAnsi="Times New Roman" w:cs="Times New Roman"/>
          <w:i/>
          <w:iCs/>
          <w:color w:val="0F1115"/>
          <w:kern w:val="0"/>
          <w14:ligatures w14:val="none"/>
        </w:rPr>
        <w:t>The Lancet, 382</w:t>
      </w:r>
      <w:r w:rsidRPr="004C5DA9">
        <w:rPr>
          <w:rFonts w:ascii="Times New Roman" w:eastAsia="Times New Roman" w:hAnsi="Times New Roman" w:cs="Times New Roman"/>
          <w:color w:val="0F1115"/>
          <w:kern w:val="0"/>
          <w14:ligatures w14:val="none"/>
        </w:rPr>
        <w:t>(9890), 427–451.</w:t>
      </w:r>
    </w:p>
    <w:p w14:paraId="089BCA32" w14:textId="77777777" w:rsidR="004C5DA9" w:rsidRPr="004C5DA9" w:rsidRDefault="004C5DA9" w:rsidP="004C5DA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Kandala, N. B., </w:t>
      </w:r>
      <w:proofErr w:type="spellStart"/>
      <w:r w:rsidRPr="004C5DA9">
        <w:rPr>
          <w:rFonts w:ascii="Times New Roman" w:eastAsia="Times New Roman" w:hAnsi="Times New Roman" w:cs="Times New Roman"/>
          <w:color w:val="0F1115"/>
          <w:kern w:val="0"/>
          <w14:ligatures w14:val="none"/>
        </w:rPr>
        <w:t>Madungu</w:t>
      </w:r>
      <w:proofErr w:type="spellEnd"/>
      <w:r w:rsidRPr="004C5DA9">
        <w:rPr>
          <w:rFonts w:ascii="Times New Roman" w:eastAsia="Times New Roman" w:hAnsi="Times New Roman" w:cs="Times New Roman"/>
          <w:color w:val="0F1115"/>
          <w:kern w:val="0"/>
          <w14:ligatures w14:val="none"/>
        </w:rPr>
        <w:t>, T. P., Emina, J. B., Nzita, K. P., &amp; Cappuccio, F. P. (2011). Malnutrition among children under the age of five in the Democratic Republic of Congo (DRC). </w:t>
      </w:r>
      <w:r w:rsidRPr="004C5DA9">
        <w:rPr>
          <w:rFonts w:ascii="Times New Roman" w:eastAsia="Times New Roman" w:hAnsi="Times New Roman" w:cs="Times New Roman"/>
          <w:i/>
          <w:iCs/>
          <w:color w:val="0F1115"/>
          <w:kern w:val="0"/>
          <w14:ligatures w14:val="none"/>
        </w:rPr>
        <w:t>BMC Public Health, 11</w:t>
      </w:r>
      <w:r w:rsidRPr="004C5DA9">
        <w:rPr>
          <w:rFonts w:ascii="Times New Roman" w:eastAsia="Times New Roman" w:hAnsi="Times New Roman" w:cs="Times New Roman"/>
          <w:color w:val="0F1115"/>
          <w:kern w:val="0"/>
          <w14:ligatures w14:val="none"/>
        </w:rPr>
        <w:t>, 261.</w:t>
      </w:r>
    </w:p>
    <w:p w14:paraId="5BA89EA7" w14:textId="77777777" w:rsidR="004C5DA9" w:rsidRPr="004C5DA9" w:rsidRDefault="004C5DA9" w:rsidP="004C5DA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Ministère de la Santé </w:t>
      </w:r>
      <w:proofErr w:type="spellStart"/>
      <w:r w:rsidRPr="004C5DA9">
        <w:rPr>
          <w:rFonts w:ascii="Times New Roman" w:eastAsia="Times New Roman" w:hAnsi="Times New Roman" w:cs="Times New Roman"/>
          <w:color w:val="0F1115"/>
          <w:kern w:val="0"/>
          <w14:ligatures w14:val="none"/>
        </w:rPr>
        <w:t>Publique</w:t>
      </w:r>
      <w:proofErr w:type="spellEnd"/>
      <w:r w:rsidRPr="004C5DA9">
        <w:rPr>
          <w:rFonts w:ascii="Times New Roman" w:eastAsia="Times New Roman" w:hAnsi="Times New Roman" w:cs="Times New Roman"/>
          <w:color w:val="0F1115"/>
          <w:kern w:val="0"/>
          <w14:ligatures w14:val="none"/>
        </w:rPr>
        <w:t>, RDC. (2019). *</w:t>
      </w:r>
      <w:proofErr w:type="spellStart"/>
      <w:r w:rsidRPr="004C5DA9">
        <w:rPr>
          <w:rFonts w:ascii="Times New Roman" w:eastAsia="Times New Roman" w:hAnsi="Times New Roman" w:cs="Times New Roman"/>
          <w:color w:val="0F1115"/>
          <w:kern w:val="0"/>
          <w14:ligatures w14:val="none"/>
        </w:rPr>
        <w:t>Enquête</w:t>
      </w:r>
      <w:proofErr w:type="spellEnd"/>
      <w:r w:rsidRPr="004C5DA9">
        <w:rPr>
          <w:rFonts w:ascii="Times New Roman" w:eastAsia="Times New Roman" w:hAnsi="Times New Roman" w:cs="Times New Roman"/>
          <w:color w:val="0F1115"/>
          <w:kern w:val="0"/>
          <w14:ligatures w14:val="none"/>
        </w:rPr>
        <w:t xml:space="preserve"> </w:t>
      </w:r>
      <w:proofErr w:type="spellStart"/>
      <w:r w:rsidRPr="004C5DA9">
        <w:rPr>
          <w:rFonts w:ascii="Times New Roman" w:eastAsia="Times New Roman" w:hAnsi="Times New Roman" w:cs="Times New Roman"/>
          <w:color w:val="0F1115"/>
          <w:kern w:val="0"/>
          <w14:ligatures w14:val="none"/>
        </w:rPr>
        <w:t>Démographique</w:t>
      </w:r>
      <w:proofErr w:type="spellEnd"/>
      <w:r w:rsidRPr="004C5DA9">
        <w:rPr>
          <w:rFonts w:ascii="Times New Roman" w:eastAsia="Times New Roman" w:hAnsi="Times New Roman" w:cs="Times New Roman"/>
          <w:color w:val="0F1115"/>
          <w:kern w:val="0"/>
          <w14:ligatures w14:val="none"/>
        </w:rPr>
        <w:t xml:space="preserve"> et de Santé </w:t>
      </w:r>
      <w:proofErr w:type="spellStart"/>
      <w:r w:rsidRPr="004C5DA9">
        <w:rPr>
          <w:rFonts w:ascii="Times New Roman" w:eastAsia="Times New Roman" w:hAnsi="Times New Roman" w:cs="Times New Roman"/>
          <w:color w:val="0F1115"/>
          <w:kern w:val="0"/>
          <w14:ligatures w14:val="none"/>
        </w:rPr>
        <w:t>en</w:t>
      </w:r>
      <w:proofErr w:type="spellEnd"/>
      <w:r w:rsidRPr="004C5DA9">
        <w:rPr>
          <w:rFonts w:ascii="Times New Roman" w:eastAsia="Times New Roman" w:hAnsi="Times New Roman" w:cs="Times New Roman"/>
          <w:color w:val="0F1115"/>
          <w:kern w:val="0"/>
          <w14:ligatures w14:val="none"/>
        </w:rPr>
        <w:t xml:space="preserve"> RDC (EDS-RDC 2018)*. Kinshasa.</w:t>
      </w:r>
    </w:p>
    <w:p w14:paraId="6EDB593D" w14:textId="77777777" w:rsidR="004C5DA9" w:rsidRPr="004C5DA9" w:rsidRDefault="004C5DA9" w:rsidP="004C5DA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UNICEF/WHO/World Bank. (2023). </w:t>
      </w:r>
      <w:r w:rsidRPr="004C5DA9">
        <w:rPr>
          <w:rFonts w:ascii="Times New Roman" w:eastAsia="Times New Roman" w:hAnsi="Times New Roman" w:cs="Times New Roman"/>
          <w:i/>
          <w:iCs/>
          <w:color w:val="0F1115"/>
          <w:kern w:val="0"/>
          <w14:ligatures w14:val="none"/>
        </w:rPr>
        <w:t>Levels and trends in child malnutrition</w:t>
      </w:r>
      <w:r w:rsidRPr="004C5DA9">
        <w:rPr>
          <w:rFonts w:ascii="Times New Roman" w:eastAsia="Times New Roman" w:hAnsi="Times New Roman" w:cs="Times New Roman"/>
          <w:color w:val="0F1115"/>
          <w:kern w:val="0"/>
          <w14:ligatures w14:val="none"/>
        </w:rPr>
        <w:t>. Geneva: WHO.</w:t>
      </w:r>
    </w:p>
    <w:p w14:paraId="6FFB5A90" w14:textId="77777777" w:rsidR="004C5DA9" w:rsidRPr="004C5DA9" w:rsidRDefault="004C5DA9" w:rsidP="004C5DA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Victora, C. G., Christian, P., Vidaletti, L. P., et al. (2021). Revisiting maternal and child undernutrition in low-income and middle-income countries. </w:t>
      </w:r>
      <w:r w:rsidRPr="004C5DA9">
        <w:rPr>
          <w:rFonts w:ascii="Times New Roman" w:eastAsia="Times New Roman" w:hAnsi="Times New Roman" w:cs="Times New Roman"/>
          <w:i/>
          <w:iCs/>
          <w:color w:val="0F1115"/>
          <w:kern w:val="0"/>
          <w14:ligatures w14:val="none"/>
        </w:rPr>
        <w:t>The Lancet, 397</w:t>
      </w:r>
      <w:r w:rsidRPr="004C5DA9">
        <w:rPr>
          <w:rFonts w:ascii="Times New Roman" w:eastAsia="Times New Roman" w:hAnsi="Times New Roman" w:cs="Times New Roman"/>
          <w:color w:val="0F1115"/>
          <w:kern w:val="0"/>
          <w14:ligatures w14:val="none"/>
        </w:rPr>
        <w:t>(10282), 1341–1352.</w:t>
      </w:r>
    </w:p>
    <w:p w14:paraId="27EDBDD5" w14:textId="77777777" w:rsidR="004C5DA9" w:rsidRPr="004C5DA9" w:rsidRDefault="004C5DA9" w:rsidP="004C5DA9">
      <w:pPr>
        <w:shd w:val="clear" w:color="auto" w:fill="FFFFFF"/>
        <w:spacing w:after="0" w:line="240" w:lineRule="auto"/>
        <w:rPr>
          <w:rFonts w:ascii="Times New Roman" w:eastAsia="Times New Roman" w:hAnsi="Times New Roman" w:cs="Times New Roman"/>
          <w:b/>
          <w:bCs/>
          <w:color w:val="0F1115"/>
          <w:kern w:val="0"/>
          <w14:ligatures w14:val="none"/>
        </w:rPr>
      </w:pPr>
    </w:p>
    <w:p w14:paraId="7B69550C" w14:textId="21552FEA" w:rsidR="004C5DA9" w:rsidRPr="004C5DA9" w:rsidRDefault="004C5DA9" w:rsidP="004C5DA9">
      <w:pPr>
        <w:shd w:val="clear" w:color="auto" w:fill="FFFFFF"/>
        <w:spacing w:after="0" w:line="360" w:lineRule="auto"/>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Corresponding author:</w:t>
      </w:r>
      <w:r w:rsidRPr="004C5DA9">
        <w:rPr>
          <w:rFonts w:ascii="Times New Roman" w:eastAsia="Times New Roman" w:hAnsi="Times New Roman" w:cs="Times New Roman"/>
          <w:color w:val="0F1115"/>
          <w:kern w:val="0"/>
          <w14:ligatures w14:val="none"/>
        </w:rPr>
        <w:br/>
        <w:t>MOBELE BOLUMBU B</w:t>
      </w:r>
      <w:r>
        <w:rPr>
          <w:rFonts w:ascii="Times New Roman" w:eastAsia="Times New Roman" w:hAnsi="Times New Roman" w:cs="Times New Roman"/>
          <w:color w:val="0F1115"/>
          <w:kern w:val="0"/>
          <w14:ligatures w14:val="none"/>
        </w:rPr>
        <w:t>é</w:t>
      </w:r>
      <w:r w:rsidRPr="004C5DA9">
        <w:rPr>
          <w:rFonts w:ascii="Times New Roman" w:eastAsia="Times New Roman" w:hAnsi="Times New Roman" w:cs="Times New Roman"/>
          <w:color w:val="0F1115"/>
          <w:kern w:val="0"/>
          <w14:ligatures w14:val="none"/>
        </w:rPr>
        <w:t>n</w:t>
      </w:r>
      <w:r>
        <w:rPr>
          <w:rFonts w:ascii="Times New Roman" w:eastAsia="Times New Roman" w:hAnsi="Times New Roman" w:cs="Times New Roman"/>
          <w:color w:val="0F1115"/>
          <w:kern w:val="0"/>
          <w14:ligatures w14:val="none"/>
        </w:rPr>
        <w:t>é</w:t>
      </w:r>
      <w:r w:rsidRPr="004C5DA9">
        <w:rPr>
          <w:rFonts w:ascii="Times New Roman" w:eastAsia="Times New Roman" w:hAnsi="Times New Roman" w:cs="Times New Roman"/>
          <w:color w:val="0F1115"/>
          <w:kern w:val="0"/>
          <w14:ligatures w14:val="none"/>
        </w:rPr>
        <w:t>dict</w:t>
      </w:r>
      <w:r>
        <w:rPr>
          <w:rFonts w:ascii="Times New Roman" w:eastAsia="Times New Roman" w:hAnsi="Times New Roman" w:cs="Times New Roman"/>
          <w:color w:val="0F1115"/>
          <w:kern w:val="0"/>
          <w14:ligatures w14:val="none"/>
        </w:rPr>
        <w:t>e</w:t>
      </w:r>
    </w:p>
    <w:p w14:paraId="0EC85E74" w14:textId="48CE7CA5" w:rsidR="004C5DA9" w:rsidRPr="004C5DA9" w:rsidRDefault="004C5DA9" w:rsidP="004C5DA9">
      <w:pPr>
        <w:shd w:val="clear" w:color="auto" w:fill="FFFFFF"/>
        <w:spacing w:after="0" w:line="360" w:lineRule="auto"/>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Director</w:t>
      </w:r>
      <w:r w:rsidRPr="004C5DA9">
        <w:rPr>
          <w:rFonts w:ascii="Times New Roman" w:eastAsia="Times New Roman" w:hAnsi="Times New Roman" w:cs="Times New Roman"/>
          <w:color w:val="0F1115"/>
          <w:kern w:val="0"/>
          <w14:ligatures w14:val="none"/>
        </w:rPr>
        <w:t>: Prof. Dr. EBENGHO BOKELO M</w:t>
      </w:r>
      <w:r>
        <w:rPr>
          <w:rFonts w:ascii="Times New Roman" w:eastAsia="Times New Roman" w:hAnsi="Times New Roman" w:cs="Times New Roman"/>
          <w:color w:val="0F1115"/>
          <w:kern w:val="0"/>
          <w14:ligatures w14:val="none"/>
        </w:rPr>
        <w:t>ax</w:t>
      </w:r>
      <w:r w:rsidRPr="004C5DA9">
        <w:rPr>
          <w:rFonts w:ascii="Times New Roman" w:eastAsia="Times New Roman" w:hAnsi="Times New Roman" w:cs="Times New Roman"/>
          <w:color w:val="0F1115"/>
          <w:kern w:val="0"/>
          <w14:ligatures w14:val="none"/>
        </w:rPr>
        <w:t>, PhD in Public Health</w:t>
      </w:r>
    </w:p>
    <w:p w14:paraId="3D377EE8" w14:textId="132163E3" w:rsidR="004C5DA9" w:rsidRPr="004C5DA9" w:rsidRDefault="004C5DA9" w:rsidP="004C5DA9">
      <w:pPr>
        <w:shd w:val="clear" w:color="auto" w:fill="FFFFFF"/>
        <w:spacing w:after="0" w:line="360" w:lineRule="auto"/>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maxebg@yahoo.fr</w:t>
      </w:r>
      <w:r w:rsidRPr="004C5DA9">
        <w:rPr>
          <w:rFonts w:ascii="Times New Roman" w:eastAsia="Times New Roman" w:hAnsi="Times New Roman" w:cs="Times New Roman"/>
          <w:color w:val="0F1115"/>
          <w:kern w:val="0"/>
          <w14:ligatures w14:val="none"/>
        </w:rPr>
        <w:br/>
        <w:t>ISTM-</w:t>
      </w:r>
      <w:proofErr w:type="spellStart"/>
      <w:r w:rsidRPr="004C5DA9">
        <w:rPr>
          <w:rFonts w:ascii="Times New Roman" w:eastAsia="Times New Roman" w:hAnsi="Times New Roman" w:cs="Times New Roman"/>
          <w:color w:val="0F1115"/>
          <w:kern w:val="0"/>
          <w14:ligatures w14:val="none"/>
        </w:rPr>
        <w:t>Mbandaka</w:t>
      </w:r>
      <w:proofErr w:type="spellEnd"/>
      <w:r w:rsidRPr="004C5DA9">
        <w:rPr>
          <w:rFonts w:ascii="Times New Roman" w:eastAsia="Times New Roman" w:hAnsi="Times New Roman" w:cs="Times New Roman"/>
          <w:color w:val="0F1115"/>
          <w:kern w:val="0"/>
          <w14:ligatures w14:val="none"/>
        </w:rPr>
        <w:t>, DRC</w:t>
      </w:r>
      <w:r w:rsidRPr="004C5DA9">
        <w:rPr>
          <w:rFonts w:ascii="Times New Roman" w:eastAsia="Times New Roman" w:hAnsi="Times New Roman" w:cs="Times New Roman"/>
          <w:color w:val="0F1115"/>
          <w:kern w:val="0"/>
          <w14:ligatures w14:val="none"/>
        </w:rPr>
        <w:br/>
        <w:t>Email: (contact available through institution)</w:t>
      </w:r>
    </w:p>
    <w:p w14:paraId="150C5EF4" w14:textId="77777777" w:rsidR="004C5DA9" w:rsidRPr="004C5DA9" w:rsidRDefault="004C5DA9" w:rsidP="004C5DA9">
      <w:pPr>
        <w:shd w:val="clear" w:color="auto" w:fill="FFFFFF"/>
        <w:spacing w:before="240" w:after="240" w:line="360" w:lineRule="auto"/>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Conflict of interest:</w:t>
      </w:r>
      <w:r w:rsidRPr="004C5DA9">
        <w:rPr>
          <w:rFonts w:ascii="Times New Roman" w:eastAsia="Times New Roman" w:hAnsi="Times New Roman" w:cs="Times New Roman"/>
          <w:color w:val="0F1115"/>
          <w:kern w:val="0"/>
          <w14:ligatures w14:val="none"/>
        </w:rPr>
        <w:t> None declared.</w:t>
      </w:r>
      <w:r w:rsidRPr="004C5DA9">
        <w:rPr>
          <w:rFonts w:ascii="Times New Roman" w:eastAsia="Times New Roman" w:hAnsi="Times New Roman" w:cs="Times New Roman"/>
          <w:color w:val="0F1115"/>
          <w:kern w:val="0"/>
          <w14:ligatures w14:val="none"/>
        </w:rPr>
        <w:br/>
      </w:r>
      <w:r w:rsidRPr="004C5DA9">
        <w:rPr>
          <w:rFonts w:ascii="Times New Roman" w:eastAsia="Times New Roman" w:hAnsi="Times New Roman" w:cs="Times New Roman"/>
          <w:b/>
          <w:bCs/>
          <w:color w:val="0F1115"/>
          <w:kern w:val="0"/>
          <w14:ligatures w14:val="none"/>
        </w:rPr>
        <w:t>Funding:</w:t>
      </w:r>
      <w:r w:rsidRPr="004C5DA9">
        <w:rPr>
          <w:rFonts w:ascii="Times New Roman" w:eastAsia="Times New Roman" w:hAnsi="Times New Roman" w:cs="Times New Roman"/>
          <w:color w:val="0F1115"/>
          <w:kern w:val="0"/>
          <w14:ligatures w14:val="none"/>
        </w:rPr>
        <w:t> Self-funded by the author.</w:t>
      </w:r>
      <w:r w:rsidRPr="004C5DA9">
        <w:rPr>
          <w:rFonts w:ascii="Times New Roman" w:eastAsia="Times New Roman" w:hAnsi="Times New Roman" w:cs="Times New Roman"/>
          <w:color w:val="0F1115"/>
          <w:kern w:val="0"/>
          <w14:ligatures w14:val="none"/>
        </w:rPr>
        <w:br/>
      </w:r>
      <w:r w:rsidRPr="004C5DA9">
        <w:rPr>
          <w:rFonts w:ascii="Times New Roman" w:eastAsia="Times New Roman" w:hAnsi="Times New Roman" w:cs="Times New Roman"/>
          <w:b/>
          <w:bCs/>
          <w:color w:val="0F1115"/>
          <w:kern w:val="0"/>
          <w14:ligatures w14:val="none"/>
        </w:rPr>
        <w:lastRenderedPageBreak/>
        <w:t>Data availability:</w:t>
      </w:r>
      <w:r w:rsidRPr="004C5DA9">
        <w:rPr>
          <w:rFonts w:ascii="Times New Roman" w:eastAsia="Times New Roman" w:hAnsi="Times New Roman" w:cs="Times New Roman"/>
          <w:color w:val="0F1115"/>
          <w:kern w:val="0"/>
          <w14:ligatures w14:val="none"/>
        </w:rPr>
        <w:t> The dataset is available from the corresponding author upon reasonable request.</w:t>
      </w:r>
    </w:p>
    <w:p w14:paraId="436B1BFB" w14:textId="77777777" w:rsidR="00B41904" w:rsidRPr="004C5DA9" w:rsidRDefault="00B41904">
      <w:pPr>
        <w:rPr>
          <w:rFonts w:ascii="Times New Roman" w:hAnsi="Times New Roman" w:cs="Times New Roman"/>
        </w:rPr>
      </w:pPr>
    </w:p>
    <w:sectPr w:rsidR="00B41904" w:rsidRPr="004C5DA9" w:rsidSect="004C5DA9">
      <w:footerReference w:type="even"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34050" w14:textId="77777777" w:rsidR="005B5677" w:rsidRDefault="005B5677" w:rsidP="004C5DA9">
      <w:pPr>
        <w:spacing w:after="0" w:line="240" w:lineRule="auto"/>
      </w:pPr>
      <w:r>
        <w:separator/>
      </w:r>
    </w:p>
  </w:endnote>
  <w:endnote w:type="continuationSeparator" w:id="0">
    <w:p w14:paraId="65D7FDAE" w14:textId="77777777" w:rsidR="005B5677" w:rsidRDefault="005B5677" w:rsidP="004C5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92829065"/>
      <w:docPartObj>
        <w:docPartGallery w:val="Page Numbers (Bottom of Page)"/>
        <w:docPartUnique/>
      </w:docPartObj>
    </w:sdtPr>
    <w:sdtContent>
      <w:p w14:paraId="0EF81DAC" w14:textId="40D4D7F8" w:rsidR="004C5DA9" w:rsidRDefault="004C5DA9" w:rsidP="001B36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85BEDD" w14:textId="77777777" w:rsidR="004C5DA9" w:rsidRDefault="004C5DA9" w:rsidP="004C5D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62415558"/>
      <w:docPartObj>
        <w:docPartGallery w:val="Page Numbers (Bottom of Page)"/>
        <w:docPartUnique/>
      </w:docPartObj>
    </w:sdtPr>
    <w:sdtContent>
      <w:p w14:paraId="753CFA17" w14:textId="59872821" w:rsidR="004C5DA9" w:rsidRDefault="004C5DA9" w:rsidP="001B36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A0537DD" w14:textId="77777777" w:rsidR="004C5DA9" w:rsidRDefault="004C5DA9" w:rsidP="004C5DA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1EAE4" w14:textId="77777777" w:rsidR="005B5677" w:rsidRDefault="005B5677" w:rsidP="004C5DA9">
      <w:pPr>
        <w:spacing w:after="0" w:line="240" w:lineRule="auto"/>
      </w:pPr>
      <w:r>
        <w:separator/>
      </w:r>
    </w:p>
  </w:footnote>
  <w:footnote w:type="continuationSeparator" w:id="0">
    <w:p w14:paraId="2CA9AE56" w14:textId="77777777" w:rsidR="005B5677" w:rsidRDefault="005B5677" w:rsidP="004C5D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7D8"/>
    <w:multiLevelType w:val="multilevel"/>
    <w:tmpl w:val="4AC4C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93F50"/>
    <w:multiLevelType w:val="multilevel"/>
    <w:tmpl w:val="61F21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893934"/>
    <w:multiLevelType w:val="multilevel"/>
    <w:tmpl w:val="87DEF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D43D6"/>
    <w:multiLevelType w:val="multilevel"/>
    <w:tmpl w:val="3996A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CC3054"/>
    <w:multiLevelType w:val="multilevel"/>
    <w:tmpl w:val="6824A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EF108B"/>
    <w:multiLevelType w:val="multilevel"/>
    <w:tmpl w:val="C480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555965"/>
    <w:multiLevelType w:val="multilevel"/>
    <w:tmpl w:val="99782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233621">
    <w:abstractNumId w:val="5"/>
  </w:num>
  <w:num w:numId="2" w16cid:durableId="74521606">
    <w:abstractNumId w:val="0"/>
  </w:num>
  <w:num w:numId="3" w16cid:durableId="554896133">
    <w:abstractNumId w:val="6"/>
  </w:num>
  <w:num w:numId="4" w16cid:durableId="981544218">
    <w:abstractNumId w:val="4"/>
  </w:num>
  <w:num w:numId="5" w16cid:durableId="817188665">
    <w:abstractNumId w:val="3"/>
  </w:num>
  <w:num w:numId="6" w16cid:durableId="2017881899">
    <w:abstractNumId w:val="1"/>
  </w:num>
  <w:num w:numId="7" w16cid:durableId="799080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DA9"/>
    <w:rsid w:val="000A6949"/>
    <w:rsid w:val="002C4B73"/>
    <w:rsid w:val="003F70DD"/>
    <w:rsid w:val="004C5DA9"/>
    <w:rsid w:val="005B5677"/>
    <w:rsid w:val="007D368E"/>
    <w:rsid w:val="008F6EA0"/>
    <w:rsid w:val="00AC0C13"/>
    <w:rsid w:val="00B046F6"/>
    <w:rsid w:val="00B41904"/>
    <w:rsid w:val="00C42A66"/>
    <w:rsid w:val="00CA7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8B5C5"/>
  <w15:chartTrackingRefBased/>
  <w15:docId w15:val="{2A503001-5FD5-C54F-8B90-81FC23D90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5D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5D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C5D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C5D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D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D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D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D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D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D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5D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C5D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C5D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D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D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D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D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DA9"/>
    <w:rPr>
      <w:rFonts w:eastAsiaTheme="majorEastAsia" w:cstheme="majorBidi"/>
      <w:color w:val="272727" w:themeColor="text1" w:themeTint="D8"/>
    </w:rPr>
  </w:style>
  <w:style w:type="paragraph" w:styleId="Title">
    <w:name w:val="Title"/>
    <w:basedOn w:val="Normal"/>
    <w:next w:val="Normal"/>
    <w:link w:val="TitleChar"/>
    <w:uiPriority w:val="10"/>
    <w:qFormat/>
    <w:rsid w:val="004C5D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D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D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D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DA9"/>
    <w:pPr>
      <w:spacing w:before="160"/>
      <w:jc w:val="center"/>
    </w:pPr>
    <w:rPr>
      <w:i/>
      <w:iCs/>
      <w:color w:val="404040" w:themeColor="text1" w:themeTint="BF"/>
    </w:rPr>
  </w:style>
  <w:style w:type="character" w:customStyle="1" w:styleId="QuoteChar">
    <w:name w:val="Quote Char"/>
    <w:basedOn w:val="DefaultParagraphFont"/>
    <w:link w:val="Quote"/>
    <w:uiPriority w:val="29"/>
    <w:rsid w:val="004C5DA9"/>
    <w:rPr>
      <w:i/>
      <w:iCs/>
      <w:color w:val="404040" w:themeColor="text1" w:themeTint="BF"/>
    </w:rPr>
  </w:style>
  <w:style w:type="paragraph" w:styleId="ListParagraph">
    <w:name w:val="List Paragraph"/>
    <w:basedOn w:val="Normal"/>
    <w:uiPriority w:val="34"/>
    <w:qFormat/>
    <w:rsid w:val="004C5DA9"/>
    <w:pPr>
      <w:ind w:left="720"/>
      <w:contextualSpacing/>
    </w:pPr>
  </w:style>
  <w:style w:type="character" w:styleId="IntenseEmphasis">
    <w:name w:val="Intense Emphasis"/>
    <w:basedOn w:val="DefaultParagraphFont"/>
    <w:uiPriority w:val="21"/>
    <w:qFormat/>
    <w:rsid w:val="004C5DA9"/>
    <w:rPr>
      <w:i/>
      <w:iCs/>
      <w:color w:val="0F4761" w:themeColor="accent1" w:themeShade="BF"/>
    </w:rPr>
  </w:style>
  <w:style w:type="paragraph" w:styleId="IntenseQuote">
    <w:name w:val="Intense Quote"/>
    <w:basedOn w:val="Normal"/>
    <w:next w:val="Normal"/>
    <w:link w:val="IntenseQuoteChar"/>
    <w:uiPriority w:val="30"/>
    <w:qFormat/>
    <w:rsid w:val="004C5D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DA9"/>
    <w:rPr>
      <w:i/>
      <w:iCs/>
      <w:color w:val="0F4761" w:themeColor="accent1" w:themeShade="BF"/>
    </w:rPr>
  </w:style>
  <w:style w:type="character" w:styleId="IntenseReference">
    <w:name w:val="Intense Reference"/>
    <w:basedOn w:val="DefaultParagraphFont"/>
    <w:uiPriority w:val="32"/>
    <w:qFormat/>
    <w:rsid w:val="004C5DA9"/>
    <w:rPr>
      <w:b/>
      <w:bCs/>
      <w:smallCaps/>
      <w:color w:val="0F4761" w:themeColor="accent1" w:themeShade="BF"/>
      <w:spacing w:val="5"/>
    </w:rPr>
  </w:style>
  <w:style w:type="paragraph" w:customStyle="1" w:styleId="ds-markdown-paragraph">
    <w:name w:val="ds-markdown-paragraph"/>
    <w:basedOn w:val="Normal"/>
    <w:rsid w:val="004C5DA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DA9"/>
    <w:rPr>
      <w:b/>
      <w:bCs/>
    </w:rPr>
  </w:style>
  <w:style w:type="character" w:styleId="Emphasis">
    <w:name w:val="Emphasis"/>
    <w:basedOn w:val="DefaultParagraphFont"/>
    <w:uiPriority w:val="20"/>
    <w:qFormat/>
    <w:rsid w:val="004C5DA9"/>
    <w:rPr>
      <w:i/>
      <w:iCs/>
    </w:rPr>
  </w:style>
  <w:style w:type="paragraph" w:styleId="Footer">
    <w:name w:val="footer"/>
    <w:basedOn w:val="Normal"/>
    <w:link w:val="FooterChar"/>
    <w:uiPriority w:val="99"/>
    <w:unhideWhenUsed/>
    <w:rsid w:val="004C5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DA9"/>
  </w:style>
  <w:style w:type="character" w:styleId="PageNumber">
    <w:name w:val="page number"/>
    <w:basedOn w:val="DefaultParagraphFont"/>
    <w:uiPriority w:val="99"/>
    <w:semiHidden/>
    <w:unhideWhenUsed/>
    <w:rsid w:val="004C5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2364</Words>
  <Characters>13477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2026-04-26T15:53:00Z</dcterms:created>
  <dcterms:modified xsi:type="dcterms:W3CDTF">2026-05-12T11:10:00Z</dcterms:modified>
</cp:coreProperties>
</file>